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OBJETIVO.</w:t>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72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4">
      <w:pPr>
        <w:ind w:left="360" w:firstLine="0"/>
        <w:jc w:val="both"/>
        <w:rPr>
          <w:rFonts w:ascii="Times New Roman" w:cs="Times New Roman" w:eastAsia="Times New Roman" w:hAnsi="Times New Roman"/>
          <w:sz w:val="22"/>
          <w:szCs w:val="22"/>
        </w:rPr>
      </w:pPr>
      <w:r w:rsidDel="00000000" w:rsidR="00000000" w:rsidRPr="00000000">
        <w:rPr>
          <w:rFonts w:ascii="Arial" w:cs="Arial" w:eastAsia="Arial" w:hAnsi="Arial"/>
          <w:sz w:val="22"/>
          <w:szCs w:val="22"/>
          <w:rtl w:val="0"/>
        </w:rPr>
        <w:t xml:space="preserve">Establecer los lineamientos y acciones para el correcto manejo y conservación de dispositivos médicos y otros insumos en el almacén, para mantener la integridad y seguridad de estos</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05">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ALCANCE.</w:t>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72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8">
      <w:pPr>
        <w:ind w:left="360" w:firstLine="0"/>
        <w:jc w:val="both"/>
        <w:rPr>
          <w:rFonts w:ascii="Arial" w:cs="Arial" w:eastAsia="Arial" w:hAnsi="Arial"/>
          <w:color w:val="000000"/>
          <w:sz w:val="20"/>
          <w:szCs w:val="20"/>
        </w:rPr>
      </w:pPr>
      <w:r w:rsidDel="00000000" w:rsidR="00000000" w:rsidRPr="00000000">
        <w:rPr>
          <w:rFonts w:ascii="Arial" w:cs="Arial" w:eastAsia="Arial" w:hAnsi="Arial"/>
          <w:sz w:val="22"/>
          <w:szCs w:val="22"/>
          <w:rtl w:val="0"/>
        </w:rPr>
        <w:t xml:space="preserve">Este documento es de carácter obligatorio para todo el personal del área de almacén que se vea involucrado desde la recepción de los insumos, el almacenamiento con control de condiciones medio ambientales, hasta la revisión de caducidades.</w:t>
      </w:r>
      <w:r w:rsidDel="00000000" w:rsidR="00000000" w:rsidRPr="00000000">
        <w:rPr>
          <w:rtl w:val="0"/>
        </w:rPr>
      </w:r>
    </w:p>
    <w:p w:rsidR="00000000" w:rsidDel="00000000" w:rsidP="00000000" w:rsidRDefault="00000000" w:rsidRPr="00000000" w14:paraId="00000009">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DEFINICIONES.</w:t>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36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36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(PC/PS) Primeras Caducidades - Primeras Salidas:</w:t>
      </w:r>
      <w:r w:rsidDel="00000000" w:rsidR="00000000" w:rsidRPr="00000000">
        <w:rPr>
          <w:rFonts w:ascii="Arial" w:cs="Arial" w:eastAsia="Arial" w:hAnsi="Arial"/>
          <w:sz w:val="22"/>
          <w:szCs w:val="22"/>
          <w:rtl w:val="0"/>
        </w:rPr>
        <w:t xml:space="preserve"> Este método se basa en las salidas del almacén según el orden en que estas entraron, en este caso tomando muy en cuenta las fechas de caducidad evitando así perdidas por deterioro y/o perdida de esterilidad del insumo.</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360" w:firstLine="0"/>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(PEPS) Primeras Entradas – Primeras Salidas:</w:t>
      </w:r>
      <w:r w:rsidDel="00000000" w:rsidR="00000000" w:rsidRPr="00000000">
        <w:rPr>
          <w:rFonts w:ascii="Arial" w:cs="Arial" w:eastAsia="Arial" w:hAnsi="Arial"/>
          <w:sz w:val="22"/>
          <w:szCs w:val="22"/>
          <w:rtl w:val="0"/>
        </w:rPr>
        <w:t xml:space="preserve"> Este método se basa en principio de los productos adquiridos primero, son los primeros en salir. Esto permite mantener un orden en el inventario siendo que los artículos primeros adquiridos sean vendidos antes del vencimiento o deterioro, evitando así pérdidas.</w:t>
      </w:r>
      <w:r w:rsidDel="00000000" w:rsidR="00000000" w:rsidRPr="00000000">
        <w:rPr>
          <w:rtl w:val="0"/>
        </w:rPr>
      </w:r>
    </w:p>
    <w:p w:rsidR="00000000" w:rsidDel="00000000" w:rsidP="00000000" w:rsidRDefault="00000000" w:rsidRPr="00000000" w14:paraId="0000000E">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RESPONSABILIDADES.</w:t>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36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11">
      <w:pPr>
        <w:numPr>
          <w:ilvl w:val="1"/>
          <w:numId w:val="1"/>
        </w:numPr>
        <w:pBdr>
          <w:top w:space="0" w:sz="0" w:val="nil"/>
          <w:left w:space="0" w:sz="0" w:val="nil"/>
          <w:bottom w:space="0" w:sz="0" w:val="nil"/>
          <w:right w:space="0" w:sz="0" w:val="nil"/>
          <w:between w:space="0" w:sz="0" w:val="nil"/>
        </w:pBdr>
        <w:spacing w:after="20" w:before="20" w:lineRule="auto"/>
        <w:ind w:left="1080" w:hanging="360"/>
        <w:jc w:val="both"/>
        <w:rPr>
          <w:sz w:val="22"/>
          <w:szCs w:val="22"/>
        </w:rPr>
      </w:pPr>
      <w:r w:rsidDel="00000000" w:rsidR="00000000" w:rsidRPr="00000000">
        <w:rPr>
          <w:rFonts w:ascii="Arial" w:cs="Arial" w:eastAsia="Arial" w:hAnsi="Arial"/>
          <w:b w:val="1"/>
          <w:bCs w:val="1"/>
          <w:sz w:val="22"/>
          <w:szCs w:val="22"/>
          <w:rtl w:val="0"/>
        </w:rPr>
        <w:t xml:space="preserve">Actualización: </w:t>
      </w:r>
      <w:r w:rsidDel="00000000" w:rsidR="00000000" w:rsidRPr="00000000">
        <w:rPr>
          <w:rFonts w:ascii="Arial" w:cs="Arial" w:eastAsia="Arial" w:hAnsi="Arial"/>
          <w:i w:val="1"/>
          <w:iCs w:val="1"/>
          <w:rtl w:val="0"/>
        </w:rPr>
        <w:t xml:space="preserve">Jefatura de Almacén</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2">
      <w:pPr>
        <w:numPr>
          <w:ilvl w:val="1"/>
          <w:numId w:val="1"/>
        </w:numPr>
        <w:pBdr>
          <w:top w:space="0" w:sz="0" w:val="nil"/>
          <w:left w:space="0" w:sz="0" w:val="nil"/>
          <w:bottom w:space="0" w:sz="0" w:val="nil"/>
          <w:right w:space="0" w:sz="0" w:val="nil"/>
          <w:between w:space="0" w:sz="0" w:val="nil"/>
        </w:pBdr>
        <w:spacing w:after="20" w:before="20" w:lineRule="auto"/>
        <w:ind w:left="1080" w:hanging="360"/>
        <w:jc w:val="both"/>
        <w:rPr>
          <w:sz w:val="22"/>
          <w:szCs w:val="22"/>
        </w:rPr>
      </w:pPr>
      <w:r w:rsidDel="00000000" w:rsidR="00000000" w:rsidRPr="00000000">
        <w:rPr>
          <w:rFonts w:ascii="Arial" w:cs="Arial" w:eastAsia="Arial" w:hAnsi="Arial"/>
          <w:b w:val="1"/>
          <w:bCs w:val="1"/>
          <w:sz w:val="22"/>
          <w:szCs w:val="22"/>
          <w:rtl w:val="0"/>
        </w:rPr>
        <w:t xml:space="preserve">Ejecución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rtl w:val="0"/>
        </w:rPr>
        <w:t xml:space="preserve">Jefatura de Almacén, Analista de Almacén, Almacenista, Auditoría</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3">
      <w:pPr>
        <w:numPr>
          <w:ilvl w:val="1"/>
          <w:numId w:val="1"/>
        </w:numPr>
        <w:pBdr>
          <w:top w:space="0" w:sz="0" w:val="nil"/>
          <w:left w:space="0" w:sz="0" w:val="nil"/>
          <w:bottom w:space="0" w:sz="0" w:val="nil"/>
          <w:right w:space="0" w:sz="0" w:val="nil"/>
          <w:between w:space="0" w:sz="0" w:val="nil"/>
        </w:pBdr>
        <w:spacing w:after="20" w:before="20" w:lineRule="auto"/>
        <w:ind w:left="1080" w:hanging="360"/>
        <w:jc w:val="both"/>
        <w:rPr>
          <w:rFonts w:ascii="Arial" w:cs="Arial" w:eastAsia="Arial" w:hAnsi="Arial"/>
          <w:sz w:val="22"/>
          <w:szCs w:val="22"/>
        </w:rPr>
      </w:pPr>
      <w:bookmarkStart w:colFirst="0" w:colLast="0" w:name="_heading=h.g0q89h80540m" w:id="0"/>
      <w:bookmarkEnd w:id="0"/>
      <w:r w:rsidDel="00000000" w:rsidR="00000000" w:rsidRPr="00000000">
        <w:rPr>
          <w:rFonts w:ascii="Arial" w:cs="Arial" w:eastAsia="Arial" w:hAnsi="Arial"/>
          <w:b w:val="1"/>
          <w:bCs w:val="1"/>
          <w:sz w:val="22"/>
          <w:szCs w:val="22"/>
          <w:rtl w:val="0"/>
        </w:rPr>
        <w:t xml:space="preserve">Supervisión: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rtl w:val="0"/>
        </w:rPr>
        <w:t xml:space="preserve">Jefatura de Farmacia Auditoría</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DESARROLLO DEL PROCESO.</w:t>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72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18">
      <w:pPr>
        <w:rPr>
          <w:rFonts w:ascii="Arial" w:cs="Arial" w:eastAsia="Arial" w:hAnsi="Arial"/>
          <w:sz w:val="22"/>
          <w:szCs w:val="22"/>
        </w:rPr>
      </w:pPr>
      <w:r w:rsidDel="00000000" w:rsidR="00000000" w:rsidRPr="00000000">
        <w:rPr>
          <w:rtl w:val="0"/>
        </w:rPr>
      </w:r>
    </w:p>
    <w:tbl>
      <w:tblPr>
        <w:tblStyle w:val="Table1"/>
        <w:tblW w:w="9498.0" w:type="dxa"/>
        <w:jc w:val="center"/>
        <w:tblLayout w:type="fixed"/>
        <w:tblLook w:val="0400"/>
      </w:tblPr>
      <w:tblGrid>
        <w:gridCol w:w="705"/>
        <w:gridCol w:w="2685"/>
        <w:gridCol w:w="6108"/>
        <w:tblGridChange w:id="0">
          <w:tblGrid>
            <w:gridCol w:w="705"/>
            <w:gridCol w:w="2685"/>
            <w:gridCol w:w="6108"/>
          </w:tblGrid>
        </w:tblGridChange>
      </w:tblGrid>
      <w:tr>
        <w:trPr>
          <w:cantSplit w:val="0"/>
          <w:tblHeader w:val="0"/>
        </w:trPr>
        <w:tc>
          <w:tcPr>
            <w:tcBorders>
              <w:left w:color="000000" w:space="0" w:sz="0" w:val="nil"/>
              <w:right w:color="666666" w:space="0" w:sz="8" w:val="single"/>
            </w:tcBorders>
            <w:shd w:fill="55ba9e" w:val="clear"/>
            <w:vAlign w:val="center"/>
          </w:tcPr>
          <w:p w:rsidR="00000000" w:rsidDel="00000000" w:rsidP="00000000" w:rsidRDefault="00000000" w:rsidRPr="00000000" w14:paraId="00000019">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w:t>
            </w:r>
          </w:p>
        </w:tc>
        <w:tc>
          <w:tcPr>
            <w:tcBorders>
              <w:right w:color="666666" w:space="0" w:sz="8" w:val="single"/>
            </w:tcBorders>
            <w:shd w:fill="55ba9e" w:val="clear"/>
            <w:vAlign w:val="center"/>
          </w:tcPr>
          <w:p w:rsidR="00000000" w:rsidDel="00000000" w:rsidP="00000000" w:rsidRDefault="00000000" w:rsidRPr="00000000" w14:paraId="0000001A">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RESPONSABLE</w:t>
            </w:r>
          </w:p>
        </w:tc>
        <w:tc>
          <w:tcPr>
            <w:tcBorders>
              <w:left w:color="666666" w:space="0" w:sz="8" w:val="single"/>
              <w:right w:color="000000" w:space="0" w:sz="0" w:val="nil"/>
            </w:tcBorders>
            <w:shd w:fill="55ba9e" w:val="clear"/>
            <w:vAlign w:val="center"/>
          </w:tcPr>
          <w:p w:rsidR="00000000" w:rsidDel="00000000" w:rsidP="00000000" w:rsidRDefault="00000000" w:rsidRPr="00000000" w14:paraId="0000001B">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ACTIVIDAD</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Almacenista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E">
            <w:pPr>
              <w:spacing w:after="120" w:before="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vez recibidos los insumos conforme a lo establecido en el proceso </w:t>
            </w:r>
            <w:r w:rsidDel="00000000" w:rsidR="00000000" w:rsidRPr="00000000">
              <w:rPr>
                <w:rFonts w:ascii="Arial" w:cs="Arial" w:eastAsia="Arial" w:hAnsi="Arial"/>
                <w:b w:val="1"/>
                <w:bCs w:val="1"/>
                <w:sz w:val="22"/>
                <w:szCs w:val="22"/>
                <w:rtl w:val="0"/>
              </w:rPr>
              <w:t xml:space="preserve">PR-AL-02</w:t>
            </w:r>
            <w:r w:rsidDel="00000000" w:rsidR="00000000" w:rsidRPr="00000000">
              <w:rPr>
                <w:rFonts w:ascii="Arial" w:cs="Arial" w:eastAsia="Arial" w:hAnsi="Arial"/>
                <w:sz w:val="22"/>
                <w:szCs w:val="22"/>
                <w:rtl w:val="0"/>
              </w:rPr>
              <w:t xml:space="preserve">, almacenarlos y organizarlos en el área de almacén general como se especifica a continuación: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Organizar según el tipo y uso del insumo.</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Utilizar el sistema de Primeras Caducidades – Primeras Salidas (PCPS) y/o Primeras Entradas – Primeras Salidas (PEPS), dando prioridad según la fecha de caducidad; acomodarlos de izquierda a derecha y de atrás hacia adelante, y al tomar algún insumo, iniciar de izquierda a derecha, de frente hacia atrás.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Conservar los insumos dentro de su envase o empaque original, protegidos de la luz directa.</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cada insumo en el mobiliario y ubicación correspondiente para su almacenamiento y conservación, debidamente limpio con su debida clasificación y orden.</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Etiquetar de acuerdo con la fecha de caducidad de la siguiente manera: </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Etiqueta circular color rojo: caducidad menor a 6 meses, señalando con plumón permanente el número del mes que corresponda.</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Caducidad mayor a 6 meses al momento de su recepción no se colocará etiqueta.</w:t>
            </w:r>
          </w:p>
          <w:p w:rsidR="00000000" w:rsidDel="00000000" w:rsidP="00000000" w:rsidRDefault="00000000" w:rsidRPr="00000000" w14:paraId="00000026">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Material no se deberá colocar y resguardar SOBRE EL SUELO</w:t>
            </w:r>
            <w:r w:rsidDel="00000000" w:rsidR="00000000" w:rsidRPr="00000000">
              <w:rPr>
                <w:rFonts w:ascii="Arial" w:cs="Arial" w:eastAsia="Arial" w:hAnsi="Arial"/>
                <w:sz w:val="22"/>
                <w:szCs w:val="22"/>
                <w:rtl w:val="0"/>
              </w:rPr>
              <w:t xml:space="preserve">.</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Almacenista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9">
            <w:pPr>
              <w:spacing w:after="120" w:before="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Almacenar los dispositivos médicos y otros insumos en general conforme a los requerimientos de temperatura, humedad y exposición a la luz de acuerdo con la normativa oficial vigente: </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Temperatura ambiente controlada, entre 20 y 25 °C.</w:t>
            </w:r>
          </w:p>
          <w:p w:rsidR="00000000" w:rsidDel="00000000" w:rsidP="00000000" w:rsidRDefault="00000000" w:rsidRPr="00000000" w14:paraId="0000002B">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Lugar limpio y seco, con una humedad relativa no mayor al 40% a una temperatura ambiente controlada.</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5.3</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Almacenista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E">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Almacenar dispositivos médicos y otros insumos en general en remisión o consigna en el área asignada por el departamento de Almacén, siguiendo los lineamientos y requerimientos de temperatura, humedad y exposición a la luz mencionados en el punto anterior.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5.4</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Almacenista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1">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Limpiar y ordenar el mobiliario de acuerdo con lo establecido en la instrucción de trabajo </w:t>
            </w:r>
            <w:r w:rsidDel="00000000" w:rsidR="00000000" w:rsidRPr="00000000">
              <w:rPr>
                <w:rFonts w:ascii="Arial" w:cs="Arial" w:eastAsia="Arial" w:hAnsi="Arial"/>
                <w:b w:val="1"/>
                <w:bCs w:val="1"/>
                <w:sz w:val="22"/>
                <w:szCs w:val="22"/>
                <w:rtl w:val="0"/>
              </w:rPr>
              <w:t xml:space="preserve">IT-AL-01</w:t>
            </w:r>
            <w:r w:rsidDel="00000000" w:rsidR="00000000" w:rsidRPr="00000000">
              <w:rPr>
                <w:rFonts w:ascii="Arial" w:cs="Arial" w:eastAsia="Arial" w:hAnsi="Arial"/>
                <w:sz w:val="22"/>
                <w:szCs w:val="22"/>
                <w:rtl w:val="0"/>
              </w:rPr>
              <w:t xml:space="preserve">.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5.5</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Jefatura de Almacén</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4">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Supervisar el cumplimiento de cada una de las actividades anteriormente mencionadas se realicen en tiempo y forma.</w:t>
            </w:r>
          </w:p>
        </w:tc>
      </w:tr>
      <w:tr>
        <w:trPr>
          <w:cantSplit w:val="0"/>
          <w:tblHeader w:val="0"/>
        </w:trPr>
        <w:tc>
          <w:tcPr>
            <w:gridSpan w:val="3"/>
            <w:tcBorders>
              <w:left w:color="ffffff" w:space="0" w:sz="6" w:val="single"/>
              <w:bottom w:color="666666" w:space="0" w:sz="6" w:val="single"/>
              <w:right w:color="ffffff" w:space="0" w:sz="6" w:val="single"/>
            </w:tcBorders>
            <w:shd w:fill="e7e6e6" w:val="clear"/>
            <w:tcMar>
              <w:top w:w="0.0" w:type="dxa"/>
              <w:left w:w="40.0" w:type="dxa"/>
              <w:bottom w:w="0.0" w:type="dxa"/>
              <w:right w:w="40.0" w:type="dxa"/>
            </w:tcMar>
            <w:vAlign w:val="center"/>
          </w:tcPr>
          <w:p w:rsidR="00000000" w:rsidDel="00000000" w:rsidP="00000000" w:rsidRDefault="00000000" w:rsidRPr="00000000" w14:paraId="00000035">
            <w:pPr>
              <w:widowControl w:val="0"/>
              <w:spacing w:line="276" w:lineRule="auto"/>
              <w:ind w:right="29"/>
              <w:jc w:val="center"/>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CONTROL DE TEMPERATURA Y HUMEDAD RELATIVA</w:t>
            </w:r>
            <w:r w:rsidDel="00000000" w:rsidR="00000000" w:rsidRPr="00000000">
              <w:rPr>
                <w:rtl w:val="0"/>
              </w:rPr>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5.6</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Almacenista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A">
            <w:pPr>
              <w:spacing w:after="120" w:before="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Monitorizar la temperatura y humedad relativa del medio ambiente del Almacén y registrar la lectura en los formatos </w:t>
            </w:r>
            <w:r w:rsidDel="00000000" w:rsidR="00000000" w:rsidRPr="00000000">
              <w:rPr>
                <w:rFonts w:ascii="Arial" w:cs="Arial" w:eastAsia="Arial" w:hAnsi="Arial"/>
                <w:b w:val="1"/>
                <w:bCs w:val="1"/>
                <w:sz w:val="22"/>
                <w:szCs w:val="22"/>
                <w:rtl w:val="0"/>
              </w:rPr>
              <w:t xml:space="preserve">FT-AL-06 </w:t>
            </w:r>
            <w:r w:rsidDel="00000000" w:rsidR="00000000" w:rsidRPr="00000000">
              <w:rPr>
                <w:rFonts w:ascii="Arial" w:cs="Arial" w:eastAsia="Arial" w:hAnsi="Arial"/>
                <w:sz w:val="22"/>
                <w:szCs w:val="22"/>
                <w:rtl w:val="0"/>
              </w:rPr>
              <w:t xml:space="preserve">y </w:t>
            </w:r>
            <w:r w:rsidDel="00000000" w:rsidR="00000000" w:rsidRPr="00000000">
              <w:rPr>
                <w:rFonts w:ascii="Arial" w:cs="Arial" w:eastAsia="Arial" w:hAnsi="Arial"/>
                <w:b w:val="1"/>
                <w:bCs w:val="1"/>
                <w:sz w:val="22"/>
                <w:szCs w:val="22"/>
                <w:rtl w:val="0"/>
              </w:rPr>
              <w:t xml:space="preserve">FT-AL-07</w:t>
            </w:r>
            <w:r w:rsidDel="00000000" w:rsidR="00000000" w:rsidRPr="00000000">
              <w:rPr>
                <w:rFonts w:ascii="Arial" w:cs="Arial" w:eastAsia="Arial" w:hAnsi="Arial"/>
                <w:sz w:val="22"/>
                <w:szCs w:val="22"/>
                <w:rtl w:val="0"/>
              </w:rPr>
              <w:t xml:space="preserve">, respectivamente.</w:t>
            </w:r>
          </w:p>
          <w:p w:rsidR="00000000" w:rsidDel="00000000" w:rsidP="00000000" w:rsidRDefault="00000000" w:rsidRPr="00000000" w14:paraId="0000003B">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NOTA: El termohigrómetro debe estar calibrado por un laboratorio acreditado por la Entidad Mexicana de Acreditación (EMA).</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5.7</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Jefatura de Almacén</w:t>
              <w:br w:type="textWrapping"/>
              <w:t xml:space="preserve">Analista de Almacén</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E">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que la humedad relativa sobrepase el límite y/o el promedio mensual sea superior al 40%, o la temperatura del medio ambiente sobrepase el límite de 30 °C, dar aviso al Departamento de Mantenimiento para aplicar las medidas correctivas necesarias al área.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5.8</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4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Auxiliar de Mantenimiento</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41">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 recibir el aviso por parte del departamento de Almacén General, realizar el mantenimiento correctivo conforme al </w:t>
            </w:r>
            <w:r w:rsidDel="00000000" w:rsidR="00000000" w:rsidRPr="00000000">
              <w:rPr>
                <w:rFonts w:ascii="Arial" w:cs="Arial" w:eastAsia="Arial" w:hAnsi="Arial"/>
                <w:b w:val="1"/>
                <w:bCs w:val="1"/>
                <w:sz w:val="22"/>
                <w:szCs w:val="22"/>
                <w:rtl w:val="0"/>
              </w:rPr>
              <w:t xml:space="preserve">PR-SG-17</w:t>
            </w:r>
            <w:r w:rsidDel="00000000" w:rsidR="00000000" w:rsidRPr="00000000">
              <w:rPr>
                <w:rFonts w:ascii="Arial" w:cs="Arial" w:eastAsia="Arial" w:hAnsi="Arial"/>
                <w:sz w:val="22"/>
                <w:szCs w:val="22"/>
                <w:rtl w:val="0"/>
              </w:rPr>
              <w:t xml:space="preserve"> en las instalaciones para dar pronta solución al problema detectado.</w:t>
            </w:r>
          </w:p>
        </w:tc>
      </w:tr>
      <w:tr>
        <w:trPr>
          <w:cantSplit w:val="0"/>
          <w:tblHeader w:val="0"/>
        </w:trPr>
        <w:tc>
          <w:tcPr>
            <w:tcBorders>
              <w:top w:color="666666" w:space="0" w:sz="6" w:val="single"/>
              <w:left w:color="ffffff" w:space="0" w:sz="6" w:val="single"/>
              <w:bottom w:color="000000" w:space="0" w:sz="4"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4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5.9</w:t>
            </w:r>
          </w:p>
        </w:tc>
        <w:tc>
          <w:tcPr>
            <w:tcBorders>
              <w:top w:color="666666" w:space="0" w:sz="6" w:val="single"/>
              <w:left w:color="666666" w:space="0" w:sz="6" w:val="single"/>
              <w:bottom w:color="000000" w:space="0" w:sz="4"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4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Jefatura de Almacén</w:t>
            </w:r>
          </w:p>
        </w:tc>
        <w:tc>
          <w:tcPr>
            <w:tcBorders>
              <w:top w:color="666666" w:space="0" w:sz="6" w:val="single"/>
              <w:left w:color="666666" w:space="0" w:sz="6" w:val="single"/>
              <w:bottom w:color="000000" w:space="0" w:sz="4"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44">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Supervisar que cada una de las actividades anteriormente mencionadas se realicen en tiempo y forma.</w:t>
            </w:r>
          </w:p>
        </w:tc>
      </w:tr>
      <w:tr>
        <w:trPr>
          <w:cantSplit w:val="0"/>
          <w:tblHeader w:val="0"/>
        </w:trPr>
        <w:tc>
          <w:tcPr>
            <w:gridSpan w:val="3"/>
            <w:tcBorders>
              <w:top w:color="000000" w:space="0" w:sz="4" w:val="single"/>
              <w:left w:color="ffffff" w:space="0" w:sz="6" w:val="single"/>
              <w:bottom w:color="000000" w:space="0" w:sz="4" w:val="single"/>
              <w:right w:color="ffffff" w:space="0" w:sz="6" w:val="single"/>
            </w:tcBorders>
            <w:shd w:fill="d0cece" w:val="clear"/>
            <w:tcMar>
              <w:top w:w="0.0" w:type="dxa"/>
              <w:left w:w="40.0" w:type="dxa"/>
              <w:bottom w:w="0.0" w:type="dxa"/>
              <w:right w:w="40.0" w:type="dxa"/>
            </w:tcMar>
            <w:vAlign w:val="center"/>
          </w:tcPr>
          <w:p w:rsidR="00000000" w:rsidDel="00000000" w:rsidP="00000000" w:rsidRDefault="00000000" w:rsidRPr="00000000" w14:paraId="00000045">
            <w:pPr>
              <w:widowControl w:val="0"/>
              <w:spacing w:line="276" w:lineRule="auto"/>
              <w:ind w:right="29"/>
              <w:jc w:val="center"/>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REVISIÓN E IDENTIFICACIÓN DE INSUMOS PARA LA SALUD PRÓXIMOS A CADUCAR, CADUCOS O DETERIORADOS.</w:t>
            </w:r>
            <w:r w:rsidDel="00000000" w:rsidR="00000000" w:rsidRPr="00000000">
              <w:rPr>
                <w:rtl w:val="0"/>
              </w:rPr>
            </w:r>
          </w:p>
        </w:tc>
      </w:tr>
      <w:tr>
        <w:trPr>
          <w:cantSplit w:val="0"/>
          <w:tblHeader w:val="0"/>
        </w:trPr>
        <w:tc>
          <w:tcPr>
            <w:tcBorders>
              <w:top w:color="000000" w:space="0" w:sz="4" w:val="single"/>
              <w:left w:color="ffffff" w:space="0" w:sz="6" w:val="single"/>
              <w:bottom w:color="000000" w:space="0" w:sz="4"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4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5.10</w:t>
            </w:r>
          </w:p>
        </w:tc>
        <w:tc>
          <w:tcPr>
            <w:tcBorders>
              <w:top w:color="000000" w:space="0" w:sz="4" w:val="single"/>
              <w:left w:color="666666" w:space="0" w:sz="6" w:val="single"/>
              <w:bottom w:color="000000" w:space="0" w:sz="4"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4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Jefatura de Almacen</w:t>
            </w:r>
          </w:p>
          <w:p w:rsidR="00000000" w:rsidDel="00000000" w:rsidP="00000000" w:rsidRDefault="00000000" w:rsidRPr="00000000" w14:paraId="0000004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Analista de Almacén</w:t>
            </w:r>
          </w:p>
          <w:p w:rsidR="00000000" w:rsidDel="00000000" w:rsidP="00000000" w:rsidRDefault="00000000" w:rsidRPr="00000000" w14:paraId="0000004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Almacenista</w:t>
            </w:r>
          </w:p>
        </w:tc>
        <w:tc>
          <w:tcPr>
            <w:tcBorders>
              <w:top w:color="000000" w:space="0" w:sz="4" w:val="single"/>
              <w:left w:color="666666" w:space="0" w:sz="6" w:val="single"/>
              <w:bottom w:color="000000" w:space="0" w:sz="4"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4C">
            <w:pPr>
              <w:spacing w:after="120" w:before="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Revisar mensualmente y/o durante la limpieza cada uno de los insumos para identificar aquellos próximos a caducar o caducos, así como los que han sufrido alguna alteración física o daño, tales como: </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Envase o empaque manchado por rastros de humedad o enmohecido por ser expuesto a condiciones de extrema humedad.</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Envase o empaque manchado por el contenido, lo que indica fugas, derrames o rupturas.</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Ruptura del envase o empaque.</w:t>
            </w:r>
          </w:p>
          <w:p w:rsidR="00000000" w:rsidDel="00000000" w:rsidP="00000000" w:rsidRDefault="00000000" w:rsidRPr="00000000" w14:paraId="00000050">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Decoloración del envase o empaque por ser expuesto a la luz directa, solar o artificial.</w:t>
            </w:r>
          </w:p>
        </w:tc>
      </w:tr>
      <w:tr>
        <w:trPr>
          <w:cantSplit w:val="0"/>
          <w:tblHeader w:val="0"/>
        </w:trPr>
        <w:tc>
          <w:tcPr>
            <w:tcBorders>
              <w:top w:color="000000" w:space="0" w:sz="4" w:val="single"/>
              <w:left w:color="ffffff" w:space="0" w:sz="6" w:val="single"/>
              <w:bottom w:color="000000" w:space="0" w:sz="4"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5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5.11</w:t>
            </w:r>
          </w:p>
        </w:tc>
        <w:tc>
          <w:tcPr>
            <w:tcBorders>
              <w:top w:color="000000" w:space="0" w:sz="4" w:val="single"/>
              <w:left w:color="666666" w:space="0" w:sz="6" w:val="single"/>
              <w:bottom w:color="000000" w:space="0" w:sz="4"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52">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Almacenista</w:t>
            </w:r>
          </w:p>
          <w:p w:rsidR="00000000" w:rsidDel="00000000" w:rsidP="00000000" w:rsidRDefault="00000000" w:rsidRPr="00000000" w14:paraId="00000053">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Analista de Almacén</w:t>
            </w:r>
          </w:p>
        </w:tc>
        <w:tc>
          <w:tcPr>
            <w:tcBorders>
              <w:top w:color="000000" w:space="0" w:sz="4" w:val="single"/>
              <w:left w:color="666666" w:space="0" w:sz="6" w:val="single"/>
              <w:bottom w:color="000000" w:space="0" w:sz="4"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54">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 encontrar alguna alteración, separar del resto en el lugar indicado, avisando a Jefatura de Almacén para tomar las medidas necesarias.</w:t>
            </w:r>
          </w:p>
          <w:p w:rsidR="00000000" w:rsidDel="00000000" w:rsidP="00000000" w:rsidRDefault="00000000" w:rsidRPr="00000000" w14:paraId="00000055">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Dar aviso al dpto. de Compras para ponerse en contacto con el proveedor si procediese algún cambio.</w:t>
            </w:r>
          </w:p>
        </w:tc>
      </w:tr>
      <w:tr>
        <w:trPr>
          <w:cantSplit w:val="0"/>
          <w:tblHeader w:val="0"/>
        </w:trPr>
        <w:tc>
          <w:tcPr>
            <w:tcBorders>
              <w:top w:color="000000" w:space="0" w:sz="4" w:val="single"/>
              <w:left w:color="ffffff" w:space="0" w:sz="6" w:val="single"/>
              <w:bottom w:color="000000" w:space="0" w:sz="4"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5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5.12</w:t>
            </w:r>
          </w:p>
        </w:tc>
        <w:tc>
          <w:tcPr>
            <w:tcBorders>
              <w:top w:color="000000" w:space="0" w:sz="4" w:val="single"/>
              <w:left w:color="666666" w:space="0" w:sz="6" w:val="single"/>
              <w:bottom w:color="000000" w:space="0" w:sz="4"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5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Jefatura de Almacén</w:t>
            </w:r>
          </w:p>
        </w:tc>
        <w:tc>
          <w:tcPr>
            <w:tcBorders>
              <w:top w:color="000000" w:space="0" w:sz="4" w:val="single"/>
              <w:left w:color="666666" w:space="0" w:sz="6" w:val="single"/>
              <w:bottom w:color="000000" w:space="0" w:sz="4"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58">
            <w:pPr>
              <w:spacing w:after="120" w:before="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Revisar los insumos próximos a caducar, caducos o deteriorados y: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Devolver al proveedor (si procede)</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29"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Destruir y desechar el insumo de la manera correspondiente.</w:t>
            </w:r>
          </w:p>
        </w:tc>
      </w:tr>
      <w:tr>
        <w:trPr>
          <w:cantSplit w:val="0"/>
          <w:tblHeader w:val="0"/>
        </w:trPr>
        <w:tc>
          <w:tcPr>
            <w:tcBorders>
              <w:top w:color="000000" w:space="0" w:sz="4" w:val="single"/>
              <w:left w:color="ffffff" w:space="0" w:sz="6" w:val="single"/>
              <w:bottom w:color="000000" w:space="0" w:sz="4"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5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5.13</w:t>
            </w:r>
          </w:p>
        </w:tc>
        <w:tc>
          <w:tcPr>
            <w:tcBorders>
              <w:top w:color="000000" w:space="0" w:sz="4" w:val="single"/>
              <w:left w:color="666666" w:space="0" w:sz="6" w:val="single"/>
              <w:bottom w:color="000000" w:space="0" w:sz="4"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5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Jefatura de Almacén</w:t>
            </w:r>
          </w:p>
          <w:p w:rsidR="00000000" w:rsidDel="00000000" w:rsidP="00000000" w:rsidRDefault="00000000" w:rsidRPr="00000000" w14:paraId="0000005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Analista de Almacen</w:t>
            </w:r>
          </w:p>
        </w:tc>
        <w:tc>
          <w:tcPr>
            <w:tcBorders>
              <w:top w:color="000000" w:space="0" w:sz="4" w:val="single"/>
              <w:left w:color="666666" w:space="0" w:sz="6" w:val="single"/>
              <w:bottom w:color="000000" w:space="0" w:sz="4"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5E">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Dar de baja la existencia en el almacen por medio del sistema vigente, realizando un traspaso al almacen de CADUCADOS ALMACEN GENERAL para fines contables.</w:t>
            </w:r>
          </w:p>
        </w:tc>
      </w:tr>
    </w:tbl>
    <w:p w:rsidR="00000000" w:rsidDel="00000000" w:rsidP="00000000" w:rsidRDefault="00000000" w:rsidRPr="00000000" w14:paraId="0000005F">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GESTIÓN DE RIESGOS.</w:t>
      </w:r>
    </w:p>
    <w:p w:rsidR="00000000" w:rsidDel="00000000" w:rsidP="00000000" w:rsidRDefault="00000000" w:rsidRPr="00000000" w14:paraId="00000062">
      <w:pPr>
        <w:ind w:left="360" w:firstLine="0"/>
        <w:rPr>
          <w:rFonts w:ascii="Arial" w:cs="Arial" w:eastAsia="Arial" w:hAnsi="Arial"/>
          <w:sz w:val="22"/>
          <w:szCs w:val="22"/>
        </w:rPr>
      </w:pPr>
      <w:r w:rsidDel="00000000" w:rsidR="00000000" w:rsidRPr="00000000">
        <w:rPr>
          <w:rtl w:val="0"/>
        </w:rPr>
      </w:r>
    </w:p>
    <w:tbl>
      <w:tblPr>
        <w:tblStyle w:val="Table2"/>
        <w:tblW w:w="883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0"/>
        <w:gridCol w:w="4243"/>
        <w:tblGridChange w:id="0">
          <w:tblGrid>
            <w:gridCol w:w="4590"/>
            <w:gridCol w:w="4243"/>
          </w:tblGrid>
        </w:tblGridChange>
      </w:tblGrid>
      <w:tr>
        <w:trPr>
          <w:cantSplit w:val="0"/>
          <w:tblHeader w:val="0"/>
        </w:trPr>
        <w:tc>
          <w:tcPr>
            <w:shd w:fill="55ba9e" w:val="clear"/>
          </w:tcPr>
          <w:p w:rsidR="00000000" w:rsidDel="00000000" w:rsidP="00000000" w:rsidRDefault="00000000" w:rsidRPr="00000000" w14:paraId="0000006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Riesgo</w:t>
            </w:r>
          </w:p>
        </w:tc>
        <w:tc>
          <w:tcPr>
            <w:shd w:fill="55ba9e" w:val="clear"/>
          </w:tcPr>
          <w:p w:rsidR="00000000" w:rsidDel="00000000" w:rsidP="00000000" w:rsidRDefault="00000000" w:rsidRPr="00000000" w14:paraId="0000006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Barrera de Seguridad</w:t>
            </w:r>
          </w:p>
        </w:tc>
      </w:tr>
      <w:tr>
        <w:trPr>
          <w:cantSplit w:val="0"/>
          <w:tblHeader w:val="0"/>
        </w:trPr>
        <w:tc>
          <w:tcPr/>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Almacenamiento y organización inapropiada de los insumos, generando pérdidas por caducidad o por alguna alteración física.</w:t>
            </w:r>
            <w:r w:rsidDel="00000000" w:rsidR="00000000" w:rsidRPr="00000000">
              <w:rPr>
                <w:rtl w:val="0"/>
              </w:rPr>
            </w:r>
          </w:p>
        </w:tc>
        <w:tc>
          <w:tcPr/>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sz w:val="22"/>
                <w:szCs w:val="22"/>
                <w:rtl w:val="0"/>
              </w:rPr>
              <w:t xml:space="preserve">a. Utilizar el sistema PCPS y/o PEPS, almacenar los insumos dentro de su empaque original y protegidos de la luz directa, y colocar el insumo en el mobiliario y área correspondiente.</w:t>
            </w:r>
          </w:p>
        </w:tc>
      </w:tr>
      <w:tr>
        <w:trPr>
          <w:cantSplit w:val="0"/>
          <w:tblHeader w:val="0"/>
        </w:trPr>
        <w:tc>
          <w:tcPr/>
          <w:p w:rsidR="00000000" w:rsidDel="00000000" w:rsidP="00000000" w:rsidRDefault="00000000" w:rsidRPr="00000000" w14:paraId="00000067">
            <w:pPr>
              <w:pBdr>
                <w:top w:space="0" w:sz="0" w:val="nil"/>
                <w:left w:space="0" w:sz="0" w:val="nil"/>
                <w:bottom w:space="0" w:sz="0" w:val="nil"/>
                <w:right w:space="0" w:sz="0" w:val="nil"/>
                <w:between w:space="0" w:sz="0" w:val="nil"/>
              </w:pBdr>
              <w:ind w:left="72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Temperatura y humedad relativa del medio ambiente fuera de rango.</w:t>
            </w:r>
            <w:r w:rsidDel="00000000" w:rsidR="00000000" w:rsidRPr="00000000">
              <w:rPr>
                <w:rtl w:val="0"/>
              </w:rPr>
            </w:r>
          </w:p>
        </w:tc>
        <w:tc>
          <w:tcPr/>
          <w:p w:rsidR="00000000" w:rsidDel="00000000" w:rsidP="00000000" w:rsidRDefault="00000000" w:rsidRPr="00000000" w14:paraId="00000069">
            <w:pPr>
              <w:rPr>
                <w:rFonts w:ascii="Arial" w:cs="Arial" w:eastAsia="Arial" w:hAnsi="Arial"/>
                <w:sz w:val="22"/>
                <w:szCs w:val="22"/>
              </w:rPr>
            </w:pPr>
            <w:r w:rsidDel="00000000" w:rsidR="00000000" w:rsidRPr="00000000">
              <w:rPr>
                <w:rFonts w:ascii="Arial" w:cs="Arial" w:eastAsia="Arial" w:hAnsi="Arial"/>
                <w:sz w:val="22"/>
                <w:szCs w:val="22"/>
                <w:rtl w:val="0"/>
              </w:rPr>
              <w:t xml:space="preserve">b. Dar aviso de inmediato al departamento de Mantenimiento para aplicar las medidas correctivas a los termohigrómetros, así como el mantenimiento preventivo para evitar fallas en los equipos.</w:t>
            </w:r>
          </w:p>
        </w:tc>
      </w:tr>
      <w:tr>
        <w:trPr>
          <w:cantSplit w:val="0"/>
          <w:tblHeader w:val="0"/>
        </w:trPr>
        <w:tc>
          <w:tcPr/>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Distribución de insumos caducados o deteriorados</w:t>
            </w:r>
            <w:r w:rsidDel="00000000" w:rsidR="00000000" w:rsidRPr="00000000">
              <w:rPr>
                <w:rtl w:val="0"/>
              </w:rPr>
            </w:r>
          </w:p>
        </w:tc>
        <w:tc>
          <w:tcPr/>
          <w:p w:rsidR="00000000" w:rsidDel="00000000" w:rsidP="00000000" w:rsidRDefault="00000000" w:rsidRPr="00000000" w14:paraId="0000006B">
            <w:pPr>
              <w:rPr>
                <w:rFonts w:ascii="Arial" w:cs="Arial" w:eastAsia="Arial" w:hAnsi="Arial"/>
                <w:sz w:val="22"/>
                <w:szCs w:val="22"/>
              </w:rPr>
            </w:pPr>
            <w:r w:rsidDel="00000000" w:rsidR="00000000" w:rsidRPr="00000000">
              <w:rPr>
                <w:rFonts w:ascii="Arial" w:cs="Arial" w:eastAsia="Arial" w:hAnsi="Arial"/>
                <w:sz w:val="22"/>
                <w:szCs w:val="22"/>
                <w:rtl w:val="0"/>
              </w:rPr>
              <w:t xml:space="preserve">c. Revisar mensualmente los insumos y etiquetar de acuerdo con la fecha de caducidad conforme a lo descrito en el presente documento.</w:t>
            </w:r>
          </w:p>
        </w:tc>
      </w:tr>
    </w:tbl>
    <w:p w:rsidR="00000000" w:rsidDel="00000000" w:rsidP="00000000" w:rsidRDefault="00000000" w:rsidRPr="00000000" w14:paraId="0000006C">
      <w:pPr>
        <w:rPr>
          <w:rFonts w:ascii="Arial" w:cs="Arial" w:eastAsia="Arial" w:hAnsi="Arial"/>
          <w:b w:val="1"/>
          <w:b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ANEXOS.</w:t>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72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6F">
      <w:pPr>
        <w:numPr>
          <w:ilvl w:val="1"/>
          <w:numId w:val="1"/>
        </w:numPr>
        <w:pBdr>
          <w:top w:space="0" w:sz="0" w:val="nil"/>
          <w:left w:space="0" w:sz="0" w:val="nil"/>
          <w:bottom w:space="0" w:sz="0" w:val="nil"/>
          <w:right w:space="0" w:sz="0" w:val="nil"/>
          <w:between w:space="0" w:sz="0" w:val="nil"/>
        </w:pBdr>
        <w:ind w:left="108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Flujograma.</w:t>
      </w:r>
    </w:p>
    <w:p w:rsidR="00000000" w:rsidDel="00000000" w:rsidP="00000000" w:rsidRDefault="00000000" w:rsidRPr="00000000" w14:paraId="00000070">
      <w:pPr>
        <w:spacing w:after="120" w:lineRule="auto"/>
        <w:rPr>
          <w:rFonts w:ascii="Times New Roman" w:cs="Times New Roman" w:eastAsia="Times New Roman" w:hAnsi="Times New Roman"/>
          <w:color w:val="a6a6a6"/>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pPr>
      <w:r w:rsidDel="00000000" w:rsidR="00000000" w:rsidRPr="00000000">
        <w:rPr/>
        <w:drawing>
          <wp:inline distB="0" distT="0" distL="0" distR="0">
            <wp:extent cx="6254879" cy="3277477"/>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54879" cy="327747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6">
      <w:pPr>
        <w:numPr>
          <w:ilvl w:val="1"/>
          <w:numId w:val="1"/>
        </w:numPr>
        <w:pBdr>
          <w:top w:space="0" w:sz="0" w:val="nil"/>
          <w:left w:space="0" w:sz="0" w:val="nil"/>
          <w:bottom w:space="0" w:sz="0" w:val="nil"/>
          <w:right w:space="0" w:sz="0" w:val="nil"/>
          <w:between w:space="0" w:sz="0" w:val="nil"/>
        </w:pBdr>
        <w:ind w:left="108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Documentos de referencia.</w:t>
      </w:r>
      <w:r w:rsidDel="00000000" w:rsidR="00000000" w:rsidRPr="00000000">
        <w:rPr>
          <w:rtl w:val="0"/>
        </w:rPr>
      </w:r>
    </w:p>
    <w:tbl>
      <w:tblPr>
        <w:tblStyle w:val="Table3"/>
        <w:tblW w:w="878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3"/>
        <w:gridCol w:w="2126"/>
        <w:tblGridChange w:id="0">
          <w:tblGrid>
            <w:gridCol w:w="6663"/>
            <w:gridCol w:w="2126"/>
          </w:tblGrid>
        </w:tblGridChange>
      </w:tblGrid>
      <w:tr>
        <w:trPr>
          <w:cantSplit w:val="0"/>
          <w:trHeight w:val="443" w:hRule="atLeast"/>
          <w:tblHeader w:val="0"/>
        </w:trPr>
        <w:tc>
          <w:tcPr>
            <w:shd w:fill="55ba9e" w:val="clear"/>
            <w:vAlign w:val="center"/>
          </w:tcPr>
          <w:p w:rsidR="00000000" w:rsidDel="00000000" w:rsidP="00000000" w:rsidRDefault="00000000" w:rsidRPr="00000000" w14:paraId="0000007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 del documento</w:t>
            </w:r>
          </w:p>
        </w:tc>
        <w:tc>
          <w:tcPr>
            <w:shd w:fill="55ba9e" w:val="clear"/>
            <w:vAlign w:val="center"/>
          </w:tcPr>
          <w:p w:rsidR="00000000" w:rsidDel="00000000" w:rsidP="00000000" w:rsidRDefault="00000000" w:rsidRPr="00000000" w14:paraId="0000007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w:t>
            </w:r>
          </w:p>
        </w:tc>
      </w:tr>
      <w:tr>
        <w:trPr>
          <w:cantSplit w:val="0"/>
          <w:trHeight w:val="122" w:hRule="atLeast"/>
          <w:tblHeader w:val="0"/>
        </w:trPr>
        <w:tc>
          <w:tcPr/>
          <w:p w:rsidR="00000000" w:rsidDel="00000000" w:rsidP="00000000" w:rsidRDefault="00000000" w:rsidRPr="00000000" w14:paraId="00000079">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Registro de temperatura del medio ambiente de Almacén</w:t>
            </w:r>
            <w:r w:rsidDel="00000000" w:rsidR="00000000" w:rsidRPr="00000000">
              <w:rPr>
                <w:rtl w:val="0"/>
              </w:rPr>
            </w:r>
          </w:p>
        </w:tc>
        <w:tc>
          <w:tcPr>
            <w:vAlign w:val="center"/>
          </w:tcPr>
          <w:p w:rsidR="00000000" w:rsidDel="00000000" w:rsidP="00000000" w:rsidRDefault="00000000" w:rsidRPr="00000000" w14:paraId="0000007A">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FT-AL-06</w:t>
            </w: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7B">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Registro de humedad relativa del medio ambiente de Almacén</w:t>
            </w:r>
            <w:r w:rsidDel="00000000" w:rsidR="00000000" w:rsidRPr="00000000">
              <w:rPr>
                <w:rtl w:val="0"/>
              </w:rPr>
            </w:r>
          </w:p>
        </w:tc>
        <w:tc>
          <w:tcPr>
            <w:vAlign w:val="center"/>
          </w:tcPr>
          <w:p w:rsidR="00000000" w:rsidDel="00000000" w:rsidP="00000000" w:rsidRDefault="00000000" w:rsidRPr="00000000" w14:paraId="0000007C">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FT-AL-07</w:t>
            </w: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7D">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Limpieza de áreas, mobiliario e insumos</w:t>
            </w:r>
            <w:r w:rsidDel="00000000" w:rsidR="00000000" w:rsidRPr="00000000">
              <w:rPr>
                <w:rtl w:val="0"/>
              </w:rPr>
            </w:r>
          </w:p>
        </w:tc>
        <w:tc>
          <w:tcPr>
            <w:vAlign w:val="center"/>
          </w:tcPr>
          <w:p w:rsidR="00000000" w:rsidDel="00000000" w:rsidP="00000000" w:rsidRDefault="00000000" w:rsidRPr="00000000" w14:paraId="0000007E">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IT-AL-01</w:t>
            </w: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7F">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Proceso de mantenimiento correctivo en equipo e infraestructura</w:t>
            </w:r>
          </w:p>
        </w:tc>
        <w:tc>
          <w:tcPr>
            <w:vAlign w:val="center"/>
          </w:tcPr>
          <w:p w:rsidR="00000000" w:rsidDel="00000000" w:rsidP="00000000" w:rsidRDefault="00000000" w:rsidRPr="00000000" w14:paraId="00000080">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PR-SG-17</w:t>
            </w:r>
          </w:p>
        </w:tc>
      </w:tr>
      <w:tr>
        <w:trPr>
          <w:cantSplit w:val="0"/>
          <w:trHeight w:val="522" w:hRule="atLeast"/>
          <w:tblHeader w:val="0"/>
        </w:trPr>
        <w:tc>
          <w:tcPr/>
          <w:p w:rsidR="00000000" w:rsidDel="00000000" w:rsidP="00000000" w:rsidRDefault="00000000" w:rsidRPr="00000000" w14:paraId="00000081">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Adquisición y recepción de insumos en general</w:t>
            </w:r>
          </w:p>
        </w:tc>
        <w:tc>
          <w:tcPr>
            <w:vAlign w:val="center"/>
          </w:tcPr>
          <w:p w:rsidR="00000000" w:rsidDel="00000000" w:rsidP="00000000" w:rsidRDefault="00000000" w:rsidRPr="00000000" w14:paraId="00000082">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PR-AL-02</w:t>
            </w:r>
          </w:p>
        </w:tc>
      </w:tr>
    </w:tbl>
    <w:p w:rsidR="00000000" w:rsidDel="00000000" w:rsidP="00000000" w:rsidRDefault="00000000" w:rsidRPr="00000000" w14:paraId="000000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CONTROL DE CAMBIOS.</w:t>
      </w:r>
    </w:p>
    <w:p w:rsidR="00000000" w:rsidDel="00000000" w:rsidP="00000000" w:rsidRDefault="00000000" w:rsidRPr="00000000" w14:paraId="00000085">
      <w:pPr>
        <w:rPr>
          <w:rFonts w:ascii="Arial" w:cs="Arial" w:eastAsia="Arial" w:hAnsi="Arial"/>
          <w:sz w:val="22"/>
          <w:szCs w:val="22"/>
        </w:rPr>
      </w:pPr>
      <w:r w:rsidDel="00000000" w:rsidR="00000000" w:rsidRPr="00000000">
        <w:rPr>
          <w:rtl w:val="0"/>
        </w:rPr>
      </w:r>
    </w:p>
    <w:tbl>
      <w:tblPr>
        <w:tblStyle w:val="Table4"/>
        <w:tblW w:w="8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6"/>
        <w:gridCol w:w="1275"/>
        <w:gridCol w:w="3119"/>
        <w:gridCol w:w="1843"/>
        <w:gridCol w:w="1559"/>
        <w:tblGridChange w:id="0">
          <w:tblGrid>
            <w:gridCol w:w="1096"/>
            <w:gridCol w:w="1275"/>
            <w:gridCol w:w="3119"/>
            <w:gridCol w:w="1843"/>
            <w:gridCol w:w="1559"/>
          </w:tblGrid>
        </w:tblGridChange>
      </w:tblGrid>
      <w:tr>
        <w:trPr>
          <w:cantSplit w:val="0"/>
          <w:trHeight w:val="222" w:hRule="atLeast"/>
          <w:tblHeader w:val="0"/>
        </w:trPr>
        <w:tc>
          <w:tcPr>
            <w:shd w:fill="55ba9e" w:val="clear"/>
            <w:vAlign w:val="center"/>
          </w:tcPr>
          <w:p w:rsidR="00000000" w:rsidDel="00000000" w:rsidP="00000000" w:rsidRDefault="00000000" w:rsidRPr="00000000" w14:paraId="0000008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shd w:fill="55ba9e" w:val="clear"/>
            <w:vAlign w:val="center"/>
          </w:tcPr>
          <w:p w:rsidR="00000000" w:rsidDel="00000000" w:rsidP="00000000" w:rsidRDefault="00000000" w:rsidRPr="00000000" w14:paraId="0000008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c>
          <w:tcPr>
            <w:shd w:fill="55ba9e" w:val="clear"/>
          </w:tcPr>
          <w:p w:rsidR="00000000" w:rsidDel="00000000" w:rsidP="00000000" w:rsidRDefault="00000000" w:rsidRPr="00000000" w14:paraId="00000088">
            <w:pPr>
              <w:spacing w:after="120" w:before="120" w:lineRule="auto"/>
              <w:jc w:val="center"/>
              <w:rPr>
                <w:rFonts w:ascii="Arial" w:cs="Arial" w:eastAsia="Arial" w:hAnsi="Arial"/>
                <w:color w:val="808080"/>
                <w:sz w:val="22"/>
                <w:szCs w:val="22"/>
              </w:rPr>
            </w:pPr>
            <w:r w:rsidDel="00000000" w:rsidR="00000000" w:rsidRPr="00000000">
              <w:rPr>
                <w:rFonts w:ascii="Arial" w:cs="Arial" w:eastAsia="Arial" w:hAnsi="Arial"/>
                <w:b w:val="1"/>
                <w:bCs w:val="1"/>
                <w:sz w:val="22"/>
                <w:szCs w:val="22"/>
                <w:rtl w:val="0"/>
              </w:rPr>
              <w:t xml:space="preserve">Descripción del cambio</w:t>
            </w:r>
            <w:r w:rsidDel="00000000" w:rsidR="00000000" w:rsidRPr="00000000">
              <w:rPr>
                <w:rtl w:val="0"/>
              </w:rPr>
            </w:r>
          </w:p>
        </w:tc>
        <w:tc>
          <w:tcPr>
            <w:shd w:fill="55ba9e" w:val="clear"/>
          </w:tcPr>
          <w:p w:rsidR="00000000" w:rsidDel="00000000" w:rsidP="00000000" w:rsidRDefault="00000000" w:rsidRPr="00000000" w14:paraId="00000089">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Realizado</w:t>
            </w:r>
          </w:p>
        </w:tc>
        <w:tc>
          <w:tcPr>
            <w:shd w:fill="55ba9e" w:val="clear"/>
          </w:tcPr>
          <w:p w:rsidR="00000000" w:rsidDel="00000000" w:rsidP="00000000" w:rsidRDefault="00000000" w:rsidRPr="00000000" w14:paraId="0000008A">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Aprobado</w:t>
            </w:r>
          </w:p>
        </w:tc>
      </w:tr>
      <w:tr>
        <w:trPr>
          <w:cantSplit w:val="0"/>
          <w:trHeight w:val="707" w:hRule="atLeast"/>
          <w:tblHeader w:val="0"/>
        </w:trPr>
        <w:tc>
          <w:tcPr>
            <w:vAlign w:val="center"/>
          </w:tcPr>
          <w:p w:rsidR="00000000" w:rsidDel="00000000" w:rsidP="00000000" w:rsidRDefault="00000000" w:rsidRPr="00000000" w14:paraId="0000008B">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8C">
            <w:pPr>
              <w:spacing w:after="120" w:before="12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28/07/2022</w:t>
            </w:r>
            <w:r w:rsidDel="00000000" w:rsidR="00000000" w:rsidRPr="00000000">
              <w:rPr>
                <w:rtl w:val="0"/>
              </w:rPr>
            </w:r>
          </w:p>
        </w:tc>
        <w:tc>
          <w:tcPr>
            <w:vAlign w:val="center"/>
          </w:tcPr>
          <w:p w:rsidR="00000000" w:rsidDel="00000000" w:rsidP="00000000" w:rsidRDefault="00000000" w:rsidRPr="00000000" w14:paraId="0000008D">
            <w:pPr>
              <w:spacing w:after="120" w:before="12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Alta del documento</w:t>
            </w:r>
            <w:r w:rsidDel="00000000" w:rsidR="00000000" w:rsidRPr="00000000">
              <w:rPr>
                <w:rtl w:val="0"/>
              </w:rPr>
            </w:r>
          </w:p>
        </w:tc>
        <w:tc>
          <w:tcPr>
            <w:vAlign w:val="center"/>
          </w:tcPr>
          <w:p w:rsidR="00000000" w:rsidDel="00000000" w:rsidP="00000000" w:rsidRDefault="00000000" w:rsidRPr="00000000" w14:paraId="0000008E">
            <w:pPr>
              <w:spacing w:after="120" w:before="12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LAE. Ismael Omar Rodríguez Vázquez</w:t>
            </w:r>
            <w:r w:rsidDel="00000000" w:rsidR="00000000" w:rsidRPr="00000000">
              <w:rPr>
                <w:rtl w:val="0"/>
              </w:rPr>
            </w:r>
          </w:p>
        </w:tc>
        <w:tc>
          <w:tcPr>
            <w:vAlign w:val="center"/>
          </w:tcPr>
          <w:p w:rsidR="00000000" w:rsidDel="00000000" w:rsidP="00000000" w:rsidRDefault="00000000" w:rsidRPr="00000000" w14:paraId="0000008F">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Mtra. Ana Cecilia Zárate Bautista</w:t>
            </w:r>
          </w:p>
        </w:tc>
      </w:tr>
      <w:tr>
        <w:trPr>
          <w:cantSplit w:val="0"/>
          <w:trHeight w:val="707" w:hRule="atLeast"/>
          <w:tblHeader w:val="0"/>
        </w:trPr>
        <w:tc>
          <w:tcPr>
            <w:vAlign w:val="center"/>
          </w:tcPr>
          <w:p w:rsidR="00000000" w:rsidDel="00000000" w:rsidP="00000000" w:rsidRDefault="00000000" w:rsidRPr="00000000" w14:paraId="00000090">
            <w:pPr>
              <w:spacing w:after="120" w:before="120" w:lineRule="auto"/>
              <w:jc w:val="center"/>
              <w:rPr>
                <w:rFonts w:ascii="Arial" w:cs="Arial" w:eastAsia="Arial" w:hAnsi="Arial"/>
                <w:color w:val="a6a6a6"/>
                <w:sz w:val="22"/>
                <w:szCs w:val="22"/>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91">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0"/>
                <w:szCs w:val="20"/>
                <w:rtl w:val="0"/>
              </w:rPr>
              <w:t xml:space="preserve">22/09/2025</w:t>
            </w:r>
            <w:r w:rsidDel="00000000" w:rsidR="00000000" w:rsidRPr="00000000">
              <w:rPr>
                <w:rtl w:val="0"/>
              </w:rPr>
            </w:r>
          </w:p>
        </w:tc>
        <w:tc>
          <w:tcPr>
            <w:vAlign w:val="center"/>
          </w:tcPr>
          <w:p w:rsidR="00000000" w:rsidDel="00000000" w:rsidP="00000000" w:rsidRDefault="00000000" w:rsidRPr="00000000" w14:paraId="00000092">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0"/>
                <w:szCs w:val="20"/>
                <w:rtl w:val="0"/>
              </w:rPr>
              <w:t xml:space="preserve">Actualización del documento</w:t>
            </w:r>
            <w:r w:rsidDel="00000000" w:rsidR="00000000" w:rsidRPr="00000000">
              <w:rPr>
                <w:rtl w:val="0"/>
              </w:rPr>
            </w:r>
          </w:p>
        </w:tc>
        <w:tc>
          <w:tcPr>
            <w:vAlign w:val="center"/>
          </w:tcPr>
          <w:p w:rsidR="00000000" w:rsidDel="00000000" w:rsidP="00000000" w:rsidRDefault="00000000" w:rsidRPr="00000000" w14:paraId="00000093">
            <w:pPr>
              <w:spacing w:after="120" w:before="120" w:lineRule="auto"/>
              <w:rPr>
                <w:rFonts w:ascii="Arial" w:cs="Arial" w:eastAsia="Arial" w:hAnsi="Arial"/>
                <w:color w:val="a6a6a6"/>
                <w:sz w:val="22"/>
                <w:szCs w:val="22"/>
              </w:rPr>
            </w:pPr>
            <w:r w:rsidDel="00000000" w:rsidR="00000000" w:rsidRPr="00000000">
              <w:rPr>
                <w:rFonts w:ascii="Arial" w:cs="Arial" w:eastAsia="Arial" w:hAnsi="Arial"/>
                <w:sz w:val="20"/>
                <w:szCs w:val="20"/>
                <w:rtl w:val="0"/>
              </w:rPr>
              <w:t xml:space="preserve">LAE. Ismael Omar Rodríguez Vázquez</w:t>
            </w:r>
            <w:r w:rsidDel="00000000" w:rsidR="00000000" w:rsidRPr="00000000">
              <w:rPr>
                <w:rtl w:val="0"/>
              </w:rPr>
            </w:r>
          </w:p>
        </w:tc>
        <w:tc>
          <w:tcPr>
            <w:vAlign w:val="center"/>
          </w:tcPr>
          <w:p w:rsidR="00000000" w:rsidDel="00000000" w:rsidP="00000000" w:rsidRDefault="00000000" w:rsidRPr="00000000" w14:paraId="00000094">
            <w:pPr>
              <w:spacing w:after="120" w:before="120" w:lineRule="auto"/>
              <w:rPr>
                <w:rFonts w:ascii="Arial" w:cs="Arial" w:eastAsia="Arial" w:hAnsi="Arial"/>
                <w:color w:val="a6a6a6"/>
                <w:sz w:val="20"/>
                <w:szCs w:val="20"/>
              </w:rPr>
            </w:pPr>
            <w:r w:rsidDel="00000000" w:rsidR="00000000" w:rsidRPr="00000000">
              <w:rPr>
                <w:rFonts w:ascii="Arial" w:cs="Arial" w:eastAsia="Arial" w:hAnsi="Arial"/>
                <w:sz w:val="20"/>
                <w:szCs w:val="20"/>
                <w:rtl w:val="0"/>
              </w:rPr>
              <w:t xml:space="preserve">Dra. Giselle Ivette De la Torre García</w:t>
            </w:r>
            <w:r w:rsidDel="00000000" w:rsidR="00000000" w:rsidRPr="00000000">
              <w:rPr>
                <w:rtl w:val="0"/>
              </w:rPr>
            </w:r>
          </w:p>
        </w:tc>
      </w:tr>
      <w:tr>
        <w:trPr>
          <w:cantSplit w:val="0"/>
          <w:trHeight w:val="707" w:hRule="atLeast"/>
          <w:tblHeader w:val="0"/>
        </w:trPr>
        <w:tc>
          <w:tcPr>
            <w:vAlign w:val="center"/>
          </w:tcPr>
          <w:p w:rsidR="00000000" w:rsidDel="00000000" w:rsidP="00000000" w:rsidRDefault="00000000" w:rsidRPr="00000000" w14:paraId="00000095">
            <w:pPr>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096">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29/04/2026</w:t>
            </w:r>
          </w:p>
        </w:tc>
        <w:tc>
          <w:tcPr>
            <w:vAlign w:val="center"/>
          </w:tcPr>
          <w:p w:rsidR="00000000" w:rsidDel="00000000" w:rsidP="00000000" w:rsidRDefault="00000000" w:rsidRPr="00000000" w14:paraId="00000097">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Actualización del documento</w:t>
            </w:r>
          </w:p>
        </w:tc>
        <w:tc>
          <w:tcPr>
            <w:vAlign w:val="center"/>
          </w:tcPr>
          <w:p w:rsidR="00000000" w:rsidDel="00000000" w:rsidP="00000000" w:rsidRDefault="00000000" w:rsidRPr="00000000" w14:paraId="00000098">
            <w:pPr>
              <w:spacing w:after="120" w:before="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LAE. Ismael Omar Rodríguez Vázquez</w:t>
            </w:r>
          </w:p>
        </w:tc>
        <w:tc>
          <w:tcPr>
            <w:vAlign w:val="center"/>
          </w:tcPr>
          <w:p w:rsidR="00000000" w:rsidDel="00000000" w:rsidP="00000000" w:rsidRDefault="00000000" w:rsidRPr="00000000" w14:paraId="00000099">
            <w:pPr>
              <w:spacing w:after="120" w:before="120" w:lineRule="auto"/>
              <w:rPr>
                <w:rFonts w:ascii="Arial" w:cs="Arial" w:eastAsia="Arial" w:hAnsi="Arial"/>
                <w:color w:val="a6a6a6"/>
                <w:sz w:val="20"/>
                <w:szCs w:val="20"/>
              </w:rPr>
            </w:pPr>
            <w:r w:rsidDel="00000000" w:rsidR="00000000" w:rsidRPr="00000000">
              <w:rPr>
                <w:rFonts w:ascii="Arial" w:cs="Arial" w:eastAsia="Arial" w:hAnsi="Arial"/>
                <w:sz w:val="20"/>
                <w:szCs w:val="20"/>
                <w:rtl w:val="0"/>
              </w:rPr>
              <w:t xml:space="preserve">Dra. Giselle Ivette De la Torre García</w:t>
            </w:r>
            <w:r w:rsidDel="00000000" w:rsidR="00000000" w:rsidRPr="00000000">
              <w:rPr>
                <w:rtl w:val="0"/>
              </w:rPr>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ind w:left="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AUTORIZACIÓN.</w:t>
      </w:r>
    </w:p>
    <w:p w:rsidR="00000000" w:rsidDel="00000000" w:rsidP="00000000" w:rsidRDefault="00000000" w:rsidRPr="00000000" w14:paraId="0000009C">
      <w:pPr>
        <w:rPr>
          <w:rFonts w:ascii="Arial" w:cs="Arial" w:eastAsia="Arial" w:hAnsi="Arial"/>
          <w:sz w:val="22"/>
          <w:szCs w:val="22"/>
        </w:rPr>
      </w:pPr>
      <w:r w:rsidDel="00000000" w:rsidR="00000000" w:rsidRPr="00000000">
        <w:rPr>
          <w:rtl w:val="0"/>
        </w:rPr>
      </w:r>
    </w:p>
    <w:tbl>
      <w:tblPr>
        <w:tblStyle w:val="Table5"/>
        <w:tblW w:w="8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38"/>
        <w:gridCol w:w="3261"/>
        <w:gridCol w:w="2693"/>
        <w:tblGridChange w:id="0">
          <w:tblGrid>
            <w:gridCol w:w="2938"/>
            <w:gridCol w:w="3261"/>
            <w:gridCol w:w="2693"/>
          </w:tblGrid>
        </w:tblGridChange>
      </w:tblGrid>
      <w:tr>
        <w:trPr>
          <w:cantSplit w:val="0"/>
          <w:trHeight w:val="397" w:hRule="atLeast"/>
          <w:tblHeader w:val="0"/>
        </w:trPr>
        <w:tc>
          <w:tcPr>
            <w:shd w:fill="55ba9e" w:val="clear"/>
            <w:vAlign w:val="center"/>
          </w:tcPr>
          <w:p w:rsidR="00000000" w:rsidDel="00000000" w:rsidP="00000000" w:rsidRDefault="00000000" w:rsidRPr="00000000" w14:paraId="0000009D">
            <w:pPr>
              <w:jc w:val="center"/>
              <w:rPr>
                <w:rFonts w:ascii="Arial" w:cs="Arial" w:eastAsia="Arial" w:hAnsi="Arial"/>
                <w:b w:val="1"/>
                <w:bCs w:val="1"/>
                <w:color w:val="808080"/>
                <w:sz w:val="22"/>
                <w:szCs w:val="22"/>
              </w:rPr>
            </w:pPr>
            <w:bookmarkStart w:colFirst="0" w:colLast="0" w:name="_heading=h.klgh7022i75k" w:id="1"/>
            <w:bookmarkEnd w:id="1"/>
            <w:r w:rsidDel="00000000" w:rsidR="00000000" w:rsidRPr="00000000">
              <w:rPr>
                <w:rFonts w:ascii="Arial" w:cs="Arial" w:eastAsia="Arial" w:hAnsi="Arial"/>
                <w:b w:val="1"/>
                <w:bCs w:val="1"/>
                <w:sz w:val="22"/>
                <w:szCs w:val="22"/>
                <w:rtl w:val="0"/>
              </w:rPr>
              <w:t xml:space="preserve">Elaboró</w:t>
            </w:r>
            <w:r w:rsidDel="00000000" w:rsidR="00000000" w:rsidRPr="00000000">
              <w:rPr>
                <w:rtl w:val="0"/>
              </w:rPr>
            </w:r>
          </w:p>
        </w:tc>
        <w:tc>
          <w:tcPr>
            <w:shd w:fill="55ba9e" w:val="clear"/>
            <w:vAlign w:val="center"/>
          </w:tcPr>
          <w:p w:rsidR="00000000" w:rsidDel="00000000" w:rsidP="00000000" w:rsidRDefault="00000000" w:rsidRPr="00000000" w14:paraId="0000009E">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Revisó</w:t>
            </w:r>
            <w:r w:rsidDel="00000000" w:rsidR="00000000" w:rsidRPr="00000000">
              <w:rPr>
                <w:rtl w:val="0"/>
              </w:rPr>
            </w:r>
          </w:p>
        </w:tc>
        <w:tc>
          <w:tcPr>
            <w:shd w:fill="55ba9e" w:val="clear"/>
            <w:vAlign w:val="center"/>
          </w:tcPr>
          <w:p w:rsidR="00000000" w:rsidDel="00000000" w:rsidP="00000000" w:rsidRDefault="00000000" w:rsidRPr="00000000" w14:paraId="0000009F">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Autorizó</w:t>
            </w:r>
            <w:r w:rsidDel="00000000" w:rsidR="00000000" w:rsidRPr="00000000">
              <w:rPr>
                <w:rtl w:val="0"/>
              </w:rPr>
            </w:r>
          </w:p>
        </w:tc>
      </w:tr>
      <w:tr>
        <w:trPr>
          <w:cantSplit w:val="0"/>
          <w:trHeight w:val="915" w:hRule="atLeast"/>
          <w:tblHeader w:val="0"/>
        </w:trPr>
        <w:tc>
          <w:tcPr>
            <w:vAlign w:val="bottom"/>
          </w:tcPr>
          <w:p w:rsidR="00000000" w:rsidDel="00000000" w:rsidP="00000000" w:rsidRDefault="00000000" w:rsidRPr="00000000" w14:paraId="000000A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LAE. Ismael Omar Rodríguez Vázquez</w:t>
            </w:r>
            <w:r w:rsidDel="00000000" w:rsidR="00000000" w:rsidRPr="00000000">
              <w:rPr>
                <w:rtl w:val="0"/>
              </w:rPr>
            </w:r>
          </w:p>
        </w:tc>
        <w:tc>
          <w:tcPr>
            <w:vAlign w:val="bottom"/>
          </w:tcPr>
          <w:p w:rsidR="00000000" w:rsidDel="00000000" w:rsidP="00000000" w:rsidRDefault="00000000" w:rsidRPr="00000000" w14:paraId="000000A3">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4">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5">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6">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7">
            <w:pPr>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8">
            <w:pPr>
              <w:jc w:val="center"/>
              <w:rPr>
                <w:rFonts w:ascii="Arial" w:cs="Arial" w:eastAsia="Arial" w:hAnsi="Arial"/>
                <w:i w:val="1"/>
                <w:iCs w:val="1"/>
                <w:color w:val="808080"/>
                <w:sz w:val="22"/>
                <w:szCs w:val="22"/>
              </w:rPr>
            </w:pPr>
            <w:r w:rsidDel="00000000" w:rsidR="00000000" w:rsidRPr="00000000">
              <w:rPr>
                <w:rFonts w:ascii="Arial" w:cs="Arial" w:eastAsia="Arial" w:hAnsi="Arial"/>
                <w:b w:val="1"/>
                <w:bCs w:val="1"/>
                <w:sz w:val="22"/>
                <w:szCs w:val="22"/>
                <w:rtl w:val="0"/>
              </w:rPr>
              <w:t xml:space="preserve">Dra. Giselle Ivette De la Torre García</w:t>
            </w:r>
            <w:r w:rsidDel="00000000" w:rsidR="00000000" w:rsidRPr="00000000">
              <w:rPr>
                <w:rtl w:val="0"/>
              </w:rPr>
            </w:r>
          </w:p>
        </w:tc>
        <w:tc>
          <w:tcPr>
            <w:vAlign w:val="bottom"/>
          </w:tcPr>
          <w:p w:rsidR="00000000" w:rsidDel="00000000" w:rsidP="00000000" w:rsidRDefault="00000000" w:rsidRPr="00000000" w14:paraId="000000A9">
            <w:pPr>
              <w:jc w:val="center"/>
              <w:rPr>
                <w:rFonts w:ascii="Arial" w:cs="Arial" w:eastAsia="Arial" w:hAnsi="Arial"/>
                <w:i w:val="1"/>
                <w:iCs w:val="1"/>
                <w:color w:val="808080"/>
                <w:sz w:val="22"/>
                <w:szCs w:val="22"/>
              </w:rPr>
            </w:pPr>
            <w:r w:rsidDel="00000000" w:rsidR="00000000" w:rsidRPr="00000000">
              <w:rPr>
                <w:rFonts w:ascii="Arial" w:cs="Arial" w:eastAsia="Arial" w:hAnsi="Arial"/>
                <w:b w:val="1"/>
                <w:bCs w:val="1"/>
                <w:sz w:val="22"/>
                <w:szCs w:val="22"/>
                <w:rtl w:val="0"/>
              </w:rPr>
              <w:t xml:space="preserve">Hna. María de Jesús García Castro</w:t>
            </w:r>
            <w:r w:rsidDel="00000000" w:rsidR="00000000" w:rsidRPr="00000000">
              <w:rPr>
                <w:rtl w:val="0"/>
              </w:rPr>
            </w:r>
          </w:p>
        </w:tc>
      </w:tr>
      <w:tr>
        <w:trPr>
          <w:cantSplit w:val="0"/>
          <w:trHeight w:val="298" w:hRule="atLeast"/>
          <w:tblHeader w:val="0"/>
        </w:trPr>
        <w:tc>
          <w:tcPr>
            <w:shd w:fill="e7e6e6" w:val="clear"/>
            <w:vAlign w:val="center"/>
          </w:tcPr>
          <w:p w:rsidR="00000000" w:rsidDel="00000000" w:rsidP="00000000" w:rsidRDefault="00000000" w:rsidRPr="00000000" w14:paraId="000000A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Jefe del Área</w:t>
            </w:r>
          </w:p>
        </w:tc>
        <w:tc>
          <w:tcPr>
            <w:shd w:fill="e7e6e6" w:val="clear"/>
            <w:vAlign w:val="center"/>
          </w:tcPr>
          <w:p w:rsidR="00000000" w:rsidDel="00000000" w:rsidP="00000000" w:rsidRDefault="00000000" w:rsidRPr="00000000" w14:paraId="000000A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Jefa de Calidad</w:t>
            </w:r>
          </w:p>
        </w:tc>
        <w:tc>
          <w:tcPr>
            <w:shd w:fill="e7e6e6" w:val="clear"/>
            <w:vAlign w:val="center"/>
          </w:tcPr>
          <w:p w:rsidR="00000000" w:rsidDel="00000000" w:rsidP="00000000" w:rsidRDefault="00000000" w:rsidRPr="00000000" w14:paraId="000000A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Directora General</w:t>
            </w:r>
          </w:p>
        </w:tc>
      </w:tr>
    </w:tbl>
    <w:p w:rsidR="00000000" w:rsidDel="00000000" w:rsidP="00000000" w:rsidRDefault="00000000" w:rsidRPr="00000000" w14:paraId="000000AD">
      <w:pPr>
        <w:rPr>
          <w:rFonts w:ascii="Arial" w:cs="Arial" w:eastAsia="Arial" w:hAnsi="Arial"/>
          <w:sz w:val="22"/>
          <w:szCs w:val="22"/>
        </w:rPr>
      </w:pPr>
      <w:r w:rsidDel="00000000" w:rsidR="00000000" w:rsidRPr="00000000">
        <w:rPr>
          <w:rtl w:val="0"/>
        </w:rPr>
      </w:r>
    </w:p>
    <w:sectPr>
      <w:headerReference r:id="rId8" w:type="default"/>
      <w:footerReference r:id="rId9" w:type="default"/>
      <w:footerReference r:id="rId10" w:type="even"/>
      <w:pgSz w:h="15840" w:w="12240" w:orient="portrait"/>
      <w:pgMar w:bottom="1417" w:top="202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tabs>
        <w:tab w:val="center" w:leader="none" w:pos="4419"/>
        <w:tab w:val="right" w:leader="none" w:pos="8838"/>
      </w:tabs>
      <w:rPr>
        <w:sz w:val="20"/>
        <w:szCs w:val="20"/>
      </w:rPr>
    </w:pPr>
    <w:r w:rsidDel="00000000" w:rsidR="00000000" w:rsidRPr="00000000">
      <w:rPr>
        <w:rtl w:val="0"/>
      </w:rPr>
    </w:r>
  </w:p>
  <w:tbl>
    <w:tblPr>
      <w:tblStyle w:val="Table6"/>
      <w:tblW w:w="9572.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91"/>
      <w:gridCol w:w="2479"/>
      <w:gridCol w:w="3902"/>
      <w:tblGridChange w:id="0">
        <w:tblGrid>
          <w:gridCol w:w="3191"/>
          <w:gridCol w:w="2479"/>
          <w:gridCol w:w="3902"/>
        </w:tblGrid>
      </w:tblGridChange>
    </w:tblGrid>
    <w:tr>
      <w:trPr>
        <w:cantSplit w:val="0"/>
        <w:trHeight w:val="269" w:hRule="atLeast"/>
        <w:tblHeader w:val="1"/>
      </w:trPr>
      <w:tc>
        <w:tcPr>
          <w:tcMar>
            <w:top w:w="-126.0" w:type="dxa"/>
            <w:left w:w="-126.0" w:type="dxa"/>
            <w:bottom w:w="-126.0" w:type="dxa"/>
            <w:right w:w="-126.0" w:type="dxa"/>
          </w:tcMar>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Código: PR-AL-03</w:t>
          </w:r>
        </w:p>
      </w:tc>
      <w:tc>
        <w:tcPr>
          <w:tcMar>
            <w:top w:w="-126.0" w:type="dxa"/>
            <w:left w:w="-126.0" w:type="dxa"/>
            <w:bottom w:w="-126.0" w:type="dxa"/>
            <w:right w:w="-126.0" w:type="dxa"/>
          </w:tcMar>
        </w:tcPr>
        <w:p w:rsidR="00000000" w:rsidDel="00000000" w:rsidP="00000000" w:rsidRDefault="00000000" w:rsidRPr="00000000" w14:paraId="000000B6">
          <w:pPr>
            <w:widowControl w:val="0"/>
            <w:rPr>
              <w:sz w:val="20"/>
              <w:szCs w:val="20"/>
            </w:rPr>
          </w:pPr>
          <w:r w:rsidDel="00000000" w:rsidR="00000000" w:rsidRPr="00000000">
            <w:rPr>
              <w:rtl w:val="0"/>
            </w:rPr>
          </w:r>
        </w:p>
      </w:tc>
      <w:tc>
        <w:tcPr>
          <w:tcMar>
            <w:top w:w="-126.0" w:type="dxa"/>
            <w:left w:w="-126.0" w:type="dxa"/>
            <w:bottom w:w="-126.0" w:type="dxa"/>
            <w:right w:w="-126.0" w:type="dxa"/>
          </w:tcMar>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Fecha de emisión: 28 abril 2026</w:t>
          </w:r>
        </w:p>
      </w:tc>
    </w:tr>
    <w:tr>
      <w:trPr>
        <w:cantSplit w:val="0"/>
        <w:trHeight w:val="67" w:hRule="atLeast"/>
        <w:tblHeader w:val="1"/>
      </w:trPr>
      <w:tc>
        <w:tcPr>
          <w:tcMar>
            <w:top w:w="-126.0" w:type="dxa"/>
            <w:left w:w="-126.0" w:type="dxa"/>
            <w:bottom w:w="-126.0" w:type="dxa"/>
            <w:right w:w="-126.0" w:type="dxa"/>
          </w:tcMar>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Versión vigente: 3</w:t>
          </w:r>
        </w:p>
      </w:tc>
      <w:tc>
        <w:tcPr>
          <w:tcMar>
            <w:top w:w="-126.0" w:type="dxa"/>
            <w:left w:w="-126.0" w:type="dxa"/>
            <w:bottom w:w="-126.0" w:type="dxa"/>
            <w:right w:w="-126.0" w:type="dxa"/>
          </w:tcMar>
        </w:tcPr>
        <w:p w:rsidR="00000000" w:rsidDel="00000000" w:rsidP="00000000" w:rsidRDefault="00000000" w:rsidRPr="00000000" w14:paraId="000000B9">
          <w:pPr>
            <w:widowControl w:val="0"/>
            <w:rPr>
              <w:sz w:val="20"/>
              <w:szCs w:val="20"/>
            </w:rPr>
          </w:pPr>
          <w:r w:rsidDel="00000000" w:rsidR="00000000" w:rsidRPr="00000000">
            <w:rPr>
              <w:rtl w:val="0"/>
            </w:rPr>
          </w:r>
        </w:p>
      </w:tc>
      <w:tc>
        <w:tcPr>
          <w:tcMar>
            <w:top w:w="-126.0" w:type="dxa"/>
            <w:left w:w="-126.0" w:type="dxa"/>
            <w:bottom w:w="-126.0" w:type="dxa"/>
            <w:right w:w="-126.0" w:type="dxa"/>
          </w:tcMar>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Fecha de revisión:  28 abril 2028</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 w:val="left" w:leader="none" w:pos="360"/>
      </w:tabs>
      <w:rPr>
        <w:color w:val="000000"/>
        <w:sz w:val="20"/>
        <w:szCs w:val="20"/>
      </w:rPr>
    </w:pPr>
    <w:r w:rsidDel="00000000" w:rsidR="00000000" w:rsidRPr="00000000">
      <w:rPr>
        <w:color w:val="000000"/>
        <w:sz w:val="20"/>
        <w:szCs w:val="20"/>
        <w:rtl w:val="0"/>
      </w:rPr>
      <w:t xml:space="preserve">            </w:t>
      <w:tab/>
      <w:tab/>
      <w:t xml:space="preserve">Página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de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rPr>
        <w:color w:val="4472c4"/>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-822959</wp:posOffset>
          </wp:positionH>
          <wp:positionV relativeFrom="paragraph">
            <wp:posOffset>-290829</wp:posOffset>
          </wp:positionV>
          <wp:extent cx="1186180" cy="1071920"/>
          <wp:effectExtent b="0" l="0" r="0" t="0"/>
          <wp:wrapNone/>
          <wp:docPr id="3" name="image2.jpg"/>
          <a:graphic>
            <a:graphicData uri="http://schemas.openxmlformats.org/drawingml/2006/picture">
              <pic:pic>
                <pic:nvPicPr>
                  <pic:cNvPr id="0" name="image2.jpg"/>
                  <pic:cNvPicPr preferRelativeResize="0"/>
                </pic:nvPicPr>
                <pic:blipFill>
                  <a:blip r:embed="rId1"/>
                  <a:srcRect b="15368" l="20685" r="14390" t="8718"/>
                  <a:stretch>
                    <a:fillRect/>
                  </a:stretch>
                </pic:blipFill>
                <pic:spPr>
                  <a:xfrm>
                    <a:off x="0" y="0"/>
                    <a:ext cx="1186180" cy="1071920"/>
                  </a:xfrm>
                  <a:prstGeom prst="rect"/>
                  <a:ln/>
                </pic:spPr>
              </pic:pic>
            </a:graphicData>
          </a:graphic>
        </wp:anchor>
      </w:drawing>
    </w:r>
  </w:p>
  <w:p w:rsidR="00000000" w:rsidDel="00000000" w:rsidP="00000000" w:rsidRDefault="00000000" w:rsidRPr="00000000" w14:paraId="000000AF">
    <w:pPr>
      <w:tabs>
        <w:tab w:val="left" w:leader="none" w:pos="498"/>
      </w:tabs>
      <w:ind w:right="49"/>
      <w:jc w:val="center"/>
      <w:rPr/>
    </w:pPr>
    <w:r w:rsidDel="00000000" w:rsidR="00000000" w:rsidRPr="00000000">
      <w:rPr>
        <w:smallCaps w:val="1"/>
        <w:color w:val="4472c4"/>
        <w:rtl w:val="0"/>
      </w:rPr>
      <w:tab/>
      <w:tab/>
    </w:r>
    <w:r w:rsidDel="00000000" w:rsidR="00000000" w:rsidRPr="00000000">
      <w:rPr>
        <w:rFonts w:ascii="Arial" w:cs="Arial" w:eastAsia="Arial" w:hAnsi="Arial"/>
        <w:b w:val="1"/>
        <w:bCs w:val="1"/>
        <w:sz w:val="22"/>
        <w:szCs w:val="22"/>
        <w:rtl w:val="0"/>
      </w:rPr>
      <w:t xml:space="preserve">PROCEDIMIENTO </w:t>
    </w:r>
    <w:r w:rsidDel="00000000" w:rsidR="00000000" w:rsidRPr="00000000">
      <w:rPr>
        <w:rFonts w:ascii="Arial" w:cs="Arial" w:eastAsia="Arial" w:hAnsi="Arial"/>
        <w:b w:val="1"/>
        <w:bCs w:val="1"/>
        <w:rtl w:val="0"/>
      </w:rPr>
      <w:t xml:space="preserve">MANEJO Y ALMACENAMIENTO DE INSUMOS EN GENERAL</w:t>
    </w: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 w:val="left" w:leader="none" w:pos="498"/>
      </w:tabs>
      <w:rPr>
        <w:smallCaps w:val="1"/>
        <w:color w:val="4472c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left" w:leader="none" w:pos="498"/>
        <w:tab w:val="center" w:leader="none" w:pos="4419"/>
        <w:tab w:val="right" w:leader="none" w:pos="8838"/>
      </w:tabs>
      <w:rPr>
        <w:smallCaps w:val="1"/>
        <w:color w:val="4472c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57152</wp:posOffset>
              </wp:positionH>
              <wp:positionV relativeFrom="paragraph">
                <wp:posOffset>88900</wp:posOffset>
              </wp:positionV>
              <wp:extent cx="12700" cy="12700"/>
              <wp:effectExtent b="0" l="0" r="0" t="0"/>
              <wp:wrapNone/>
              <wp:docPr id="1" name=""/>
              <a:graphic>
                <a:graphicData uri="http://schemas.microsoft.com/office/word/2010/wordprocessingShape">
                  <wps:wsp>
                    <wps:cNvCnPr/>
                    <wps:spPr>
                      <a:xfrm>
                        <a:off x="2572027" y="3780000"/>
                        <a:ext cx="5547946" cy="0"/>
                      </a:xfrm>
                      <a:prstGeom prst="straightConnector1">
                        <a:avLst/>
                      </a:prstGeom>
                      <a:noFill/>
                      <a:ln cap="flat" cmpd="sng" w="12700">
                        <a:solidFill>
                          <a:srgbClr val="55BA9E"/>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57152</wp:posOffset>
              </wp:positionH>
              <wp:positionV relativeFrom="paragraph">
                <wp:posOffset>88900</wp:posOffset>
              </wp:positionV>
              <wp:extent cx="12700" cy="127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108587</wp:posOffset>
              </wp:positionH>
              <wp:positionV relativeFrom="paragraph">
                <wp:posOffset>103274</wp:posOffset>
              </wp:positionV>
              <wp:extent cx="5577840" cy="12700"/>
              <wp:effectExtent b="0" l="0" r="0" t="0"/>
              <wp:wrapNone/>
              <wp:docPr id="2" name=""/>
              <a:graphic>
                <a:graphicData uri="http://schemas.microsoft.com/office/word/2010/wordprocessingShape">
                  <wps:wsp>
                    <wps:cNvCnPr/>
                    <wps:spPr>
                      <a:xfrm>
                        <a:off x="2557080" y="3780000"/>
                        <a:ext cx="5577840" cy="0"/>
                      </a:xfrm>
                      <a:prstGeom prst="straightConnector1">
                        <a:avLst/>
                      </a:prstGeom>
                      <a:noFill/>
                      <a:ln cap="flat" cmpd="sng" w="9525">
                        <a:solidFill>
                          <a:srgbClr val="0AB79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108587</wp:posOffset>
              </wp:positionH>
              <wp:positionV relativeFrom="paragraph">
                <wp:posOffset>103274</wp:posOffset>
              </wp:positionV>
              <wp:extent cx="5577840" cy="12700"/>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57784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360"/>
      </w:pPr>
      <w:rPr>
        <w:rFonts w:ascii="Arial" w:cs="Arial" w:eastAsia="Arial" w:hAnsi="Arial"/>
        <w:b w:val="1"/>
        <w:bCs w:val="1"/>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zsR+5WYeqiCaO0hP3/5QGXS4Zw==">CgMxLjAyDmguZzBxODloODA1NDBtMg5oLmtsZ2g3MDIyaTc1azgAciExenhkRDZMQmtqQjE1aDk2elNRVlhsMXpvT3pqMDRDV3E=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