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OBJETIVO.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Garantizar la correcta revisión de los materiales médicos, medicamentos y demás insumos para la salud, con la finalidad de identificar aquellos que no cumplan con las características de calidad necesarias o que estén próximos a caducar, realizando la devolución correspondiente al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ALCANCE.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documento le compete a todo el Personal del Servicio de Farmacia y Almacén General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del Hospital Santa Margarita.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DEFINICIONES.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Procedimiento Normalizado de operación (PNO):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Documento que contiene las instrucciones mínimas y necesarias para llevar a cabo una operación específica de manera reproducible y consistente.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RESPONSABILIDADES.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Actualización: </w:t>
      </w:r>
      <w:r w:rsidDel="00000000" w:rsidR="00000000" w:rsidRPr="00000000">
        <w:rPr>
          <w:rFonts w:ascii="Arial" w:cs="Arial" w:eastAsia="Arial" w:hAnsi="Arial"/>
          <w:rtl w:val="0"/>
        </w:rPr>
        <w:t xml:space="preserve">Jefatura de Farmacia, Coordinador de Almacén.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Ejecución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Coordinador de Almacén, Analista de almacén, Almacenista, Auxiliar de Farmacia y proveedores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080" w:hanging="36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g0q89h80540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Supervisión: </w:t>
      </w:r>
      <w:r w:rsidDel="00000000" w:rsidR="00000000" w:rsidRPr="00000000">
        <w:rPr>
          <w:rFonts w:ascii="Arial" w:cs="Arial" w:eastAsia="Arial" w:hAnsi="Arial"/>
          <w:rtl w:val="0"/>
        </w:rPr>
        <w:t xml:space="preserve">Dirección General, Dirección Administrativa, Jefatura de Farmacia, Auditoria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DESARROLLO DEL PROCESO.</w:t>
      </w:r>
    </w:p>
    <w:p w:rsidR="00000000" w:rsidDel="00000000" w:rsidP="00000000" w:rsidRDefault="00000000" w:rsidRPr="00000000" w14:paraId="00000018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center"/>
        <w:tblLayout w:type="fixed"/>
        <w:tblLook w:val="0400"/>
      </w:tblPr>
      <w:tblGrid>
        <w:gridCol w:w="705"/>
        <w:gridCol w:w="2685"/>
        <w:gridCol w:w="5505"/>
        <w:tblGridChange w:id="0">
          <w:tblGrid>
            <w:gridCol w:w="705"/>
            <w:gridCol w:w="2685"/>
            <w:gridCol w:w="550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666666" w:space="0" w:sz="8" w:val="single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right w:color="666666" w:space="0" w:sz="8" w:val="single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</w:p>
        </w:tc>
        <w:tc>
          <w:tcPr>
            <w:tcBorders>
              <w:left w:color="666666" w:space="0" w:sz="8" w:val="single"/>
              <w:right w:color="000000" w:space="0" w:sz="0" w:val="nil"/>
            </w:tcBorders>
            <w:shd w:fill="55ba9e" w:val="clear"/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5.1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Analista de Almacen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Almacenista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Auxiliar de Farmacia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Identificar aquellos insumos para la salud que cumplan con las siguientes características para su devolución al proveedor: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Próximo a caducar (caducidad próxima de 2 meses)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Baja rotación, para productos en consigna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cumple con las características de calidad pactadas con el proveedor (defecto).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Producto no solicitado en orden de compra y facturado sin consentimiento alguno, así como producto de otra marca y de dudosa calidad a la solicitada y que no hayan dado aviso del mismo cambio.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Deteriorado: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Decoloración del envase primario o secundario por ser expuesto a la luz directa, solar o artificial.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Envase primario o secundario manchado por rastros de humedad o enmohecido por ser expuesto a condiciones de extrema humedad.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Empaque inflado anormalmente.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Empaque dañado y que comprometa medicamento y/o insumo para la salud.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Envase secundario manchado por el contenido del envase primario, lo que indica fugas, derrames o rupturas.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Cambio de color del envase primario o secundario.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Ruptura del envase primario o secundario.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Cambio de color o apariencia observable a través del envase primario.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72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Líquidos transparentes con partículas anormales.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5.2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Analista de Almacen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Almacenista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Auxiliar de Farmacia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Separar el insumo indicando el proveedor al que será devuelto y colocarlo en el área de devoluciones, en donde permanecerá hasta obtener la resolución de la solicitud generada.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5.3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Analista de Almacen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Almacenista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Auxiliar de Farmacia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Llenar el formato “Comprobante de devolución a proveedores”, colocando la siguiente información: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Proveedor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factura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medicamento/insumo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Lote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caducidad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Realizar una salida de “vale de dependencia” en el software hospitalario vigente indicando en los comentarios el motivo de la devolución y el proveedor al que serán devueltos los medicamentos/insumos. Indicar el número de folio del vale que arroje el sistema en el formato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 imprimir el vale de dependencia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5.4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Coordinador de Almacén/ Analista de Almacén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Recibir los comprobantes de devolución a proveedor provenientes de Farmacia y darle continuidad al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5.5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Coordinador de Almacén/ Analista de Almacén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Notificar inmediatamente al depto. de Compras para insumos en general o al proveedor de medicamentos vía WhatsApp, correo electrónico o llamada telefónica sobre la devolución del medicamento/insumo, y esperar respuesta del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5.6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Proveedor autorizado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 vez recibida y aceptada la notificación, revisar el medicamento/insumo verificando el motivo de la devolución. En caso de no detectar alguna anomalía o motivo para rechazar la devolución, retirarlo de Farmacia y/o Almacén.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5.7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Proveedor autorizado</w:t>
            </w:r>
          </w:p>
        </w:tc>
        <w:tc>
          <w:tcPr>
            <w:tcBorders>
              <w:left w:color="666666" w:space="0" w:sz="6" w:val="single"/>
              <w:bottom w:color="666666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Informar si realizará una nota de crédito o, si procede, la reposición del medicamento/insumo.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Firmar de recibido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FT-FH-96,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retirando el medicamento/insumo del hospital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3"/>
            <w:tcBorders>
              <w:left w:color="ffffff" w:space="0" w:sz="6" w:val="single"/>
              <w:right w:color="ffffff" w:space="0" w:sz="6" w:val="single"/>
            </w:tcBorders>
            <w:shd w:fill="d0cec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ind w:right="29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INGRESO DE NOTA DE CRÉDITO EN SISTEMA VIGENTE (solo medicamento).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6" w:val="single"/>
              <w:bottom w:color="000000" w:space="0" w:sz="4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5.8</w:t>
            </w:r>
          </w:p>
        </w:tc>
        <w:tc>
          <w:tcPr>
            <w:tcBorders>
              <w:left w:color="666666" w:space="0" w:sz="6" w:val="single"/>
              <w:bottom w:color="000000" w:space="0" w:sz="4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Coordinador de Almacén/ Analista de Almacén</w:t>
            </w:r>
          </w:p>
        </w:tc>
        <w:tc>
          <w:tcPr>
            <w:tcBorders>
              <w:left w:color="666666" w:space="0" w:sz="6" w:val="single"/>
              <w:bottom w:color="000000" w:space="0" w:sz="4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caso de que el proveedor: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Proporcione una nota de crédito para reponer el coste total del medicamento: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3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Devolver el vale realizado anteriormente, para que afecte existencias reales y no descuadrar inventarios.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3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 nota de crédito en mano, entrar al módulo de Abastecimientos2 con su usuario y contraseña. Seleccionar el siguiente apartado: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0" w:right="0" w:hanging="141.9999999999999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Notas de crédito de proveedor/ nueva nota de crédito.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0" w:right="0" w:hanging="141.9999999999999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Proporcionar el nombre del proveedor buscándolo en sistema y ligarlo con el número de factura y/o entrada correspondiente al insumo/medicamento que deberá ser devuelto por medio de esta nota de crédito.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0" w:right="0" w:hanging="141.9999999999999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 vez corroborada la información de la nota de crédito con el sistema, justificar en comentarios la razón de la nota crédito.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0" w:right="0" w:hanging="141.9999999999999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Aceptar la nota de crédito para dar salida al medicamento/insumo en sistema y afectar existencias.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3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Imprimir tres copias, una para el resguardo junto con la factura afectada para futuras aclaraciones, la segunda entregarla al Auditor y la última copia para el área de Contabilidad para fines fiscales estos últimos realicen el enlace con la factura correspondiente y aplique el descuento.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Proporcione una nota de crédito por una parte proporcional del monto total: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el ingreso de la nota de crédito en Abastecimientos2 por monto repuesto, sin devolver el vale de dependencia creado con anterioridad.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Imprimir tres copias, una para el resguardo junto con la factura afectada para futuras aclaraciones, la segunda entregarla al Auditor para el enlace con la factura correspondiente y aplique el descuento y la última copia para el área de Contabilidad para fines fiscales.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Reponga el medicamento/insumo: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121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Devolver el vale de dependencia realizado con anterioridad, para cuadrar nuevamente inventarios en sistema y físicos.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Recibir el medicamento/insumo y almacenarlo en el sitio que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6" w:val="single"/>
              <w:bottom w:color="000000" w:space="0" w:sz="4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5.9</w:t>
            </w:r>
          </w:p>
        </w:tc>
        <w:tc>
          <w:tcPr>
            <w:tcBorders>
              <w:top w:color="000000" w:space="0" w:sz="4" w:val="single"/>
              <w:left w:color="666666" w:space="0" w:sz="6" w:val="single"/>
              <w:bottom w:color="000000" w:space="0" w:sz="4" w:val="single"/>
              <w:right w:color="666666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Coordinador de Almacén/ Analista de Almacén</w:t>
            </w:r>
          </w:p>
        </w:tc>
        <w:tc>
          <w:tcPr>
            <w:tcBorders>
              <w:top w:color="000000" w:space="0" w:sz="4" w:val="single"/>
              <w:left w:color="666666" w:space="0" w:sz="6" w:val="single"/>
              <w:bottom w:color="000000" w:space="0" w:sz="4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ind w:right="29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caso de haberse rechazado la devolución por parte del proveedor, avisar a la Jefatura de Farmacia/Coordinador de Almacén para realizar las acciones correspondientes como se indica en el PNO para el “Control y desecho de medicamentos y demás insumos para la salud: deteriorados, caducos o sus residuos peligrosos”.</w:t>
            </w:r>
          </w:p>
        </w:tc>
      </w:tr>
    </w:tbl>
    <w:p w:rsidR="00000000" w:rsidDel="00000000" w:rsidP="00000000" w:rsidRDefault="00000000" w:rsidRPr="00000000" w14:paraId="00000065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GESTIÓN DE RIESGOS.</w:t>
      </w:r>
    </w:p>
    <w:p w:rsidR="00000000" w:rsidDel="00000000" w:rsidP="00000000" w:rsidRDefault="00000000" w:rsidRPr="00000000" w14:paraId="00000068">
      <w:pPr>
        <w:ind w:left="360" w:firstLine="0"/>
        <w:rPr>
          <w:rFonts w:ascii="Arial" w:cs="Arial" w:eastAsia="Arial" w:hAnsi="Arial"/>
          <w:color w:val="a6a6a6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1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0"/>
        <w:gridCol w:w="4624"/>
        <w:tblGridChange w:id="0">
          <w:tblGrid>
            <w:gridCol w:w="4590"/>
            <w:gridCol w:w="4624"/>
          </w:tblGrid>
        </w:tblGridChange>
      </w:tblGrid>
      <w:tr>
        <w:trPr>
          <w:cantSplit w:val="0"/>
          <w:tblHeader w:val="0"/>
        </w:trPr>
        <w:tc>
          <w:tcPr>
            <w:shd w:fill="55ba9e" w:val="clea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Riesgo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Barrera de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avisar al proveedor sobre la devolución.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Avisar inmediatamente al proveedor en cuanto se reciba el formato de devolución de proveedores y dar seguimiento a la resolución.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26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informar al auditor sobre Nota de Crédito recibida.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38"/>
              </w:tabs>
              <w:spacing w:after="0" w:before="0" w:line="240" w:lineRule="auto"/>
              <w:ind w:left="258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cuanto se ingrese la nota de crédito en el sistema sacar un juego para el auditor y pueda aplicar el descuento de 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6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Afectación del inventario por no realizar el vale correspondiente.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cuanto se dé cuenta del producto deteriorado realizar el vale mediante sistema, así como llenado de formulario, para evitar descuadre y faltantes de inventario.</w:t>
            </w:r>
          </w:p>
        </w:tc>
      </w:tr>
    </w:tbl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color w:val="000000"/>
          <w:sz w:val="22"/>
          <w:szCs w:val="22"/>
        </w:rPr>
        <w:sectPr>
          <w:headerReference r:id="rId7" w:type="default"/>
          <w:footerReference r:id="rId8" w:type="default"/>
          <w:footerReference r:id="rId9" w:type="even"/>
          <w:pgSz w:h="15840" w:w="12240" w:orient="portrait"/>
          <w:pgMar w:bottom="1417" w:top="2021" w:left="1701" w:right="1701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ANEXOS.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Flujograma.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  <w:sectPr>
          <w:type w:val="nextPage"/>
          <w:pgSz w:h="12240" w:w="15840" w:orient="landscape"/>
          <w:pgMar w:bottom="1701" w:top="1701" w:left="1418" w:right="2019" w:header="709" w:footer="709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7877175" cy="435863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1592"/>
                    <a:stretch>
                      <a:fillRect/>
                    </a:stretch>
                  </pic:blipFill>
                  <pic:spPr>
                    <a:xfrm>
                      <a:off x="0" y="0"/>
                      <a:ext cx="7877175" cy="4358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Documentos de referencia.</w:t>
      </w:r>
    </w:p>
    <w:tbl>
      <w:tblPr>
        <w:tblStyle w:val="Table3"/>
        <w:tblW w:w="921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2551"/>
        <w:tblGridChange w:id="0">
          <w:tblGrid>
            <w:gridCol w:w="6663"/>
            <w:gridCol w:w="2551"/>
          </w:tblGrid>
        </w:tblGridChange>
      </w:tblGrid>
      <w:tr>
        <w:trPr>
          <w:cantSplit w:val="0"/>
          <w:trHeight w:val="443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del documento</w:t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</w:tr>
      <w:tr>
        <w:trPr>
          <w:cantSplit w:val="0"/>
          <w:trHeight w:val="122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120" w:before="120" w:lineRule="auto"/>
              <w:rPr>
                <w:rFonts w:ascii="Arial" w:cs="Arial" w:eastAsia="Arial" w:hAnsi="Arial"/>
                <w:color w:val="a6a6a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Comprobante de devolución a proveedores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120" w:before="120" w:lineRule="auto"/>
              <w:rPr>
                <w:rFonts w:ascii="Arial" w:cs="Arial" w:eastAsia="Arial" w:hAnsi="Arial"/>
                <w:color w:val="a6a6a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FT-FH-96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120" w:before="120" w:lineRule="auto"/>
              <w:rPr>
                <w:rFonts w:ascii="Arial" w:cs="Arial" w:eastAsia="Arial" w:hAnsi="Arial"/>
                <w:color w:val="a6a6a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 y desecho de medicamentos y demás insumos para la salud: deteriorados, caducos o sus residuos peligrosos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120" w:before="120" w:lineRule="auto"/>
              <w:rPr>
                <w:rFonts w:ascii="Arial" w:cs="Arial" w:eastAsia="Arial" w:hAnsi="Arial"/>
                <w:color w:val="a6a6a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PNO-FH-11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CONTROL DE CAMBIOS.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1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6"/>
        <w:gridCol w:w="1417"/>
        <w:gridCol w:w="2693"/>
        <w:gridCol w:w="2127"/>
        <w:gridCol w:w="1984"/>
        <w:tblGridChange w:id="0">
          <w:tblGrid>
            <w:gridCol w:w="1096"/>
            <w:gridCol w:w="1417"/>
            <w:gridCol w:w="2693"/>
            <w:gridCol w:w="2127"/>
            <w:gridCol w:w="1984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85">
            <w:pPr>
              <w:spacing w:after="120" w:before="120" w:lineRule="auto"/>
              <w:jc w:val="center"/>
              <w:rPr>
                <w:rFonts w:ascii="Arial" w:cs="Arial" w:eastAsia="Arial" w:hAnsi="Arial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86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Realizado</w:t>
            </w:r>
          </w:p>
        </w:tc>
        <w:tc>
          <w:tcPr>
            <w:shd w:fill="55ba9e" w:val="clear"/>
          </w:tcPr>
          <w:p w:rsidR="00000000" w:rsidDel="00000000" w:rsidP="00000000" w:rsidRDefault="00000000" w:rsidRPr="00000000" w14:paraId="00000087">
            <w:pP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Aprobado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13/09/2023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de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LAE. Ismael Omar Rodríguez Vázquez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Mtra. Ana Cecilia Zárate Bautista</w:t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120" w:before="120" w:lineRule="auto"/>
              <w:jc w:val="center"/>
              <w:rPr>
                <w:rFonts w:ascii="Arial" w:cs="Arial" w:eastAsia="Arial" w:hAnsi="Arial"/>
                <w:color w:val="a6a6a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120" w:before="120" w:lineRule="auto"/>
              <w:rPr>
                <w:rFonts w:ascii="Arial" w:cs="Arial" w:eastAsia="Arial" w:hAnsi="Arial"/>
                <w:color w:val="a6a6a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26/09/2025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120" w:before="120" w:lineRule="auto"/>
              <w:rPr>
                <w:rFonts w:ascii="Arial" w:cs="Arial" w:eastAsia="Arial" w:hAnsi="Arial"/>
                <w:color w:val="a6a6a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Modificación y actualización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120" w:before="120" w:lineRule="auto"/>
              <w:rPr>
                <w:rFonts w:ascii="Arial" w:cs="Arial" w:eastAsia="Arial" w:hAnsi="Arial"/>
                <w:color w:val="a6a6a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LAE. Ismael Omar Rodríguez Vázquez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120" w:before="120" w:lineRule="auto"/>
              <w:rPr>
                <w:rFonts w:ascii="Arial" w:cs="Arial" w:eastAsia="Arial" w:hAnsi="Arial"/>
                <w:color w:val="a6a6a6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Giselle Ivette De la Torre García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29/04/2026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Modificación y actualización de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LAE. Ismael Omar Rodríguez Vázquez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Dra. Giselle Ivette De la Torre García</w:t>
            </w:r>
          </w:p>
        </w:tc>
      </w:tr>
    </w:tbl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AUTORIZACIÓN.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1"/>
        <w:gridCol w:w="3407"/>
        <w:gridCol w:w="3123"/>
        <w:tblGridChange w:id="0">
          <w:tblGrid>
            <w:gridCol w:w="2801"/>
            <w:gridCol w:w="3407"/>
            <w:gridCol w:w="3123"/>
          </w:tblGrid>
        </w:tblGridChange>
      </w:tblGrid>
      <w:tr>
        <w:trPr>
          <w:cantSplit w:val="0"/>
          <w:trHeight w:val="548" w:hRule="atLeast"/>
          <w:tblHeader w:val="0"/>
        </w:trPr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5ba9e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Autorizó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LAE. Ismael Omar Rodríguez Vázquez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i w:val="1"/>
                <w:i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Dra. Giselle Ivette De la Torre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i w:val="1"/>
                <w:i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Hna. María de Jesús García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Jefe del Área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Jefa de Calidad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Directora General</w:t>
            </w:r>
          </w:p>
        </w:tc>
      </w:tr>
    </w:tbl>
    <w:p w:rsidR="00000000" w:rsidDel="00000000" w:rsidP="00000000" w:rsidRDefault="00000000" w:rsidRPr="00000000" w14:paraId="000000A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7" w:top="202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tabs>
        <w:tab w:val="center" w:leader="none" w:pos="4419"/>
        <w:tab w:val="right" w:leader="none" w:pos="8838"/>
      </w:tabs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6"/>
      <w:tblW w:w="9572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3191"/>
      <w:gridCol w:w="2479"/>
      <w:gridCol w:w="3902"/>
      <w:tblGridChange w:id="0">
        <w:tblGrid>
          <w:gridCol w:w="3191"/>
          <w:gridCol w:w="2479"/>
          <w:gridCol w:w="3902"/>
        </w:tblGrid>
      </w:tblGridChange>
    </w:tblGrid>
    <w:tr>
      <w:trPr>
        <w:cantSplit w:val="0"/>
        <w:trHeight w:val="269" w:hRule="atLeast"/>
        <w:tblHeader w:val="1"/>
      </w:trPr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B2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Código: PR-AL-04</w:t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B3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B4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Fecha de emisión: 28 abril 2026</w:t>
          </w:r>
        </w:p>
      </w:tc>
    </w:tr>
    <w:tr>
      <w:trPr>
        <w:cantSplit w:val="0"/>
        <w:trHeight w:val="67" w:hRule="atLeast"/>
        <w:tblHeader w:val="1"/>
      </w:trPr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B5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Versión vigente: 3</w:t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B6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-126.0" w:type="dxa"/>
            <w:left w:w="-126.0" w:type="dxa"/>
            <w:bottom w:w="-126.0" w:type="dxa"/>
            <w:right w:w="-126.0" w:type="dxa"/>
          </w:tcMar>
        </w:tcPr>
        <w:p w:rsidR="00000000" w:rsidDel="00000000" w:rsidP="00000000" w:rsidRDefault="00000000" w:rsidRPr="00000000" w14:paraId="000000B7">
          <w:pPr>
            <w:widowControl w:val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Fecha de revisión:  28 abril 2028</w:t>
          </w:r>
        </w:p>
      </w:tc>
    </w:tr>
  </w:tbl>
  <w:p w:rsidR="00000000" w:rsidDel="00000000" w:rsidP="00000000" w:rsidRDefault="00000000" w:rsidRPr="00000000" w14:paraId="000000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360"/>
      </w:tabs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            </w:t>
      <w:tab/>
      <w:tab/>
      <w:t xml:space="preserve">Página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0"/>
        <w:szCs w:val="20"/>
        <w:rtl w:val="0"/>
      </w:rPr>
      <w:t xml:space="preserve"> de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4472c4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-546099</wp:posOffset>
          </wp:positionH>
          <wp:positionV relativeFrom="paragraph">
            <wp:posOffset>-337819</wp:posOffset>
          </wp:positionV>
          <wp:extent cx="1186180" cy="1071920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5368" l="20685" r="14390" t="8718"/>
                  <a:stretch>
                    <a:fillRect/>
                  </a:stretch>
                </pic:blipFill>
                <pic:spPr>
                  <a:xfrm>
                    <a:off x="0" y="0"/>
                    <a:ext cx="1186180" cy="10719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C">
    <w:pPr>
      <w:ind w:right="49"/>
      <w:jc w:val="center"/>
      <w:rPr>
        <w:rFonts w:ascii="Arial" w:cs="Arial" w:eastAsia="Arial" w:hAnsi="Arial"/>
        <w:b w:val="1"/>
        <w:bCs w:val="1"/>
        <w:sz w:val="22"/>
        <w:szCs w:val="22"/>
      </w:rPr>
    </w:pP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PROCEDIMIENTO </w:t>
    </w: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DEVOLUCIÓN A PROVEEDORES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498"/>
      </w:tabs>
      <w:rPr/>
    </w:pPr>
    <w:r w:rsidDel="00000000" w:rsidR="00000000" w:rsidRPr="00000000">
      <w:rPr>
        <w:smallCaps w:val="1"/>
        <w:color w:val="4472c4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498"/>
        <w:tab w:val="center" w:leader="none" w:pos="4419"/>
        <w:tab w:val="right" w:leader="none" w:pos="8838"/>
      </w:tabs>
      <w:rPr>
        <w:smallCaps w:val="1"/>
        <w:color w:val="4472c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57152</wp:posOffset>
              </wp:positionH>
              <wp:positionV relativeFrom="paragraph">
                <wp:posOffset>88900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72027" y="3780000"/>
                        <a:ext cx="5547946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55BA9E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57152</wp:posOffset>
              </wp:positionH>
              <wp:positionV relativeFrom="paragraph">
                <wp:posOffset>88900</wp:posOffset>
              </wp:positionV>
              <wp:extent cx="1270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108587</wp:posOffset>
              </wp:positionH>
              <wp:positionV relativeFrom="paragraph">
                <wp:posOffset>103274</wp:posOffset>
              </wp:positionV>
              <wp:extent cx="557784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57080" y="3780000"/>
                        <a:ext cx="557784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AB793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108587</wp:posOffset>
              </wp:positionH>
              <wp:positionV relativeFrom="paragraph">
                <wp:posOffset>103274</wp:posOffset>
              </wp:positionV>
              <wp:extent cx="5577840" cy="127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7784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21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193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65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7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9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81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53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25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7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91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121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⮚"/>
      <w:lvlJc w:val="left"/>
      <w:pPr>
        <w:ind w:left="121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⮚"/>
      <w:lvlJc w:val="left"/>
      <w:pPr>
        <w:ind w:left="121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21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21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lowerRoman"/>
      <w:lvlText w:val="%1)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0"/>
      <w:numFmt w:val="bullet"/>
      <w:lvlText w:val="-"/>
      <w:lvlJc w:val="left"/>
      <w:pPr>
        <w:ind w:left="1211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kGy4/qDdtZsfYaiy/tYrufNMfg==">CgMxLjAyDmguZzBxODloODA1NDBtOAByITFlQzktRHhBbmNxYmlnaWI4SHFkMVRQYVZYQTh0d1pUQQ==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