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2">
      <w:pPr>
        <w:numPr>
          <w:ilvl w:val="0"/>
          <w:numId w:val="2"/>
        </w:numPr>
        <w:pBdr>
          <w:top w:space="0" w:sz="0" w:val="nil"/>
          <w:left w:space="0" w:sz="0" w:val="nil"/>
          <w:bottom w:space="0" w:sz="0" w:val="nil"/>
          <w:right w:space="0" w:sz="0" w:val="nil"/>
          <w:between w:space="0" w:sz="0" w:val="nil"/>
        </w:pBdr>
        <w:ind w:left="720" w:hanging="36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ALCANCE.</w:t>
      </w:r>
    </w:p>
    <w:p w:rsidR="00000000" w:rsidDel="00000000" w:rsidP="00000000" w:rsidRDefault="00000000" w:rsidRPr="00000000" w14:paraId="00000003">
      <w:pPr>
        <w:pBdr>
          <w:top w:space="0" w:sz="0" w:val="nil"/>
          <w:left w:space="0" w:sz="0" w:val="nil"/>
          <w:bottom w:space="0" w:sz="0" w:val="nil"/>
          <w:right w:space="0" w:sz="0" w:val="nil"/>
          <w:between w:space="0" w:sz="0" w:val="nil"/>
        </w:pBdr>
        <w:ind w:left="720" w:firstLine="0"/>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04">
      <w:pPr>
        <w:ind w:left="360" w:firstLine="0"/>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Realizar historias clínicas y notas de ingreso, así como preparar al paciente en conjunto con enfermería para pasarlo a cirugía o procedimiento o iniciar tratamiento médico correspondiente. </w:t>
      </w:r>
      <w:r w:rsidDel="00000000" w:rsidR="00000000" w:rsidRPr="00000000">
        <w:rPr>
          <w:rtl w:val="0"/>
        </w:rPr>
      </w:r>
    </w:p>
    <w:p w:rsidR="00000000" w:rsidDel="00000000" w:rsidP="00000000" w:rsidRDefault="00000000" w:rsidRPr="00000000" w14:paraId="00000005">
      <w:pPr>
        <w:ind w:left="36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ind w:left="720" w:hanging="36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MATERIAL Y EQUIPO</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36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personal médico de guardia que se trabaja en la institución ocupa bata clínica, credencial de identificación, medidas precautorias en caso de ser necesario, (cubrebocas, n95, gorro, guantes, bata de manga larga) así como equipo médico para la valoración del paciente como son: estetoscopio, baumanómetro, oximetro de pulso, estuche de diagnóstico, electrocardiograma, lámpara de exploración entre otros.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36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-Equipo de computo y sistema MEDISIST</w:t>
      </w:r>
    </w:p>
    <w:p w:rsidR="00000000" w:rsidDel="00000000" w:rsidP="00000000" w:rsidRDefault="00000000" w:rsidRPr="00000000" w14:paraId="00000009">
      <w:pPr>
        <w:pBdr>
          <w:top w:space="0" w:sz="0" w:val="nil"/>
          <w:left w:space="0" w:sz="0" w:val="nil"/>
          <w:bottom w:space="0" w:sz="0" w:val="nil"/>
          <w:right w:space="0" w:sz="0" w:val="nil"/>
          <w:between w:space="0" w:sz="0" w:val="nil"/>
        </w:pBdr>
        <w:ind w:left="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A">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ind w:left="720" w:hanging="36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DESARROLLO </w:t>
      </w:r>
      <w:r w:rsidDel="00000000" w:rsidR="00000000" w:rsidRPr="00000000">
        <w:rPr>
          <w:rtl w:val="0"/>
        </w:rPr>
      </w:r>
    </w:p>
    <w:p w:rsidR="00000000" w:rsidDel="00000000" w:rsidP="00000000" w:rsidRDefault="00000000" w:rsidRPr="00000000" w14:paraId="0000000C">
      <w:pPr>
        <w:ind w:left="360" w:firstLine="0"/>
        <w:rPr>
          <w:rFonts w:ascii="Arial" w:cs="Arial" w:eastAsia="Arial" w:hAnsi="Arial"/>
          <w:sz w:val="22"/>
          <w:szCs w:val="22"/>
        </w:rPr>
      </w:pPr>
      <w:r w:rsidDel="00000000" w:rsidR="00000000" w:rsidRPr="00000000">
        <w:rPr>
          <w:rtl w:val="0"/>
        </w:rPr>
      </w:r>
    </w:p>
    <w:tbl>
      <w:tblPr>
        <w:tblStyle w:val="Table1"/>
        <w:tblW w:w="8895.0" w:type="dxa"/>
        <w:jc w:val="center"/>
        <w:tblLayout w:type="fixed"/>
        <w:tblLook w:val="0400"/>
      </w:tblPr>
      <w:tblGrid>
        <w:gridCol w:w="705"/>
        <w:gridCol w:w="2685"/>
        <w:gridCol w:w="5505"/>
        <w:tblGridChange w:id="0">
          <w:tblGrid>
            <w:gridCol w:w="705"/>
            <w:gridCol w:w="2685"/>
            <w:gridCol w:w="5505"/>
          </w:tblGrid>
        </w:tblGridChange>
      </w:tblGrid>
      <w:tr>
        <w:trPr>
          <w:cantSplit w:val="0"/>
          <w:tblHeader w:val="0"/>
        </w:trPr>
        <w:tc>
          <w:tcPr>
            <w:tcBorders>
              <w:left w:color="000000" w:space="0" w:sz="0" w:val="nil"/>
              <w:right w:color="666666" w:space="0" w:sz="8" w:val="single"/>
            </w:tcBorders>
            <w:shd w:fill="55ba9e" w:val="clear"/>
            <w:vAlign w:val="center"/>
          </w:tcPr>
          <w:p w:rsidR="00000000" w:rsidDel="00000000" w:rsidP="00000000" w:rsidRDefault="00000000" w:rsidRPr="00000000" w14:paraId="0000000D">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w:t>
            </w:r>
          </w:p>
        </w:tc>
        <w:tc>
          <w:tcPr>
            <w:tcBorders>
              <w:right w:color="666666" w:space="0" w:sz="8" w:val="single"/>
            </w:tcBorders>
            <w:shd w:fill="55ba9e" w:val="clear"/>
            <w:vAlign w:val="center"/>
          </w:tcPr>
          <w:p w:rsidR="00000000" w:rsidDel="00000000" w:rsidP="00000000" w:rsidRDefault="00000000" w:rsidRPr="00000000" w14:paraId="0000000E">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RESPONSABLE</w:t>
            </w:r>
          </w:p>
        </w:tc>
        <w:tc>
          <w:tcPr>
            <w:tcBorders>
              <w:left w:color="666666" w:space="0" w:sz="8" w:val="single"/>
              <w:right w:color="000000" w:space="0" w:sz="0" w:val="nil"/>
            </w:tcBorders>
            <w:shd w:fill="55ba9e" w:val="clear"/>
            <w:vAlign w:val="center"/>
          </w:tcPr>
          <w:p w:rsidR="00000000" w:rsidDel="00000000" w:rsidP="00000000" w:rsidRDefault="00000000" w:rsidRPr="00000000" w14:paraId="0000000F">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ACTIVIDAD</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0">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5.1</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1">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r w:rsidDel="00000000" w:rsidR="00000000" w:rsidRPr="00000000">
              <w:rPr>
                <w:rtl w:val="0"/>
              </w:rPr>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12">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Revisa constantemente grupo de difusión de WhatsApp, donde se anuncian los ingresos de pacientes a hospitalización. </w:t>
            </w:r>
          </w:p>
          <w:p w:rsidR="00000000" w:rsidDel="00000000" w:rsidP="00000000" w:rsidRDefault="00000000" w:rsidRPr="00000000" w14:paraId="00000013">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caso de que el paciente anunciado no cuente con indicaciones es necesario comunicarse con el médico tratante para solicitarlas y se toman las indicaciones por medio de comunicación efectiva. </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5.2</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5">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16">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Procede a proporcionar indicaciones médicas al personal pertinente ya sea admisión o enfermería en caso de que paciente no acuda con ellas. </w:t>
              <w:br w:type="textWrapping"/>
              <w:t xml:space="preserve">Estas dadas por comunicación efectiva por el tratante. </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7">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5.3</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8">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19">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 el ingreso no menciona “corta estancia” se acude inmediatamente al piso anunciado para la entrevista médico-paciente. </w:t>
            </w:r>
          </w:p>
          <w:p w:rsidR="00000000" w:rsidDel="00000000" w:rsidP="00000000" w:rsidRDefault="00000000" w:rsidRPr="00000000" w14:paraId="0000001A">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Corta estancia no se realiza historia clínica ni nota de ingreso, a menos que su estancia en el hospital se prolongue por más de 8 horas. </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B">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5.4</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C">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1D">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Revisa indicaciones que traiga el paciente o las que se hayan tomado en oficina vía telefónica, en caso de que haya un procedimiento por realizar (toma de EKG, colocación de sonda, cruce de paquete).</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E">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5.5</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F">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20">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Procede a realizar instrucción de trabajo de pase de visita. Se solicita firma de consentimiento en caso de ser necesario.</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1">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5.6</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2">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23">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dirige a oficina de médicos de guardia donde se inicia sesión en el expediente electrónico, se busca por nombre al paciente y se realiza la nota en el apartado “Historia clínica” e “Ingreso”</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4">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5.7</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5">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26">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Llena las notas con el formato SOAP de las siglas SUBJETIVO, OBJETIVO, ANÁLISIS, PLAN.</w:t>
            </w:r>
          </w:p>
          <w:p w:rsidR="00000000" w:rsidDel="00000000" w:rsidP="00000000" w:rsidRDefault="00000000" w:rsidRPr="00000000" w14:paraId="00000027">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Así como padecimiento actual y Antecedentes personales, herederos familiares que incluye el expediente electrónico. </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8">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5.8</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9">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2A">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Debe de registrar en el apartado de SUBJETIVO: Patologías de base, el padecimiento y estado actual del paciente. </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B">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5.9</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C">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2D">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Posteriormente en el apartado de OBJETIVO: colocar en el primer párrafo los hallazgos de la exploración física incluido los signos vitales. En el segundo párrafo las pruebas de laboratorio o gabinete obtenidos de los sistemas hospitalarios. </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E">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5.10</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F">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30">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el apartado del ANÁLISIS: Incluye el resumen del paciente, sus posibles diagnósticos diferenciales y razonamiento clínico. </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1">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5.11</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2">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33">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el apartado de PLAN debe de incluir la redacción para cada uno de los componentes (pruebas diagnósticas, plan terapéutico, educación para el paciente y seguimiento). </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4">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5.12</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5">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36">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Coloca el pronóstico del paciente.</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7">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5.13</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8">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39">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Firma la nota con las credenciales virtuales proporcionadas por la unidad hospitalaria, imprime la nota, sella y firma.</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A">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5.14</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B">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3C">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anexa la impresión al expediente clínico físico del paciente. </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D">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5.15</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E">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3F">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Una vez realizada la historia clínica, nota de ingreso, completar el requerimiento de indicaciones médicas y llenado de consentimientos así requeridos se da por terminado la actividad del ingreso. </w:t>
            </w:r>
          </w:p>
        </w:tc>
      </w:tr>
    </w:tbl>
    <w:p w:rsidR="00000000" w:rsidDel="00000000" w:rsidP="00000000" w:rsidRDefault="00000000" w:rsidRPr="00000000" w14:paraId="00000040">
      <w:pPr>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GESTIÓN DE RIESGOS.</w:t>
      </w:r>
      <w:r w:rsidDel="00000000" w:rsidR="00000000" w:rsidRPr="00000000">
        <w:rPr>
          <w:rtl w:val="0"/>
        </w:rPr>
      </w:r>
    </w:p>
    <w:tbl>
      <w:tblPr>
        <w:tblStyle w:val="Table2"/>
        <w:tblW w:w="883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90"/>
        <w:gridCol w:w="4243"/>
        <w:tblGridChange w:id="0">
          <w:tblGrid>
            <w:gridCol w:w="4590"/>
            <w:gridCol w:w="4243"/>
          </w:tblGrid>
        </w:tblGridChange>
      </w:tblGrid>
      <w:tr>
        <w:trPr>
          <w:cantSplit w:val="0"/>
          <w:tblHeader w:val="0"/>
        </w:trPr>
        <w:tc>
          <w:tcPr>
            <w:shd w:fill="55ba9e" w:val="clear"/>
          </w:tcPr>
          <w:p w:rsidR="00000000" w:rsidDel="00000000" w:rsidP="00000000" w:rsidRDefault="00000000" w:rsidRPr="00000000" w14:paraId="0000004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Riesgo</w:t>
            </w:r>
          </w:p>
        </w:tc>
        <w:tc>
          <w:tcPr>
            <w:shd w:fill="55ba9e" w:val="clear"/>
          </w:tcPr>
          <w:p w:rsidR="00000000" w:rsidDel="00000000" w:rsidP="00000000" w:rsidRDefault="00000000" w:rsidRPr="00000000" w14:paraId="0000004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Barrera de Seguridad</w:t>
            </w:r>
          </w:p>
        </w:tc>
      </w:tr>
      <w:tr>
        <w:trPr>
          <w:cantSplit w:val="0"/>
          <w:tblHeader w:val="0"/>
        </w:trPr>
        <w:tc>
          <w:tcPr/>
          <w:p w:rsidR="00000000" w:rsidDel="00000000" w:rsidP="00000000" w:rsidRDefault="00000000" w:rsidRPr="00000000" w14:paraId="00000045">
            <w:pPr>
              <w:numPr>
                <w:ilvl w:val="0"/>
                <w:numId w:val="1"/>
              </w:numP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Radiaciones no ionizantes e ionizantes (rayos x) en el caso de traslado de pacientes para TAC o toma de radiografías portátiles. </w:t>
            </w:r>
            <w:r w:rsidDel="00000000" w:rsidR="00000000" w:rsidRPr="00000000">
              <w:rPr>
                <w:rtl w:val="0"/>
              </w:rPr>
            </w:r>
          </w:p>
        </w:tc>
        <w:tc>
          <w:tcPr/>
          <w:p w:rsidR="00000000" w:rsidDel="00000000" w:rsidP="00000000" w:rsidRDefault="00000000" w:rsidRPr="00000000" w14:paraId="0000004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Métodos de barrera y procedimiento de toma de estudios en el área de imagen. </w:t>
            </w:r>
          </w:p>
        </w:tc>
      </w:tr>
      <w:tr>
        <w:trPr>
          <w:cantSplit w:val="0"/>
          <w:tblHeader w:val="0"/>
        </w:trPr>
        <w:tc>
          <w:tcPr/>
          <w:p w:rsidR="00000000" w:rsidDel="00000000" w:rsidP="00000000" w:rsidRDefault="00000000" w:rsidRPr="00000000" w14:paraId="00000047">
            <w:pPr>
              <w:numPr>
                <w:ilvl w:val="0"/>
                <w:numId w:val="1"/>
              </w:numP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Choques contra objetos tras movilización paciente </w:t>
            </w:r>
          </w:p>
        </w:tc>
        <w:tc>
          <w:tcPr/>
          <w:p w:rsidR="00000000" w:rsidDel="00000000" w:rsidP="00000000" w:rsidRDefault="00000000" w:rsidRPr="00000000" w14:paraId="0000004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 Mecánica corporal y movimiento de pacientes. </w:t>
            </w:r>
          </w:p>
        </w:tc>
      </w:tr>
      <w:tr>
        <w:trPr>
          <w:cantSplit w:val="0"/>
          <w:tblHeader w:val="0"/>
        </w:trPr>
        <w:tc>
          <w:tcPr/>
          <w:p w:rsidR="00000000" w:rsidDel="00000000" w:rsidP="00000000" w:rsidRDefault="00000000" w:rsidRPr="00000000" w14:paraId="00000049">
            <w:pPr>
              <w:numPr>
                <w:ilvl w:val="0"/>
                <w:numId w:val="1"/>
              </w:numP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Caída de objetos tras manipulación y/o movilización del paciente </w:t>
            </w:r>
          </w:p>
        </w:tc>
        <w:tc>
          <w:tcPr/>
          <w:p w:rsidR="00000000" w:rsidDel="00000000" w:rsidP="00000000" w:rsidRDefault="00000000" w:rsidRPr="00000000" w14:paraId="0000004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 Apoyo del servicio de camilleria. </w:t>
            </w:r>
          </w:p>
        </w:tc>
      </w:tr>
      <w:tr>
        <w:trPr>
          <w:cantSplit w:val="0"/>
          <w:tblHeader w:val="0"/>
        </w:trPr>
        <w:tc>
          <w:tcPr/>
          <w:p w:rsidR="00000000" w:rsidDel="00000000" w:rsidP="00000000" w:rsidRDefault="00000000" w:rsidRPr="00000000" w14:paraId="0000004B">
            <w:pPr>
              <w:numPr>
                <w:ilvl w:val="0"/>
                <w:numId w:val="1"/>
              </w:numP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Golpes por objetos o herramientas, en la atención de los pacientes. </w:t>
            </w:r>
          </w:p>
        </w:tc>
        <w:tc>
          <w:tcPr/>
          <w:p w:rsidR="00000000" w:rsidDel="00000000" w:rsidP="00000000" w:rsidRDefault="00000000" w:rsidRPr="00000000" w14:paraId="0000004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 Procedimiento y uso correcto de materiales punzocortantes. </w:t>
            </w:r>
          </w:p>
        </w:tc>
      </w:tr>
      <w:tr>
        <w:trPr>
          <w:cantSplit w:val="0"/>
          <w:tblHeader w:val="0"/>
        </w:trPr>
        <w:tc>
          <w:tcPr/>
          <w:p w:rsidR="00000000" w:rsidDel="00000000" w:rsidP="00000000" w:rsidRDefault="00000000" w:rsidRPr="00000000" w14:paraId="0000004D">
            <w:pPr>
              <w:numPr>
                <w:ilvl w:val="0"/>
                <w:numId w:val="1"/>
              </w:numP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Cortes o pinchazos por utensilios de canalización de pacientes. </w:t>
            </w:r>
          </w:p>
        </w:tc>
        <w:tc>
          <w:tcPr/>
          <w:p w:rsidR="00000000" w:rsidDel="00000000" w:rsidP="00000000" w:rsidRDefault="00000000" w:rsidRPr="00000000" w14:paraId="0000004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 Manejo y normativa de RPBI </w:t>
            </w:r>
          </w:p>
        </w:tc>
      </w:tr>
      <w:tr>
        <w:trPr>
          <w:cantSplit w:val="0"/>
          <w:tblHeader w:val="0"/>
        </w:trPr>
        <w:tc>
          <w:tcPr/>
          <w:p w:rsidR="00000000" w:rsidDel="00000000" w:rsidP="00000000" w:rsidRDefault="00000000" w:rsidRPr="00000000" w14:paraId="0000004F">
            <w:pPr>
              <w:numPr>
                <w:ilvl w:val="0"/>
                <w:numId w:val="1"/>
              </w:numP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Exposición a citostáticos. </w:t>
            </w:r>
          </w:p>
        </w:tc>
        <w:tc>
          <w:tcPr/>
          <w:p w:rsidR="00000000" w:rsidDel="00000000" w:rsidP="00000000" w:rsidRDefault="00000000" w:rsidRPr="00000000" w14:paraId="0000005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 Se brinda materiales de protección para cada uno de los procedimientos que el médico realice en las áreas. </w:t>
            </w:r>
          </w:p>
        </w:tc>
      </w:tr>
      <w:tr>
        <w:trPr>
          <w:cantSplit w:val="0"/>
          <w:tblHeader w:val="0"/>
        </w:trPr>
        <w:tc>
          <w:tcPr/>
          <w:p w:rsidR="00000000" w:rsidDel="00000000" w:rsidP="00000000" w:rsidRDefault="00000000" w:rsidRPr="00000000" w14:paraId="00000051">
            <w:pPr>
              <w:numPr>
                <w:ilvl w:val="0"/>
                <w:numId w:val="1"/>
              </w:numP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Dermatitis por contacto </w:t>
            </w:r>
          </w:p>
        </w:tc>
        <w:tc>
          <w:tcPr/>
          <w:p w:rsidR="00000000" w:rsidDel="00000000" w:rsidP="00000000" w:rsidRDefault="00000000" w:rsidRPr="00000000" w14:paraId="0000005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 Se brinda capacitación y orientación específica al puesto para poder realizar los procedimientos dentro de un ámbito hospitalario. </w:t>
            </w:r>
          </w:p>
        </w:tc>
      </w:tr>
      <w:tr>
        <w:trPr>
          <w:cantSplit w:val="0"/>
          <w:tblHeader w:val="0"/>
        </w:trPr>
        <w:tc>
          <w:tcPr/>
          <w:p w:rsidR="00000000" w:rsidDel="00000000" w:rsidP="00000000" w:rsidRDefault="00000000" w:rsidRPr="00000000" w14:paraId="00000053">
            <w:pPr>
              <w:numPr>
                <w:ilvl w:val="0"/>
                <w:numId w:val="1"/>
              </w:numP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Infecciones de transmisión parenteral por pinchazo inadvertido (hepatitis B, C, VIH). </w:t>
            </w:r>
          </w:p>
        </w:tc>
        <w:tc>
          <w:tcPr/>
          <w:p w:rsidR="00000000" w:rsidDel="00000000" w:rsidP="00000000" w:rsidRDefault="00000000" w:rsidRPr="00000000" w14:paraId="0000005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 Materiales y equipo de protección necesario para el manejo de residuos biológicos, así como para la atención del paciente con potencial de infección. </w:t>
            </w:r>
          </w:p>
        </w:tc>
      </w:tr>
      <w:tr>
        <w:trPr>
          <w:cantSplit w:val="0"/>
          <w:tblHeader w:val="0"/>
        </w:trPr>
        <w:tc>
          <w:tcPr/>
          <w:p w:rsidR="00000000" w:rsidDel="00000000" w:rsidP="00000000" w:rsidRDefault="00000000" w:rsidRPr="00000000" w14:paraId="00000055">
            <w:pPr>
              <w:numPr>
                <w:ilvl w:val="0"/>
                <w:numId w:val="1"/>
              </w:numP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Infecciones de transmisión o exposición por gota (Tuberculosis, Influenza). </w:t>
            </w:r>
          </w:p>
        </w:tc>
        <w:tc>
          <w:tcPr/>
          <w:p w:rsidR="00000000" w:rsidDel="00000000" w:rsidP="00000000" w:rsidRDefault="00000000" w:rsidRPr="00000000" w14:paraId="0000005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 Materiales y equipo de protección necesario para la atención del paciente con potencial de infección. </w:t>
            </w:r>
          </w:p>
        </w:tc>
      </w:tr>
      <w:tr>
        <w:trPr>
          <w:cantSplit w:val="0"/>
          <w:tblHeader w:val="0"/>
        </w:trPr>
        <w:tc>
          <w:tcPr/>
          <w:p w:rsidR="00000000" w:rsidDel="00000000" w:rsidP="00000000" w:rsidRDefault="00000000" w:rsidRPr="00000000" w14:paraId="00000057">
            <w:pPr>
              <w:numPr>
                <w:ilvl w:val="0"/>
                <w:numId w:val="1"/>
              </w:numP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Relaciones personales y responsabilidades </w:t>
            </w:r>
          </w:p>
        </w:tc>
        <w:tc>
          <w:tcPr/>
          <w:p w:rsidR="00000000" w:rsidDel="00000000" w:rsidP="00000000" w:rsidRDefault="00000000" w:rsidRPr="00000000" w14:paraId="0000005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 Se genera un adecuado ambiente de trabajo. </w:t>
            </w:r>
          </w:p>
        </w:tc>
      </w:tr>
      <w:tr>
        <w:trPr>
          <w:cantSplit w:val="0"/>
          <w:tblHeader w:val="0"/>
        </w:trPr>
        <w:tc>
          <w:tcPr/>
          <w:p w:rsidR="00000000" w:rsidDel="00000000" w:rsidP="00000000" w:rsidRDefault="00000000" w:rsidRPr="00000000" w14:paraId="00000059">
            <w:pPr>
              <w:numPr>
                <w:ilvl w:val="0"/>
                <w:numId w:val="1"/>
              </w:numP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Monotonía/Repetitividad en las actividades laborales </w:t>
            </w:r>
          </w:p>
        </w:tc>
        <w:tc>
          <w:tcPr/>
          <w:p w:rsidR="00000000" w:rsidDel="00000000" w:rsidP="00000000" w:rsidRDefault="00000000" w:rsidRPr="00000000" w14:paraId="0000005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 Se realiza distribución equitativa del trabajo donde se cambia de área con periodicidad para evitar la ceguera de taller. </w:t>
            </w:r>
          </w:p>
        </w:tc>
      </w:tr>
      <w:tr>
        <w:trPr>
          <w:cantSplit w:val="0"/>
          <w:tblHeader w:val="0"/>
        </w:trPr>
        <w:tc>
          <w:tcPr/>
          <w:p w:rsidR="00000000" w:rsidDel="00000000" w:rsidP="00000000" w:rsidRDefault="00000000" w:rsidRPr="00000000" w14:paraId="0000005B">
            <w:pPr>
              <w:numPr>
                <w:ilvl w:val="0"/>
                <w:numId w:val="1"/>
              </w:numP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Consecuencias nocivas que se traducen en: insatisfacción, estrés laboral, síndrome del burnout, acoso psicológico laboral. </w:t>
            </w:r>
          </w:p>
        </w:tc>
        <w:tc>
          <w:tcPr/>
          <w:p w:rsidR="00000000" w:rsidDel="00000000" w:rsidP="00000000" w:rsidRDefault="00000000" w:rsidRPr="00000000" w14:paraId="0000005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 Se realiza la correcta distribución de horarios para evitar la fatiga de un solo médico con disposición de guardias distribuidas de manera equitativa para mantener la organización dentro del departamento. </w:t>
            </w:r>
          </w:p>
        </w:tc>
      </w:tr>
      <w:tr>
        <w:trPr>
          <w:cantSplit w:val="0"/>
          <w:tblHeader w:val="0"/>
        </w:trPr>
        <w:tc>
          <w:tcPr/>
          <w:p w:rsidR="00000000" w:rsidDel="00000000" w:rsidP="00000000" w:rsidRDefault="00000000" w:rsidRPr="00000000" w14:paraId="0000005D">
            <w:pPr>
              <w:numPr>
                <w:ilvl w:val="0"/>
                <w:numId w:val="1"/>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Incorrecta anamnesis y exploración física. </w:t>
            </w:r>
          </w:p>
        </w:tc>
        <w:tc>
          <w:tcPr/>
          <w:p w:rsidR="00000000" w:rsidDel="00000000" w:rsidP="00000000" w:rsidRDefault="00000000" w:rsidRPr="00000000" w14:paraId="0000005E">
            <w:pPr>
              <w:rPr>
                <w:rFonts w:ascii="Arial" w:cs="Arial" w:eastAsia="Arial" w:hAnsi="Arial"/>
                <w:sz w:val="22"/>
                <w:szCs w:val="22"/>
              </w:rPr>
            </w:pPr>
            <w:r w:rsidDel="00000000" w:rsidR="00000000" w:rsidRPr="00000000">
              <w:rPr>
                <w:rFonts w:ascii="Arial" w:cs="Arial" w:eastAsia="Arial" w:hAnsi="Arial"/>
                <w:sz w:val="22"/>
                <w:szCs w:val="22"/>
                <w:rtl w:val="0"/>
              </w:rPr>
              <w:t xml:space="preserve">m. Constante actualización en la correcta anamnesis y exploración física.</w:t>
            </w:r>
          </w:p>
        </w:tc>
      </w:tr>
      <w:tr>
        <w:trPr>
          <w:cantSplit w:val="0"/>
          <w:tblHeader w:val="0"/>
        </w:trPr>
        <w:tc>
          <w:tcPr/>
          <w:p w:rsidR="00000000" w:rsidDel="00000000" w:rsidP="00000000" w:rsidRDefault="00000000" w:rsidRPr="00000000" w14:paraId="0000005F">
            <w:pPr>
              <w:numPr>
                <w:ilvl w:val="0"/>
                <w:numId w:val="1"/>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Errores de transcripción al momento de copiar de un medio a otro. </w:t>
            </w:r>
          </w:p>
        </w:tc>
        <w:tc>
          <w:tcPr/>
          <w:p w:rsidR="00000000" w:rsidDel="00000000" w:rsidP="00000000" w:rsidRDefault="00000000" w:rsidRPr="00000000" w14:paraId="00000060">
            <w:pPr>
              <w:rPr>
                <w:rFonts w:ascii="Arial" w:cs="Arial" w:eastAsia="Arial" w:hAnsi="Arial"/>
                <w:sz w:val="22"/>
                <w:szCs w:val="22"/>
              </w:rPr>
            </w:pPr>
            <w:r w:rsidDel="00000000" w:rsidR="00000000" w:rsidRPr="00000000">
              <w:rPr>
                <w:rFonts w:ascii="Arial" w:cs="Arial" w:eastAsia="Arial" w:hAnsi="Arial"/>
                <w:sz w:val="22"/>
                <w:szCs w:val="22"/>
                <w:rtl w:val="0"/>
              </w:rPr>
              <w:t xml:space="preserve">n.  Doble verificación a la transcripción de datos.</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ind w:left="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ANEXOS.</w:t>
      </w:r>
    </w:p>
    <w:p w:rsidR="00000000" w:rsidDel="00000000" w:rsidP="00000000" w:rsidRDefault="00000000" w:rsidRPr="00000000" w14:paraId="00000063">
      <w:pPr>
        <w:pBdr>
          <w:top w:space="0" w:sz="0" w:val="nil"/>
          <w:left w:space="0" w:sz="0" w:val="nil"/>
          <w:bottom w:space="0" w:sz="0" w:val="nil"/>
          <w:right w:space="0" w:sz="0" w:val="nil"/>
          <w:between w:space="0" w:sz="0" w:val="nil"/>
        </w:pBdr>
        <w:ind w:left="1080" w:firstLine="0"/>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64">
      <w:pPr>
        <w:numPr>
          <w:ilvl w:val="1"/>
          <w:numId w:val="2"/>
        </w:numPr>
        <w:pBdr>
          <w:top w:space="0" w:sz="0" w:val="nil"/>
          <w:left w:space="0" w:sz="0" w:val="nil"/>
          <w:bottom w:space="0" w:sz="0" w:val="nil"/>
          <w:right w:space="0" w:sz="0" w:val="nil"/>
          <w:between w:space="0" w:sz="0" w:val="nil"/>
        </w:pBdr>
        <w:ind w:left="108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Documentos de referencia.</w:t>
      </w:r>
    </w:p>
    <w:p w:rsidR="00000000" w:rsidDel="00000000" w:rsidP="00000000" w:rsidRDefault="00000000" w:rsidRPr="00000000" w14:paraId="00000065">
      <w:pPr>
        <w:pBdr>
          <w:top w:space="0" w:sz="0" w:val="nil"/>
          <w:left w:space="0" w:sz="0" w:val="nil"/>
          <w:bottom w:space="0" w:sz="0" w:val="nil"/>
          <w:right w:space="0" w:sz="0" w:val="nil"/>
          <w:between w:space="0" w:sz="0" w:val="nil"/>
        </w:pBdr>
        <w:ind w:left="720" w:firstLine="0"/>
        <w:rPr>
          <w:rFonts w:ascii="Arial" w:cs="Arial" w:eastAsia="Arial" w:hAnsi="Arial"/>
          <w:color w:val="000000"/>
          <w:sz w:val="22"/>
          <w:szCs w:val="22"/>
        </w:rPr>
      </w:pPr>
      <w:r w:rsidDel="00000000" w:rsidR="00000000" w:rsidRPr="00000000">
        <w:rPr>
          <w:rtl w:val="0"/>
        </w:rPr>
      </w:r>
    </w:p>
    <w:tbl>
      <w:tblPr>
        <w:tblStyle w:val="Table3"/>
        <w:tblW w:w="878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63"/>
        <w:gridCol w:w="2126"/>
        <w:tblGridChange w:id="0">
          <w:tblGrid>
            <w:gridCol w:w="6663"/>
            <w:gridCol w:w="2126"/>
          </w:tblGrid>
        </w:tblGridChange>
      </w:tblGrid>
      <w:tr>
        <w:trPr>
          <w:cantSplit w:val="0"/>
          <w:trHeight w:val="443" w:hRule="atLeast"/>
          <w:tblHeader w:val="0"/>
        </w:trPr>
        <w:tc>
          <w:tcPr>
            <w:shd w:fill="55ba9e" w:val="clear"/>
            <w:vAlign w:val="center"/>
          </w:tcPr>
          <w:p w:rsidR="00000000" w:rsidDel="00000000" w:rsidP="00000000" w:rsidRDefault="00000000" w:rsidRPr="00000000" w14:paraId="00000066">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Nombre del documento</w:t>
            </w:r>
          </w:p>
        </w:tc>
        <w:tc>
          <w:tcPr>
            <w:shd w:fill="55ba9e" w:val="clear"/>
            <w:vAlign w:val="center"/>
          </w:tcPr>
          <w:p w:rsidR="00000000" w:rsidDel="00000000" w:rsidP="00000000" w:rsidRDefault="00000000" w:rsidRPr="00000000" w14:paraId="00000067">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Código</w:t>
            </w:r>
          </w:p>
        </w:tc>
      </w:tr>
      <w:tr>
        <w:trPr>
          <w:cantSplit w:val="0"/>
          <w:trHeight w:val="122" w:hRule="atLeast"/>
          <w:tblHeader w:val="0"/>
        </w:trPr>
        <w:tc>
          <w:tcPr>
            <w:vAlign w:val="center"/>
          </w:tcPr>
          <w:p w:rsidR="00000000" w:rsidDel="00000000" w:rsidP="00000000" w:rsidRDefault="00000000" w:rsidRPr="00000000" w14:paraId="00000068">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Norma Oficial Mexicana del expediente clínico </w:t>
            </w:r>
          </w:p>
        </w:tc>
        <w:tc>
          <w:tcPr>
            <w:vAlign w:val="center"/>
          </w:tcPr>
          <w:p w:rsidR="00000000" w:rsidDel="00000000" w:rsidP="00000000" w:rsidRDefault="00000000" w:rsidRPr="00000000" w14:paraId="00000069">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NOM-004-SSA3-2012</w:t>
            </w:r>
          </w:p>
        </w:tc>
      </w:tr>
    </w:tbl>
    <w:p w:rsidR="00000000" w:rsidDel="00000000" w:rsidP="00000000" w:rsidRDefault="00000000" w:rsidRPr="00000000" w14:paraId="0000006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CONTROL DE CAMBIOS.</w:t>
      </w:r>
    </w:p>
    <w:p w:rsidR="00000000" w:rsidDel="00000000" w:rsidP="00000000" w:rsidRDefault="00000000" w:rsidRPr="00000000" w14:paraId="0000006C">
      <w:pPr>
        <w:rPr>
          <w:rFonts w:ascii="Arial" w:cs="Arial" w:eastAsia="Arial" w:hAnsi="Arial"/>
          <w:sz w:val="22"/>
          <w:szCs w:val="22"/>
        </w:rPr>
      </w:pPr>
      <w:r w:rsidDel="00000000" w:rsidR="00000000" w:rsidRPr="00000000">
        <w:rPr>
          <w:rtl w:val="0"/>
        </w:rPr>
      </w:r>
    </w:p>
    <w:tbl>
      <w:tblPr>
        <w:tblStyle w:val="Table4"/>
        <w:tblW w:w="88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1410"/>
        <w:gridCol w:w="2985"/>
        <w:gridCol w:w="1845"/>
        <w:gridCol w:w="1560"/>
        <w:tblGridChange w:id="0">
          <w:tblGrid>
            <w:gridCol w:w="1095"/>
            <w:gridCol w:w="1410"/>
            <w:gridCol w:w="2985"/>
            <w:gridCol w:w="1845"/>
            <w:gridCol w:w="1560"/>
          </w:tblGrid>
        </w:tblGridChange>
      </w:tblGrid>
      <w:tr>
        <w:trPr>
          <w:cantSplit w:val="0"/>
          <w:trHeight w:val="222" w:hRule="atLeast"/>
          <w:tblHeader w:val="0"/>
        </w:trPr>
        <w:tc>
          <w:tcPr>
            <w:shd w:fill="55ba9e" w:val="clear"/>
            <w:vAlign w:val="center"/>
          </w:tcPr>
          <w:p w:rsidR="00000000" w:rsidDel="00000000" w:rsidP="00000000" w:rsidRDefault="00000000" w:rsidRPr="00000000" w14:paraId="0000006D">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Versión</w:t>
            </w:r>
          </w:p>
        </w:tc>
        <w:tc>
          <w:tcPr>
            <w:shd w:fill="55ba9e" w:val="clear"/>
            <w:vAlign w:val="center"/>
          </w:tcPr>
          <w:p w:rsidR="00000000" w:rsidDel="00000000" w:rsidP="00000000" w:rsidRDefault="00000000" w:rsidRPr="00000000" w14:paraId="0000006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Fecha</w:t>
            </w:r>
          </w:p>
        </w:tc>
        <w:tc>
          <w:tcPr>
            <w:shd w:fill="55ba9e" w:val="clear"/>
          </w:tcPr>
          <w:p w:rsidR="00000000" w:rsidDel="00000000" w:rsidP="00000000" w:rsidRDefault="00000000" w:rsidRPr="00000000" w14:paraId="0000006F">
            <w:pPr>
              <w:spacing w:after="120" w:before="120" w:lineRule="auto"/>
              <w:jc w:val="center"/>
              <w:rPr>
                <w:rFonts w:ascii="Arial" w:cs="Arial" w:eastAsia="Arial" w:hAnsi="Arial"/>
                <w:color w:val="808080"/>
                <w:sz w:val="22"/>
                <w:szCs w:val="22"/>
              </w:rPr>
            </w:pPr>
            <w:r w:rsidDel="00000000" w:rsidR="00000000" w:rsidRPr="00000000">
              <w:rPr>
                <w:rFonts w:ascii="Arial" w:cs="Arial" w:eastAsia="Arial" w:hAnsi="Arial"/>
                <w:b w:val="1"/>
                <w:bCs w:val="1"/>
                <w:sz w:val="22"/>
                <w:szCs w:val="22"/>
                <w:rtl w:val="0"/>
              </w:rPr>
              <w:t xml:space="preserve">Descripción del cambio</w:t>
            </w:r>
            <w:r w:rsidDel="00000000" w:rsidR="00000000" w:rsidRPr="00000000">
              <w:rPr>
                <w:rtl w:val="0"/>
              </w:rPr>
            </w:r>
          </w:p>
        </w:tc>
        <w:tc>
          <w:tcPr>
            <w:shd w:fill="55ba9e" w:val="clear"/>
          </w:tcPr>
          <w:p w:rsidR="00000000" w:rsidDel="00000000" w:rsidP="00000000" w:rsidRDefault="00000000" w:rsidRPr="00000000" w14:paraId="00000070">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Realizado</w:t>
            </w:r>
          </w:p>
        </w:tc>
        <w:tc>
          <w:tcPr>
            <w:shd w:fill="55ba9e" w:val="clear"/>
          </w:tcPr>
          <w:p w:rsidR="00000000" w:rsidDel="00000000" w:rsidP="00000000" w:rsidRDefault="00000000" w:rsidRPr="00000000" w14:paraId="00000071">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Aprobado</w:t>
            </w:r>
          </w:p>
        </w:tc>
      </w:tr>
      <w:tr>
        <w:trPr>
          <w:cantSplit w:val="0"/>
          <w:trHeight w:val="707" w:hRule="atLeast"/>
          <w:tblHeader w:val="0"/>
        </w:trPr>
        <w:tc>
          <w:tcPr>
            <w:vAlign w:val="center"/>
          </w:tcPr>
          <w:p w:rsidR="00000000" w:rsidDel="00000000" w:rsidP="00000000" w:rsidRDefault="00000000" w:rsidRPr="00000000" w14:paraId="00000072">
            <w:pPr>
              <w:jc w:val="center"/>
              <w:rPr>
                <w:rFonts w:ascii="Times New Roman" w:cs="Times New Roman" w:eastAsia="Times New Roman" w:hAnsi="Times New Roman"/>
              </w:rPr>
            </w:pPr>
            <w:r w:rsidDel="00000000" w:rsidR="00000000" w:rsidRPr="00000000">
              <w:rPr>
                <w:rFonts w:ascii="Arial" w:cs="Arial" w:eastAsia="Arial" w:hAnsi="Arial"/>
                <w:sz w:val="22"/>
                <w:szCs w:val="22"/>
                <w:rtl w:val="0"/>
              </w:rPr>
              <w:t xml:space="preserve">1</w:t>
            </w:r>
            <w:r w:rsidDel="00000000" w:rsidR="00000000" w:rsidRPr="00000000">
              <w:rPr>
                <w:rtl w:val="0"/>
              </w:rPr>
            </w:r>
          </w:p>
          <w:p w:rsidR="00000000" w:rsidDel="00000000" w:rsidP="00000000" w:rsidRDefault="00000000" w:rsidRPr="00000000" w14:paraId="00000073">
            <w:pPr>
              <w:spacing w:after="120" w:before="120" w:lineRule="auto"/>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74">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25/04/2024 </w:t>
            </w:r>
            <w:r w:rsidDel="00000000" w:rsidR="00000000" w:rsidRPr="00000000">
              <w:rPr>
                <w:rtl w:val="0"/>
              </w:rPr>
            </w:r>
          </w:p>
        </w:tc>
        <w:tc>
          <w:tcPr>
            <w:vAlign w:val="center"/>
          </w:tcPr>
          <w:p w:rsidR="00000000" w:rsidDel="00000000" w:rsidP="00000000" w:rsidRDefault="00000000" w:rsidRPr="00000000" w14:paraId="00000075">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Alta de documento</w:t>
            </w:r>
          </w:p>
        </w:tc>
        <w:tc>
          <w:tcPr>
            <w:vAlign w:val="center"/>
          </w:tcPr>
          <w:p w:rsidR="00000000" w:rsidDel="00000000" w:rsidP="00000000" w:rsidRDefault="00000000" w:rsidRPr="00000000" w14:paraId="00000076">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Dra. Elisa Nunila Villa Bernal </w:t>
            </w:r>
          </w:p>
        </w:tc>
        <w:tc>
          <w:tcPr>
            <w:vAlign w:val="center"/>
          </w:tcPr>
          <w:p w:rsidR="00000000" w:rsidDel="00000000" w:rsidP="00000000" w:rsidRDefault="00000000" w:rsidRPr="00000000" w14:paraId="00000077">
            <w:pPr>
              <w:spacing w:after="120" w:before="120" w:lineRule="auto"/>
              <w:jc w:val="center"/>
              <w:rPr>
                <w:rFonts w:ascii="Arial" w:cs="Arial" w:eastAsia="Arial" w:hAnsi="Arial"/>
                <w:color w:val="a6a6a6"/>
                <w:sz w:val="22"/>
                <w:szCs w:val="22"/>
              </w:rPr>
            </w:pPr>
            <w:r w:rsidDel="00000000" w:rsidR="00000000" w:rsidRPr="00000000">
              <w:rPr>
                <w:rFonts w:ascii="Arial" w:cs="Arial" w:eastAsia="Arial" w:hAnsi="Arial"/>
                <w:sz w:val="22"/>
                <w:szCs w:val="22"/>
                <w:rtl w:val="0"/>
              </w:rPr>
              <w:t xml:space="preserve">Mtra. Ana Cecilia Zarate Bautista </w:t>
            </w:r>
            <w:r w:rsidDel="00000000" w:rsidR="00000000" w:rsidRPr="00000000">
              <w:rPr>
                <w:rtl w:val="0"/>
              </w:rPr>
            </w:r>
          </w:p>
        </w:tc>
      </w:tr>
      <w:tr>
        <w:trPr>
          <w:cantSplit w:val="0"/>
          <w:trHeight w:val="707" w:hRule="atLeast"/>
          <w:tblHeader w:val="0"/>
        </w:trPr>
        <w:tc>
          <w:tcPr>
            <w:vAlign w:val="center"/>
          </w:tcPr>
          <w:p w:rsidR="00000000" w:rsidDel="00000000" w:rsidP="00000000" w:rsidRDefault="00000000" w:rsidRPr="00000000" w14:paraId="0000007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079">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03/05/2026</w:t>
            </w:r>
          </w:p>
        </w:tc>
        <w:tc>
          <w:tcPr>
            <w:vAlign w:val="center"/>
          </w:tcPr>
          <w:p w:rsidR="00000000" w:rsidDel="00000000" w:rsidP="00000000" w:rsidRDefault="00000000" w:rsidRPr="00000000" w14:paraId="0000007A">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Actualización de documento</w:t>
            </w:r>
          </w:p>
        </w:tc>
        <w:tc>
          <w:tcPr>
            <w:vAlign w:val="center"/>
          </w:tcPr>
          <w:p w:rsidR="00000000" w:rsidDel="00000000" w:rsidP="00000000" w:rsidRDefault="00000000" w:rsidRPr="00000000" w14:paraId="0000007B">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Dra. Daniela Hernández Alvarez</w:t>
            </w:r>
          </w:p>
        </w:tc>
        <w:tc>
          <w:tcPr>
            <w:vAlign w:val="center"/>
          </w:tcPr>
          <w:p w:rsidR="00000000" w:rsidDel="00000000" w:rsidP="00000000" w:rsidRDefault="00000000" w:rsidRPr="00000000" w14:paraId="0000007C">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Dr. Gonzalo Vázquez Camacho</w:t>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AUTORIZACIÓN.</w:t>
      </w:r>
    </w:p>
    <w:p w:rsidR="00000000" w:rsidDel="00000000" w:rsidP="00000000" w:rsidRDefault="00000000" w:rsidRPr="00000000" w14:paraId="0000007F">
      <w:pPr>
        <w:pBdr>
          <w:top w:space="0" w:sz="0" w:val="nil"/>
          <w:left w:space="0" w:sz="0" w:val="nil"/>
          <w:bottom w:space="0" w:sz="0" w:val="nil"/>
          <w:right w:space="0" w:sz="0" w:val="nil"/>
          <w:between w:space="0" w:sz="0" w:val="nil"/>
        </w:pBdr>
        <w:ind w:left="720" w:firstLine="0"/>
        <w:rPr>
          <w:rFonts w:ascii="Arial" w:cs="Arial" w:eastAsia="Arial" w:hAnsi="Arial"/>
          <w:b w:val="1"/>
          <w:bCs w:val="1"/>
          <w:sz w:val="22"/>
          <w:szCs w:val="22"/>
        </w:rPr>
      </w:pPr>
      <w:r w:rsidDel="00000000" w:rsidR="00000000" w:rsidRPr="00000000">
        <w:rPr>
          <w:rtl w:val="0"/>
        </w:rPr>
      </w:r>
    </w:p>
    <w:tbl>
      <w:tblPr>
        <w:tblStyle w:val="Table5"/>
        <w:tblW w:w="8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7"/>
        <w:gridCol w:w="3402"/>
        <w:gridCol w:w="2693"/>
        <w:tblGridChange w:id="0">
          <w:tblGrid>
            <w:gridCol w:w="2797"/>
            <w:gridCol w:w="3402"/>
            <w:gridCol w:w="2693"/>
          </w:tblGrid>
        </w:tblGridChange>
      </w:tblGrid>
      <w:tr>
        <w:trPr>
          <w:cantSplit w:val="0"/>
          <w:trHeight w:val="390" w:hRule="atLeast"/>
          <w:tblHeader w:val="0"/>
        </w:trPr>
        <w:tc>
          <w:tcPr>
            <w:shd w:fill="55ba9e" w:val="clear"/>
            <w:vAlign w:val="center"/>
          </w:tcPr>
          <w:p w:rsidR="00000000" w:rsidDel="00000000" w:rsidP="00000000" w:rsidRDefault="00000000" w:rsidRPr="00000000" w14:paraId="00000080">
            <w:pPr>
              <w:jc w:val="center"/>
              <w:rPr>
                <w:rFonts w:ascii="Arial" w:cs="Arial" w:eastAsia="Arial" w:hAnsi="Arial"/>
                <w:b w:val="1"/>
                <w:bCs w:val="1"/>
                <w:color w:val="808080"/>
                <w:sz w:val="22"/>
                <w:szCs w:val="22"/>
              </w:rPr>
            </w:pPr>
            <w:r w:rsidDel="00000000" w:rsidR="00000000" w:rsidRPr="00000000">
              <w:rPr>
                <w:rFonts w:ascii="Arial" w:cs="Arial" w:eastAsia="Arial" w:hAnsi="Arial"/>
                <w:b w:val="1"/>
                <w:bCs w:val="1"/>
                <w:sz w:val="22"/>
                <w:szCs w:val="22"/>
                <w:rtl w:val="0"/>
              </w:rPr>
              <w:t xml:space="preserve">Elaboró</w:t>
            </w:r>
            <w:r w:rsidDel="00000000" w:rsidR="00000000" w:rsidRPr="00000000">
              <w:rPr>
                <w:rtl w:val="0"/>
              </w:rPr>
            </w:r>
          </w:p>
        </w:tc>
        <w:tc>
          <w:tcPr>
            <w:shd w:fill="55ba9e" w:val="clear"/>
            <w:vAlign w:val="center"/>
          </w:tcPr>
          <w:p w:rsidR="00000000" w:rsidDel="00000000" w:rsidP="00000000" w:rsidRDefault="00000000" w:rsidRPr="00000000" w14:paraId="00000081">
            <w:pPr>
              <w:jc w:val="center"/>
              <w:rPr>
                <w:rFonts w:ascii="Arial" w:cs="Arial" w:eastAsia="Arial" w:hAnsi="Arial"/>
                <w:b w:val="1"/>
                <w:bCs w:val="1"/>
                <w:color w:val="808080"/>
                <w:sz w:val="22"/>
                <w:szCs w:val="22"/>
              </w:rPr>
            </w:pPr>
            <w:r w:rsidDel="00000000" w:rsidR="00000000" w:rsidRPr="00000000">
              <w:rPr>
                <w:rFonts w:ascii="Arial" w:cs="Arial" w:eastAsia="Arial" w:hAnsi="Arial"/>
                <w:b w:val="1"/>
                <w:bCs w:val="1"/>
                <w:sz w:val="22"/>
                <w:szCs w:val="22"/>
                <w:rtl w:val="0"/>
              </w:rPr>
              <w:t xml:space="preserve">Revisó</w:t>
            </w:r>
            <w:r w:rsidDel="00000000" w:rsidR="00000000" w:rsidRPr="00000000">
              <w:rPr>
                <w:rtl w:val="0"/>
              </w:rPr>
            </w:r>
          </w:p>
        </w:tc>
        <w:tc>
          <w:tcPr>
            <w:shd w:fill="55ba9e" w:val="clear"/>
            <w:vAlign w:val="center"/>
          </w:tcPr>
          <w:p w:rsidR="00000000" w:rsidDel="00000000" w:rsidP="00000000" w:rsidRDefault="00000000" w:rsidRPr="00000000" w14:paraId="00000082">
            <w:pPr>
              <w:jc w:val="center"/>
              <w:rPr>
                <w:rFonts w:ascii="Arial" w:cs="Arial" w:eastAsia="Arial" w:hAnsi="Arial"/>
                <w:b w:val="1"/>
                <w:bCs w:val="1"/>
                <w:color w:val="808080"/>
                <w:sz w:val="22"/>
                <w:szCs w:val="22"/>
              </w:rPr>
            </w:pPr>
            <w:r w:rsidDel="00000000" w:rsidR="00000000" w:rsidRPr="00000000">
              <w:rPr>
                <w:rFonts w:ascii="Arial" w:cs="Arial" w:eastAsia="Arial" w:hAnsi="Arial"/>
                <w:b w:val="1"/>
                <w:bCs w:val="1"/>
                <w:sz w:val="22"/>
                <w:szCs w:val="22"/>
                <w:rtl w:val="0"/>
              </w:rPr>
              <w:t xml:space="preserve">Autorizó</w:t>
            </w:r>
            <w:r w:rsidDel="00000000" w:rsidR="00000000" w:rsidRPr="00000000">
              <w:rPr>
                <w:rtl w:val="0"/>
              </w:rPr>
            </w:r>
          </w:p>
        </w:tc>
      </w:tr>
      <w:tr>
        <w:trPr>
          <w:cantSplit w:val="0"/>
          <w:trHeight w:val="1545.849609375" w:hRule="atLeast"/>
          <w:tblHeader w:val="0"/>
        </w:trPr>
        <w:tc>
          <w:tcPr>
            <w:vAlign w:val="bottom"/>
          </w:tcPr>
          <w:p w:rsidR="00000000" w:rsidDel="00000000" w:rsidP="00000000" w:rsidRDefault="00000000" w:rsidRPr="00000000" w14:paraId="00000083">
            <w:pPr>
              <w:rPr>
                <w:rFonts w:ascii="Arial" w:cs="Arial" w:eastAsia="Arial" w:hAnsi="Arial"/>
                <w:sz w:val="22"/>
                <w:szCs w:val="22"/>
              </w:rPr>
            </w:pPr>
            <w:r w:rsidDel="00000000" w:rsidR="00000000" w:rsidRPr="00000000">
              <w:rPr>
                <w:rFonts w:ascii="Arial" w:cs="Arial" w:eastAsia="Arial" w:hAnsi="Arial"/>
                <w:sz w:val="22"/>
                <w:szCs w:val="22"/>
                <w:rtl w:val="0"/>
              </w:rPr>
              <w:t xml:space="preserve">Dra. Daniela Hernández </w:t>
            </w:r>
          </w:p>
          <w:p w:rsidR="00000000" w:rsidDel="00000000" w:rsidP="00000000" w:rsidRDefault="00000000" w:rsidRPr="00000000" w14:paraId="0000008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Alvarez</w:t>
            </w:r>
          </w:p>
        </w:tc>
        <w:tc>
          <w:tcPr>
            <w:vAlign w:val="bottom"/>
          </w:tcPr>
          <w:p w:rsidR="00000000" w:rsidDel="00000000" w:rsidP="00000000" w:rsidRDefault="00000000" w:rsidRPr="00000000" w14:paraId="0000008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Dra. Giselle Ivette De la Torre García</w:t>
            </w:r>
            <w:r w:rsidDel="00000000" w:rsidR="00000000" w:rsidRPr="00000000">
              <w:rPr>
                <w:rtl w:val="0"/>
              </w:rPr>
            </w:r>
          </w:p>
        </w:tc>
        <w:tc>
          <w:tcPr>
            <w:vAlign w:val="center"/>
          </w:tcPr>
          <w:p w:rsidR="00000000" w:rsidDel="00000000" w:rsidP="00000000" w:rsidRDefault="00000000" w:rsidRPr="00000000" w14:paraId="00000086">
            <w:pPr>
              <w:spacing w:after="120" w:before="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7">
            <w:pPr>
              <w:spacing w:after="120" w:before="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8">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Dr. Gonzalo Vázquez Camacho </w:t>
            </w:r>
          </w:p>
        </w:tc>
      </w:tr>
      <w:tr>
        <w:trPr>
          <w:cantSplit w:val="0"/>
          <w:trHeight w:val="298" w:hRule="atLeast"/>
          <w:tblHeader w:val="0"/>
        </w:trPr>
        <w:tc>
          <w:tcPr>
            <w:shd w:fill="e7e6e6" w:val="clear"/>
            <w:vAlign w:val="center"/>
          </w:tcPr>
          <w:p w:rsidR="00000000" w:rsidDel="00000000" w:rsidP="00000000" w:rsidRDefault="00000000" w:rsidRPr="00000000" w14:paraId="00000089">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Coordinadora de médicos de guardia. </w:t>
            </w:r>
          </w:p>
        </w:tc>
        <w:tc>
          <w:tcPr>
            <w:shd w:fill="e7e6e6" w:val="clear"/>
            <w:vAlign w:val="center"/>
          </w:tcPr>
          <w:p w:rsidR="00000000" w:rsidDel="00000000" w:rsidP="00000000" w:rsidRDefault="00000000" w:rsidRPr="00000000" w14:paraId="0000008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Jefa de Calidad</w:t>
            </w:r>
          </w:p>
        </w:tc>
        <w:tc>
          <w:tcPr>
            <w:shd w:fill="e7e6e6" w:val="clear"/>
            <w:vAlign w:val="center"/>
          </w:tcPr>
          <w:p w:rsidR="00000000" w:rsidDel="00000000" w:rsidP="00000000" w:rsidRDefault="00000000" w:rsidRPr="00000000" w14:paraId="0000008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Dirección Médica</w:t>
            </w:r>
          </w:p>
        </w:tc>
      </w:tr>
    </w:tbl>
    <w:p w:rsidR="00000000" w:rsidDel="00000000" w:rsidP="00000000" w:rsidRDefault="00000000" w:rsidRPr="00000000" w14:paraId="0000008C">
      <w:pPr>
        <w:rPr>
          <w:rFonts w:ascii="Arial" w:cs="Arial" w:eastAsia="Arial" w:hAnsi="Arial"/>
          <w:sz w:val="22"/>
          <w:szCs w:val="22"/>
        </w:rPr>
      </w:pPr>
      <w:r w:rsidDel="00000000" w:rsidR="00000000" w:rsidRPr="00000000">
        <w:rPr>
          <w:rtl w:val="0"/>
        </w:rPr>
      </w:r>
    </w:p>
    <w:sectPr>
      <w:headerReference r:id="rId6" w:type="default"/>
      <w:footerReference r:id="rId7" w:type="default"/>
      <w:footerReference r:id="rId8" w:type="even"/>
      <w:pgSz w:h="15840" w:w="12240" w:orient="portrait"/>
      <w:pgMar w:bottom="1417" w:top="2021"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419"/>
        <w:tab w:val="right" w:leader="none" w:pos="8838"/>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419"/>
        <w:tab w:val="right" w:leader="none" w:pos="8838"/>
      </w:tabs>
      <w:rPr>
        <w:color w:val="000000"/>
        <w:sz w:val="20"/>
        <w:szCs w:val="20"/>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419"/>
        <w:tab w:val="right" w:leader="none" w:pos="8838"/>
      </w:tabs>
      <w:rPr>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-6348</wp:posOffset>
              </wp:positionH>
              <wp:positionV relativeFrom="paragraph">
                <wp:posOffset>0</wp:posOffset>
              </wp:positionV>
              <wp:extent cx="12700" cy="12700"/>
              <wp:effectExtent b="0" l="0" r="0" t="0"/>
              <wp:wrapNone/>
              <wp:docPr id="2" name=""/>
              <a:graphic>
                <a:graphicData uri="http://schemas.microsoft.com/office/word/2010/wordprocessingShape">
                  <wps:wsp>
                    <wps:cNvCnPr/>
                    <wps:spPr>
                      <a:xfrm>
                        <a:off x="2572027" y="3780000"/>
                        <a:ext cx="5547946" cy="0"/>
                      </a:xfrm>
                      <a:prstGeom prst="straightConnector1">
                        <a:avLst/>
                      </a:prstGeom>
                      <a:noFill/>
                      <a:ln cap="flat" cmpd="sng" w="12700">
                        <a:solidFill>
                          <a:srgbClr val="55BA9E"/>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-6348</wp:posOffset>
              </wp:positionH>
              <wp:positionV relativeFrom="paragraph">
                <wp:posOffset>0</wp:posOffset>
              </wp:positionV>
              <wp:extent cx="12700" cy="1270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419"/>
        <w:tab w:val="right" w:leader="none" w:pos="8838"/>
        <w:tab w:val="left" w:leader="none" w:pos="360"/>
      </w:tabs>
      <w:rPr>
        <w:sz w:val="20"/>
        <w:szCs w:val="20"/>
      </w:rPr>
    </w:pPr>
    <w:r w:rsidDel="00000000" w:rsidR="00000000" w:rsidRPr="00000000">
      <w:rPr>
        <w:rtl w:val="0"/>
      </w:rPr>
    </w:r>
  </w:p>
  <w:tbl>
    <w:tblPr>
      <w:tblStyle w:val="Table6"/>
      <w:tblW w:w="8838.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419"/>
      <w:gridCol w:w="4419"/>
      <w:tblGridChange w:id="0">
        <w:tblGrid>
          <w:gridCol w:w="4419"/>
          <w:gridCol w:w="4419"/>
        </w:tblGrid>
      </w:tblGridChange>
    </w:tblGrid>
    <w:tr>
      <w:trPr>
        <w:cantSplit w:val="0"/>
        <w:tblHeader w:val="1"/>
      </w:trPr>
      <w:tc>
        <w:tcPr>
          <w:tcMar>
            <w:top w:w="-126.0" w:type="dxa"/>
            <w:left w:w="-126.0" w:type="dxa"/>
            <w:bottom w:w="-126.0" w:type="dxa"/>
            <w:right w:w="-126.0" w:type="dxa"/>
          </w:tcMar>
        </w:tcPr>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Código : IT-MG-06</w:t>
          </w:r>
        </w:p>
      </w:tc>
      <w:tc>
        <w:tcPr>
          <w:tcMar>
            <w:top w:w="-126.0" w:type="dxa"/>
            <w:left w:w="-126.0" w:type="dxa"/>
            <w:bottom w:w="-126.0" w:type="dxa"/>
            <w:right w:w="-126.0" w:type="dxa"/>
          </w:tcMar>
        </w:tcPr>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Fecha de emisión: 5 de Mayo 2026</w:t>
          </w:r>
        </w:p>
      </w:tc>
    </w:tr>
    <w:tr>
      <w:trPr>
        <w:cantSplit w:val="0"/>
        <w:tblHeader w:val="1"/>
      </w:trPr>
      <w:tc>
        <w:tcPr>
          <w:tcMar>
            <w:top w:w="-126.0" w:type="dxa"/>
            <w:left w:w="-126.0" w:type="dxa"/>
            <w:bottom w:w="-126.0" w:type="dxa"/>
            <w:right w:w="-126.0" w:type="dxa"/>
          </w:tcMar>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Versión vigente: 2</w:t>
          </w:r>
        </w:p>
      </w:tc>
      <w:tc>
        <w:tcPr>
          <w:tcMar>
            <w:top w:w="-126.0" w:type="dxa"/>
            <w:left w:w="-126.0" w:type="dxa"/>
            <w:bottom w:w="-126.0" w:type="dxa"/>
            <w:right w:w="-126.0" w:type="dxa"/>
          </w:tcMar>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Fecha de revisión: 5 de Mayo 2028</w:t>
          </w:r>
        </w:p>
      </w:tc>
    </w:tr>
  </w:tbl>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419"/>
        <w:tab w:val="right" w:leader="none" w:pos="8838"/>
        <w:tab w:val="left" w:leader="none" w:pos="360"/>
      </w:tabs>
      <w:rPr>
        <w:color w:val="000000"/>
        <w:sz w:val="20"/>
        <w:szCs w:val="20"/>
      </w:rPr>
    </w:pPr>
    <w:r w:rsidDel="00000000" w:rsidR="00000000" w:rsidRPr="00000000">
      <w:rPr>
        <w:color w:val="000000"/>
        <w:sz w:val="20"/>
        <w:szCs w:val="20"/>
        <w:rtl w:val="0"/>
      </w:rPr>
      <w:t xml:space="preserve">            </w:t>
      <w:tab/>
      <w:tab/>
      <w:t xml:space="preserve">Página </w:t>
    </w: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color w:val="000000"/>
        <w:sz w:val="20"/>
        <w:szCs w:val="20"/>
        <w:rtl w:val="0"/>
      </w:rPr>
      <w:t xml:space="preserve"> de </w:t>
    </w:r>
    <w:r w:rsidDel="00000000" w:rsidR="00000000" w:rsidRPr="00000000">
      <w:rPr>
        <w:color w:val="000000"/>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419"/>
        <w:tab w:val="right" w:leader="none" w:pos="8838"/>
      </w:tabs>
      <w:rPr>
        <w:color w:val="4472c4"/>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-51285</wp:posOffset>
          </wp:positionH>
          <wp:positionV relativeFrom="paragraph">
            <wp:posOffset>-343532</wp:posOffset>
          </wp:positionV>
          <wp:extent cx="1186180" cy="1071920"/>
          <wp:effectExtent b="0" l="0" r="0" t="0"/>
          <wp:wrapNone/>
          <wp:docPr id="4" name="image1.jpg"/>
          <a:graphic>
            <a:graphicData uri="http://schemas.openxmlformats.org/drawingml/2006/picture">
              <pic:pic>
                <pic:nvPicPr>
                  <pic:cNvPr id="0" name="image1.jpg"/>
                  <pic:cNvPicPr preferRelativeResize="0"/>
                </pic:nvPicPr>
                <pic:blipFill>
                  <a:blip r:embed="rId1"/>
                  <a:srcRect b="15368" l="20685" r="14390" t="8718"/>
                  <a:stretch>
                    <a:fillRect/>
                  </a:stretch>
                </pic:blipFill>
                <pic:spPr>
                  <a:xfrm>
                    <a:off x="0" y="0"/>
                    <a:ext cx="1186180" cy="1071920"/>
                  </a:xfrm>
                  <a:prstGeom prst="rect"/>
                  <a:ln/>
                </pic:spPr>
              </pic:pic>
            </a:graphicData>
          </a:graphic>
        </wp:anchor>
      </w:drawing>
    </w:r>
  </w:p>
  <w:p w:rsidR="00000000" w:rsidDel="00000000" w:rsidP="00000000" w:rsidRDefault="00000000" w:rsidRPr="00000000" w14:paraId="0000008E">
    <w:pPr>
      <w:ind w:right="49"/>
      <w:jc w:val="center"/>
      <w:rPr>
        <w:rFonts w:ascii="Arial" w:cs="Arial" w:eastAsia="Arial" w:hAnsi="Arial"/>
        <w:b w:val="1"/>
        <w:bCs w:val="1"/>
        <w:sz w:val="22"/>
        <w:szCs w:val="22"/>
      </w:rPr>
    </w:pPr>
    <w:r w:rsidDel="00000000" w:rsidR="00000000" w:rsidRPr="00000000">
      <w:rPr>
        <w:smallCaps w:val="1"/>
        <w:color w:val="4472c4"/>
        <w:rtl w:val="0"/>
      </w:rPr>
      <w:tab/>
      <w:tab/>
    </w:r>
    <w:r w:rsidDel="00000000" w:rsidR="00000000" w:rsidRPr="00000000">
      <w:rPr>
        <w:rFonts w:ascii="Arial" w:cs="Arial" w:eastAsia="Arial" w:hAnsi="Arial"/>
        <w:b w:val="1"/>
        <w:bCs w:val="1"/>
        <w:sz w:val="22"/>
        <w:szCs w:val="22"/>
        <w:rtl w:val="0"/>
      </w:rPr>
      <w:t xml:space="preserve">INSTRUCCIÓN DE TRABAJO PARA EL INGRESO DEL PACIENTE</w:t>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419"/>
        <w:tab w:val="right" w:leader="none" w:pos="8838"/>
        <w:tab w:val="left" w:leader="none" w:pos="498"/>
      </w:tabs>
      <w:rPr/>
    </w:pPr>
    <w:r w:rsidDel="00000000" w:rsidR="00000000" w:rsidRPr="00000000">
      <w:rPr>
        <w:smallCaps w:val="1"/>
        <w:color w:val="4472c4"/>
        <w:rtl w:val="0"/>
      </w:rPr>
      <w:tab/>
      <w:t xml:space="preserve"> </w:t>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419"/>
        <w:tab w:val="right" w:leader="none" w:pos="8838"/>
        <w:tab w:val="left" w:leader="none" w:pos="498"/>
      </w:tabs>
      <w:rPr>
        <w:smallCaps w:val="1"/>
        <w:color w:val="4472c4"/>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419"/>
        <w:tab w:val="right" w:leader="none" w:pos="8838"/>
        <w:tab w:val="left" w:leader="none" w:pos="498"/>
      </w:tabs>
      <w:rPr>
        <w:smallCaps w:val="1"/>
        <w:color w:val="4472c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108587</wp:posOffset>
              </wp:positionH>
              <wp:positionV relativeFrom="paragraph">
                <wp:posOffset>103274</wp:posOffset>
              </wp:positionV>
              <wp:extent cx="5577840" cy="12700"/>
              <wp:effectExtent b="0" l="0" r="0" t="0"/>
              <wp:wrapNone/>
              <wp:docPr id="3" name=""/>
              <a:graphic>
                <a:graphicData uri="http://schemas.microsoft.com/office/word/2010/wordprocessingShape">
                  <wps:wsp>
                    <wps:cNvCnPr/>
                    <wps:spPr>
                      <a:xfrm>
                        <a:off x="2557080" y="3780000"/>
                        <a:ext cx="5577840" cy="0"/>
                      </a:xfrm>
                      <a:prstGeom prst="straightConnector1">
                        <a:avLst/>
                      </a:prstGeom>
                      <a:noFill/>
                      <a:ln cap="flat" cmpd="sng" w="9525">
                        <a:solidFill>
                          <a:srgbClr val="0AB793"/>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108587</wp:posOffset>
              </wp:positionH>
              <wp:positionV relativeFrom="paragraph">
                <wp:posOffset>103274</wp:posOffset>
              </wp:positionV>
              <wp:extent cx="5577840" cy="12700"/>
              <wp:effectExtent b="0" l="0" r="0" t="0"/>
              <wp:wrapNone/>
              <wp:docPr id="3"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5577840" cy="12700"/>
                      </a:xfrm>
                      <a:prstGeom prst="rect"/>
                      <a:ln/>
                    </pic:spPr>
                  </pic:pic>
                </a:graphicData>
              </a:graphic>
            </wp:anchor>
          </w:drawing>
        </mc:Fallback>
      </mc:AlternateContent>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57152</wp:posOffset>
              </wp:positionH>
              <wp:positionV relativeFrom="paragraph">
                <wp:posOffset>88900</wp:posOffset>
              </wp:positionV>
              <wp:extent cx="12700" cy="12700"/>
              <wp:effectExtent b="0" l="0" r="0" t="0"/>
              <wp:wrapNone/>
              <wp:docPr id="1" name=""/>
              <a:graphic>
                <a:graphicData uri="http://schemas.microsoft.com/office/word/2010/wordprocessingShape">
                  <wps:wsp>
                    <wps:cNvCnPr/>
                    <wps:spPr>
                      <a:xfrm>
                        <a:off x="2572027" y="3780000"/>
                        <a:ext cx="5547946" cy="0"/>
                      </a:xfrm>
                      <a:prstGeom prst="straightConnector1">
                        <a:avLst/>
                      </a:prstGeom>
                      <a:noFill/>
                      <a:ln cap="flat" cmpd="sng" w="12700">
                        <a:solidFill>
                          <a:srgbClr val="55BA9E"/>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57152</wp:posOffset>
              </wp:positionH>
              <wp:positionV relativeFrom="paragraph">
                <wp:posOffset>88900</wp:posOffset>
              </wp:positionV>
              <wp:extent cx="12700" cy="12700"/>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1.%2"/>
      <w:lvlJc w:val="left"/>
      <w:pPr>
        <w:ind w:left="1080" w:hanging="360"/>
      </w:pPr>
      <w:rPr>
        <w:b w:val="0"/>
        <w:bCs w:val="0"/>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