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ALCANCE.</w:t>
      </w:r>
    </w:p>
    <w:p w:rsidR="00000000" w:rsidDel="00000000" w:rsidP="00000000" w:rsidRDefault="00000000" w:rsidRPr="00000000" w14:paraId="00000003">
      <w:pPr>
        <w:pBdr>
          <w:top w:space="0" w:sz="0" w:val="nil"/>
          <w:left w:space="0" w:sz="0" w:val="nil"/>
          <w:bottom w:space="0" w:sz="0" w:val="nil"/>
          <w:right w:space="0" w:sz="0" w:val="nil"/>
          <w:between w:space="0" w:sz="0" w:val="nil"/>
        </w:pBdr>
        <w:ind w:left="72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4">
      <w:pPr>
        <w:ind w:left="360" w:firstLine="0"/>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Estandarizar el pase de visita por parte del equipo médico de guardia con el objetivo de evitar omisiones y/o errores, asegurando así la buena práctica de las políticas internas de la institución. </w:t>
      </w:r>
      <w:r w:rsidDel="00000000" w:rsidR="00000000" w:rsidRPr="00000000">
        <w:rPr>
          <w:rtl w:val="0"/>
        </w:rPr>
      </w:r>
    </w:p>
    <w:p w:rsidR="00000000" w:rsidDel="00000000" w:rsidP="00000000" w:rsidRDefault="00000000" w:rsidRPr="00000000" w14:paraId="00000005">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MATERIAL Y EQUIPO</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tl w:val="0"/>
        </w:rPr>
        <w:t xml:space="preserve">El personal médico de guardia que se trabaja en la institución ocupa bata clínica, credencial de identificación, medidas precautorias en caso de ser necesario, (cubrebocas, n95, gorro, guantes, bata de manga larga) así como equipo médico para la valoración del paciente como son: estetoscopio, baumanómetro, oximetro de pulso, estuche de diagnóstico, electrocardiograma, lámpara de exploración entre otros. </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36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9">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DESARROLLO </w:t>
      </w:r>
      <w:r w:rsidDel="00000000" w:rsidR="00000000" w:rsidRPr="00000000">
        <w:rPr>
          <w:rtl w:val="0"/>
        </w:rPr>
      </w:r>
    </w:p>
    <w:p w:rsidR="00000000" w:rsidDel="00000000" w:rsidP="00000000" w:rsidRDefault="00000000" w:rsidRPr="00000000" w14:paraId="0000000B">
      <w:pPr>
        <w:ind w:left="360" w:firstLine="0"/>
        <w:rPr>
          <w:rFonts w:ascii="Arial" w:cs="Arial" w:eastAsia="Arial" w:hAnsi="Arial"/>
          <w:sz w:val="22"/>
          <w:szCs w:val="22"/>
        </w:rPr>
      </w:pPr>
      <w:r w:rsidDel="00000000" w:rsidR="00000000" w:rsidRPr="00000000">
        <w:rPr>
          <w:rtl w:val="0"/>
        </w:rPr>
      </w:r>
    </w:p>
    <w:tbl>
      <w:tblPr>
        <w:tblStyle w:val="Table1"/>
        <w:tblW w:w="8895.0" w:type="dxa"/>
        <w:jc w:val="center"/>
        <w:tblLayout w:type="fixed"/>
        <w:tblLook w:val="0400"/>
      </w:tblPr>
      <w:tblGrid>
        <w:gridCol w:w="705"/>
        <w:gridCol w:w="2685"/>
        <w:gridCol w:w="5505"/>
        <w:tblGridChange w:id="0">
          <w:tblGrid>
            <w:gridCol w:w="705"/>
            <w:gridCol w:w="2685"/>
            <w:gridCol w:w="5505"/>
          </w:tblGrid>
        </w:tblGridChange>
      </w:tblGrid>
      <w:tr>
        <w:trPr>
          <w:cantSplit w:val="0"/>
          <w:tblHeader w:val="0"/>
        </w:trPr>
        <w:tc>
          <w:tcPr>
            <w:tcBorders>
              <w:left w:color="000000" w:space="0" w:sz="0" w:val="nil"/>
              <w:right w:color="666666" w:space="0" w:sz="8" w:val="single"/>
            </w:tcBorders>
            <w:shd w:fill="55ba9e" w:val="clear"/>
            <w:vAlign w:val="center"/>
          </w:tcPr>
          <w:p w:rsidR="00000000" w:rsidDel="00000000" w:rsidP="00000000" w:rsidRDefault="00000000" w:rsidRPr="00000000" w14:paraId="0000000C">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w:t>
            </w:r>
          </w:p>
        </w:tc>
        <w:tc>
          <w:tcPr>
            <w:tcBorders>
              <w:right w:color="666666" w:space="0" w:sz="8" w:val="single"/>
            </w:tcBorders>
            <w:shd w:fill="55ba9e" w:val="clear"/>
            <w:vAlign w:val="center"/>
          </w:tcPr>
          <w:p w:rsidR="00000000" w:rsidDel="00000000" w:rsidP="00000000" w:rsidRDefault="00000000" w:rsidRPr="00000000" w14:paraId="0000000D">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RESPONSABLE</w:t>
            </w:r>
          </w:p>
        </w:tc>
        <w:tc>
          <w:tcPr>
            <w:tcBorders>
              <w:left w:color="666666" w:space="0" w:sz="8" w:val="single"/>
              <w:right w:color="000000" w:space="0" w:sz="0" w:val="nil"/>
            </w:tcBorders>
            <w:shd w:fill="55ba9e" w:val="clear"/>
            <w:vAlign w:val="center"/>
          </w:tcPr>
          <w:p w:rsidR="00000000" w:rsidDel="00000000" w:rsidP="00000000" w:rsidRDefault="00000000" w:rsidRPr="00000000" w14:paraId="0000000E">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ACTIVIDAD</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0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0">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r w:rsidDel="00000000" w:rsidR="00000000" w:rsidRPr="00000000">
              <w:rPr>
                <w:rtl w:val="0"/>
              </w:rPr>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11">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Posterior a registrar hora de entrada, debe de acudir al área de trabajo que ha sido asignado previamente, donde se encontrará con el médico en turno, para realizar el enlace inter-turno.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3">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 vez terminado el enlace de turno, realizará un triage con base en la información obtenida en la entrega de guardia identificando a los pacientes que se encuentran más graves.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5.3</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17">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médico en turno inicia el pase de visita, con los pacientes que se encuentran más graves determinando así si ocupan estabilización inmediata.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5.4</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9">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1A">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médico ingresa a la habitación con un saludo cordial, además de presentarse con su nombre y primer apellido.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5.5</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1D">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 vez que se encuentre dentro de la habitación, procede a realizar interrogatorio dirigido, además de identificación de datos clínicos que ayuden en el abordaje diagnóstico, mediante la exploración física.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5.6</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0">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 se detectan datos clínicos de gravedad debe de activar el código verde o azul según dependa el caso (Ver Procedimiento de activación de código verde o azul)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1">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5.7</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3">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solicita firma de consentimiento en caso de ser necesario.</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5.8</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6">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 vez que termine la exploración física y de por terminado el interrogatorio, se despide de manera cordial, reafirmando la relación médico-paciente.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5.9</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9">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Acude a la oficina de médicos de guardia donde procede a colocar las eventualidades, cambio de indicaciones y estudios de gabinete nuevos en Censo de entrega de guardia por piso y da por concluido la instrucción de trabajo para el pase de visita. </w:t>
            </w:r>
          </w:p>
        </w:tc>
      </w:tr>
    </w:tbl>
    <w:p w:rsidR="00000000" w:rsidDel="00000000" w:rsidP="00000000" w:rsidRDefault="00000000" w:rsidRPr="00000000" w14:paraId="0000002A">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GESTIÓN DE RIESGOS.</w:t>
      </w:r>
      <w:r w:rsidDel="00000000" w:rsidR="00000000" w:rsidRPr="00000000">
        <w:rPr>
          <w:rtl w:val="0"/>
        </w:rPr>
      </w:r>
    </w:p>
    <w:p w:rsidR="00000000" w:rsidDel="00000000" w:rsidP="00000000" w:rsidRDefault="00000000" w:rsidRPr="00000000" w14:paraId="0000002D">
      <w:pPr>
        <w:ind w:left="360" w:firstLine="0"/>
        <w:rPr>
          <w:rFonts w:ascii="Arial" w:cs="Arial" w:eastAsia="Arial" w:hAnsi="Arial"/>
          <w:sz w:val="22"/>
          <w:szCs w:val="22"/>
        </w:rPr>
      </w:pPr>
      <w:r w:rsidDel="00000000" w:rsidR="00000000" w:rsidRPr="00000000">
        <w:rPr>
          <w:rtl w:val="0"/>
        </w:rPr>
      </w:r>
    </w:p>
    <w:tbl>
      <w:tblPr>
        <w:tblStyle w:val="Table2"/>
        <w:tblW w:w="883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90"/>
        <w:gridCol w:w="4243"/>
        <w:tblGridChange w:id="0">
          <w:tblGrid>
            <w:gridCol w:w="4590"/>
            <w:gridCol w:w="4243"/>
          </w:tblGrid>
        </w:tblGridChange>
      </w:tblGrid>
      <w:tr>
        <w:trPr>
          <w:cantSplit w:val="0"/>
          <w:tblHeader w:val="0"/>
        </w:trPr>
        <w:tc>
          <w:tcPr>
            <w:shd w:fill="55ba9e" w:val="clear"/>
          </w:tcPr>
          <w:p w:rsidR="00000000" w:rsidDel="00000000" w:rsidP="00000000" w:rsidRDefault="00000000" w:rsidRPr="00000000" w14:paraId="0000002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Riesgo</w:t>
            </w:r>
          </w:p>
        </w:tc>
        <w:tc>
          <w:tcPr>
            <w:shd w:fill="55ba9e" w:val="clear"/>
          </w:tcPr>
          <w:p w:rsidR="00000000" w:rsidDel="00000000" w:rsidP="00000000" w:rsidRDefault="00000000" w:rsidRPr="00000000" w14:paraId="0000002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Barrera de Seguridad</w:t>
            </w:r>
          </w:p>
        </w:tc>
      </w:tr>
      <w:tr>
        <w:trPr>
          <w:cantSplit w:val="0"/>
          <w:tblHeader w:val="0"/>
        </w:trPr>
        <w:tc>
          <w:tcPr/>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Radiaciones no ionizantes e ionizantes (rayos x) en el caso de traslado de pacientes para TAC o toma de radiografías portátiles. </w:t>
            </w:r>
            <w:r w:rsidDel="00000000" w:rsidR="00000000" w:rsidRPr="00000000">
              <w:rPr>
                <w:rtl w:val="0"/>
              </w:rPr>
            </w:r>
          </w:p>
        </w:tc>
        <w:tc>
          <w:tcPr/>
          <w:p w:rsidR="00000000" w:rsidDel="00000000" w:rsidP="00000000" w:rsidRDefault="00000000" w:rsidRPr="00000000" w14:paraId="0000003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Métodos de barrera y procedimiento de toma de estudios en el área de imagen. </w:t>
            </w:r>
          </w:p>
        </w:tc>
      </w:tr>
      <w:tr>
        <w:trPr>
          <w:cantSplit w:val="0"/>
          <w:tblHeader w:val="0"/>
        </w:trPr>
        <w:tc>
          <w:tcPr/>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Choques contra objetos tras movilización paciente </w:t>
            </w:r>
            <w:r w:rsidDel="00000000" w:rsidR="00000000" w:rsidRPr="00000000">
              <w:rPr>
                <w:rtl w:val="0"/>
              </w:rPr>
            </w:r>
          </w:p>
        </w:tc>
        <w:tc>
          <w:tcPr/>
          <w:p w:rsidR="00000000" w:rsidDel="00000000" w:rsidP="00000000" w:rsidRDefault="00000000" w:rsidRPr="00000000" w14:paraId="0000003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 Mecánica corporal y movimiento de pacientes. </w:t>
            </w:r>
          </w:p>
        </w:tc>
      </w:tr>
      <w:tr>
        <w:trPr>
          <w:cantSplit w:val="0"/>
          <w:tblHeader w:val="0"/>
        </w:trPr>
        <w:tc>
          <w:tcPr/>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Caída de objetos tras manipulación y/o movilización del paciente </w:t>
            </w:r>
            <w:r w:rsidDel="00000000" w:rsidR="00000000" w:rsidRPr="00000000">
              <w:rPr>
                <w:rtl w:val="0"/>
              </w:rPr>
            </w:r>
          </w:p>
        </w:tc>
        <w:tc>
          <w:tcPr/>
          <w:p w:rsidR="00000000" w:rsidDel="00000000" w:rsidP="00000000" w:rsidRDefault="00000000" w:rsidRPr="00000000" w14:paraId="0000003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 Apoyo del servicio de camilleria. </w:t>
            </w:r>
          </w:p>
        </w:tc>
      </w:tr>
      <w:tr>
        <w:trPr>
          <w:cantSplit w:val="0"/>
          <w:tblHeader w:val="0"/>
        </w:trPr>
        <w:tc>
          <w:tcPr/>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Golpes por objetos o herramientas, en la atención de los pacientes. </w:t>
            </w:r>
          </w:p>
        </w:tc>
        <w:tc>
          <w:tcPr/>
          <w:p w:rsidR="00000000" w:rsidDel="00000000" w:rsidP="00000000" w:rsidRDefault="00000000" w:rsidRPr="00000000" w14:paraId="0000003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 Procedimiento y uso correcto de materiales punzocortantes. </w:t>
            </w:r>
          </w:p>
        </w:tc>
      </w:tr>
      <w:tr>
        <w:trPr>
          <w:cantSplit w:val="0"/>
          <w:tblHeader w:val="0"/>
        </w:trPr>
        <w:tc>
          <w:tcPr/>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Cortes o pinchazos por utensilios de canalización de pacientes. </w:t>
            </w:r>
          </w:p>
        </w:tc>
        <w:tc>
          <w:tcPr/>
          <w:p w:rsidR="00000000" w:rsidDel="00000000" w:rsidP="00000000" w:rsidRDefault="00000000" w:rsidRPr="00000000" w14:paraId="0000003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 Manejo y normativa de RPBI </w:t>
            </w:r>
          </w:p>
        </w:tc>
      </w:tr>
      <w:tr>
        <w:trPr>
          <w:cantSplit w:val="0"/>
          <w:tblHeader w:val="0"/>
        </w:trPr>
        <w:tc>
          <w:tcPr/>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Exposición a citostáticos. </w:t>
            </w:r>
          </w:p>
        </w:tc>
        <w:tc>
          <w:tcPr/>
          <w:p w:rsidR="00000000" w:rsidDel="00000000" w:rsidP="00000000" w:rsidRDefault="00000000" w:rsidRPr="00000000" w14:paraId="0000003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 Se brinda materiales de protección para cada uno de los procedimientos que el médico realice en las áreas. </w:t>
            </w:r>
          </w:p>
        </w:tc>
      </w:tr>
      <w:tr>
        <w:trPr>
          <w:cantSplit w:val="0"/>
          <w:tblHeader w:val="0"/>
        </w:trPr>
        <w:tc>
          <w:tcPr/>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Dermatitis por contacto </w:t>
            </w:r>
          </w:p>
        </w:tc>
        <w:tc>
          <w:tcPr/>
          <w:p w:rsidR="00000000" w:rsidDel="00000000" w:rsidP="00000000" w:rsidRDefault="00000000" w:rsidRPr="00000000" w14:paraId="0000003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 Se brinda capacitación y orientación específica al puesto para poder realizar los procedimientos dentro de un ámbito hospitalario. </w:t>
            </w:r>
          </w:p>
        </w:tc>
      </w:tr>
      <w:tr>
        <w:trPr>
          <w:cantSplit w:val="0"/>
          <w:tblHeader w:val="0"/>
        </w:trPr>
        <w:tc>
          <w:tcPr/>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Infecciones de transmisión parenteral por pinchazo inadvertido (hepatitis B, C, VIH). </w:t>
            </w:r>
          </w:p>
        </w:tc>
        <w:tc>
          <w:tcPr/>
          <w:p w:rsidR="00000000" w:rsidDel="00000000" w:rsidP="00000000" w:rsidRDefault="00000000" w:rsidRPr="00000000" w14:paraId="0000003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 Materiales y equipo de protección necesario para el manejo de residuos biológicos, así como para la atención del paciente con potencial de infección. </w:t>
            </w:r>
          </w:p>
        </w:tc>
      </w:tr>
      <w:tr>
        <w:trPr>
          <w:cantSplit w:val="0"/>
          <w:tblHeader w:val="0"/>
        </w:trPr>
        <w:tc>
          <w:tcPr/>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Infecciones de transmisión o exposición por gota (Tuberculosis, Influenza). </w:t>
            </w:r>
          </w:p>
        </w:tc>
        <w:tc>
          <w:tcPr/>
          <w:p w:rsidR="00000000" w:rsidDel="00000000" w:rsidP="00000000" w:rsidRDefault="00000000" w:rsidRPr="00000000" w14:paraId="0000004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 Materiales y equipo de protección necesario para la atención del paciente con potencial de infección. </w:t>
            </w:r>
          </w:p>
        </w:tc>
      </w:tr>
      <w:tr>
        <w:trPr>
          <w:cantSplit w:val="0"/>
          <w:tblHeader w:val="0"/>
        </w:trPr>
        <w:tc>
          <w:tcPr/>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Relaciones personales y responsabilidades </w:t>
            </w:r>
          </w:p>
        </w:tc>
        <w:tc>
          <w:tcPr/>
          <w:p w:rsidR="00000000" w:rsidDel="00000000" w:rsidP="00000000" w:rsidRDefault="00000000" w:rsidRPr="00000000" w14:paraId="0000004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 Se genera un adecuado ambiente de trabajo. </w:t>
            </w:r>
          </w:p>
        </w:tc>
      </w:tr>
      <w:tr>
        <w:trPr>
          <w:cantSplit w:val="0"/>
          <w:tblHeader w:val="0"/>
        </w:trPr>
        <w:tc>
          <w:tcPr/>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Monotonía/Repetitividad en las actividades laborales </w:t>
            </w:r>
          </w:p>
        </w:tc>
        <w:tc>
          <w:tcPr/>
          <w:p w:rsidR="00000000" w:rsidDel="00000000" w:rsidP="00000000" w:rsidRDefault="00000000" w:rsidRPr="00000000" w14:paraId="0000004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 Se realiza distribución equitativa del trabajo donde se cambia de área con periodicidad para evitar la ceguera de taller. </w:t>
            </w:r>
          </w:p>
        </w:tc>
      </w:tr>
      <w:tr>
        <w:trPr>
          <w:cantSplit w:val="0"/>
          <w:tblHeader w:val="0"/>
        </w:trPr>
        <w:tc>
          <w:tcPr/>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Consecuencias nocivas que se traducen en: insatisfacción, estrés laboral, síndrome del burnout, acoso psicológico laboral. </w:t>
            </w:r>
          </w:p>
        </w:tc>
        <w:tc>
          <w:tcPr/>
          <w:p w:rsidR="00000000" w:rsidDel="00000000" w:rsidP="00000000" w:rsidRDefault="00000000" w:rsidRPr="00000000" w14:paraId="0000004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 Se realiza la correcta distribución de horarios para evitar la fatiga de un solo médico con disposición de guardias distribuidas de manera equitativa para mantener la organización dentro del departamento. </w:t>
            </w:r>
          </w:p>
        </w:tc>
      </w:tr>
    </w:tbl>
    <w:p w:rsidR="00000000" w:rsidDel="00000000" w:rsidP="00000000" w:rsidRDefault="00000000" w:rsidRPr="00000000" w14:paraId="00000048">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144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ANEXOS.</w:t>
      </w:r>
    </w:p>
    <w:p w:rsidR="00000000" w:rsidDel="00000000" w:rsidP="00000000" w:rsidRDefault="00000000" w:rsidRPr="00000000" w14:paraId="0000004B">
      <w:pPr>
        <w:pBdr>
          <w:top w:space="0" w:sz="0" w:val="nil"/>
          <w:left w:space="0" w:sz="0" w:val="nil"/>
          <w:bottom w:space="0" w:sz="0" w:val="nil"/>
          <w:right w:space="0" w:sz="0" w:val="nil"/>
          <w:between w:space="0" w:sz="0" w:val="nil"/>
        </w:pBdr>
        <w:ind w:left="108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4C">
      <w:pPr>
        <w:numPr>
          <w:ilvl w:val="1"/>
          <w:numId w:val="1"/>
        </w:numPr>
        <w:pBdr>
          <w:top w:space="0" w:sz="0" w:val="nil"/>
          <w:left w:space="0" w:sz="0" w:val="nil"/>
          <w:bottom w:space="0" w:sz="0" w:val="nil"/>
          <w:right w:space="0" w:sz="0" w:val="nil"/>
          <w:between w:space="0" w:sz="0" w:val="nil"/>
        </w:pBdr>
        <w:ind w:left="108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Documentos de referencia.</w:t>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720" w:firstLine="0"/>
        <w:rPr>
          <w:rFonts w:ascii="Arial" w:cs="Arial" w:eastAsia="Arial" w:hAnsi="Arial"/>
          <w:color w:val="000000"/>
          <w:sz w:val="22"/>
          <w:szCs w:val="22"/>
        </w:rPr>
      </w:pPr>
      <w:r w:rsidDel="00000000" w:rsidR="00000000" w:rsidRPr="00000000">
        <w:rPr>
          <w:rtl w:val="0"/>
        </w:rPr>
      </w:r>
    </w:p>
    <w:tbl>
      <w:tblPr>
        <w:tblStyle w:val="Table3"/>
        <w:tblW w:w="878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3"/>
        <w:gridCol w:w="2126"/>
        <w:tblGridChange w:id="0">
          <w:tblGrid>
            <w:gridCol w:w="6663"/>
            <w:gridCol w:w="2126"/>
          </w:tblGrid>
        </w:tblGridChange>
      </w:tblGrid>
      <w:tr>
        <w:trPr>
          <w:cantSplit w:val="0"/>
          <w:trHeight w:val="443" w:hRule="atLeast"/>
          <w:tblHeader w:val="0"/>
        </w:trPr>
        <w:tc>
          <w:tcPr>
            <w:shd w:fill="55ba9e" w:val="clear"/>
            <w:vAlign w:val="center"/>
          </w:tcPr>
          <w:p w:rsidR="00000000" w:rsidDel="00000000" w:rsidP="00000000" w:rsidRDefault="00000000" w:rsidRPr="00000000" w14:paraId="0000004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 del documento</w:t>
            </w:r>
          </w:p>
        </w:tc>
        <w:tc>
          <w:tcPr>
            <w:shd w:fill="55ba9e" w:val="clear"/>
            <w:vAlign w:val="center"/>
          </w:tcPr>
          <w:p w:rsidR="00000000" w:rsidDel="00000000" w:rsidP="00000000" w:rsidRDefault="00000000" w:rsidRPr="00000000" w14:paraId="0000004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w:t>
            </w:r>
          </w:p>
        </w:tc>
      </w:tr>
      <w:tr>
        <w:trPr>
          <w:cantSplit w:val="0"/>
          <w:trHeight w:val="522" w:hRule="atLeast"/>
          <w:tblHeader w:val="0"/>
        </w:trPr>
        <w:tc>
          <w:tcPr/>
          <w:p w:rsidR="00000000" w:rsidDel="00000000" w:rsidP="00000000" w:rsidRDefault="00000000" w:rsidRPr="00000000" w14:paraId="00000050">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Aplica</w:t>
            </w:r>
          </w:p>
        </w:tc>
        <w:tc>
          <w:tcPr/>
          <w:p w:rsidR="00000000" w:rsidDel="00000000" w:rsidP="00000000" w:rsidRDefault="00000000" w:rsidRPr="00000000" w14:paraId="00000051">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aplica</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ind w:left="72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CONTROL DE CAMBIOS.</w:t>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720" w:firstLine="0"/>
        <w:rPr>
          <w:rFonts w:ascii="Arial" w:cs="Arial" w:eastAsia="Arial" w:hAnsi="Arial"/>
          <w:b w:val="1"/>
          <w:bCs w:val="1"/>
          <w:color w:val="a6a6a6"/>
          <w:sz w:val="22"/>
          <w:szCs w:val="22"/>
        </w:rPr>
      </w:pPr>
      <w:r w:rsidDel="00000000" w:rsidR="00000000" w:rsidRPr="00000000">
        <w:rPr>
          <w:rtl w:val="0"/>
        </w:rPr>
      </w:r>
    </w:p>
    <w:p w:rsidR="00000000" w:rsidDel="00000000" w:rsidP="00000000" w:rsidRDefault="00000000" w:rsidRPr="00000000" w14:paraId="00000067">
      <w:pPr>
        <w:rPr>
          <w:rFonts w:ascii="Arial" w:cs="Arial" w:eastAsia="Arial" w:hAnsi="Arial"/>
          <w:sz w:val="22"/>
          <w:szCs w:val="22"/>
        </w:rPr>
      </w:pPr>
      <w:r w:rsidDel="00000000" w:rsidR="00000000" w:rsidRPr="00000000">
        <w:rPr>
          <w:rtl w:val="0"/>
        </w:rPr>
      </w:r>
    </w:p>
    <w:tbl>
      <w:tblPr>
        <w:tblStyle w:val="Table4"/>
        <w:tblW w:w="88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1440"/>
        <w:gridCol w:w="2955"/>
        <w:gridCol w:w="1845"/>
        <w:gridCol w:w="1560"/>
        <w:tblGridChange w:id="0">
          <w:tblGrid>
            <w:gridCol w:w="1095"/>
            <w:gridCol w:w="1440"/>
            <w:gridCol w:w="2955"/>
            <w:gridCol w:w="1845"/>
            <w:gridCol w:w="1560"/>
          </w:tblGrid>
        </w:tblGridChange>
      </w:tblGrid>
      <w:tr>
        <w:trPr>
          <w:cantSplit w:val="0"/>
          <w:trHeight w:val="222" w:hRule="atLeast"/>
          <w:tblHeader w:val="0"/>
        </w:trPr>
        <w:tc>
          <w:tcPr>
            <w:shd w:fill="55ba9e" w:val="clear"/>
            <w:vAlign w:val="center"/>
          </w:tcPr>
          <w:p w:rsidR="00000000" w:rsidDel="00000000" w:rsidP="00000000" w:rsidRDefault="00000000" w:rsidRPr="00000000" w14:paraId="0000006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shd w:fill="55ba9e" w:val="clear"/>
            <w:vAlign w:val="center"/>
          </w:tcPr>
          <w:p w:rsidR="00000000" w:rsidDel="00000000" w:rsidP="00000000" w:rsidRDefault="00000000" w:rsidRPr="00000000" w14:paraId="0000006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w:t>
            </w:r>
          </w:p>
        </w:tc>
        <w:tc>
          <w:tcPr>
            <w:shd w:fill="55ba9e" w:val="clear"/>
          </w:tcPr>
          <w:p w:rsidR="00000000" w:rsidDel="00000000" w:rsidP="00000000" w:rsidRDefault="00000000" w:rsidRPr="00000000" w14:paraId="0000006A">
            <w:pPr>
              <w:spacing w:after="120" w:before="120" w:lineRule="auto"/>
              <w:jc w:val="center"/>
              <w:rPr>
                <w:rFonts w:ascii="Arial" w:cs="Arial" w:eastAsia="Arial" w:hAnsi="Arial"/>
                <w:color w:val="808080"/>
                <w:sz w:val="22"/>
                <w:szCs w:val="22"/>
              </w:rPr>
            </w:pPr>
            <w:r w:rsidDel="00000000" w:rsidR="00000000" w:rsidRPr="00000000">
              <w:rPr>
                <w:rFonts w:ascii="Arial" w:cs="Arial" w:eastAsia="Arial" w:hAnsi="Arial"/>
                <w:b w:val="1"/>
                <w:bCs w:val="1"/>
                <w:sz w:val="22"/>
                <w:szCs w:val="22"/>
                <w:rtl w:val="0"/>
              </w:rPr>
              <w:t xml:space="preserve">Descripción del cambio</w:t>
            </w:r>
            <w:r w:rsidDel="00000000" w:rsidR="00000000" w:rsidRPr="00000000">
              <w:rPr>
                <w:rtl w:val="0"/>
              </w:rPr>
            </w:r>
          </w:p>
        </w:tc>
        <w:tc>
          <w:tcPr>
            <w:shd w:fill="55ba9e" w:val="clear"/>
          </w:tcPr>
          <w:p w:rsidR="00000000" w:rsidDel="00000000" w:rsidP="00000000" w:rsidRDefault="00000000" w:rsidRPr="00000000" w14:paraId="0000006B">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Realizado</w:t>
            </w:r>
          </w:p>
        </w:tc>
        <w:tc>
          <w:tcPr>
            <w:shd w:fill="55ba9e" w:val="clear"/>
          </w:tcPr>
          <w:p w:rsidR="00000000" w:rsidDel="00000000" w:rsidP="00000000" w:rsidRDefault="00000000" w:rsidRPr="00000000" w14:paraId="0000006C">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Aprobado</w:t>
            </w:r>
          </w:p>
        </w:tc>
      </w:tr>
      <w:tr>
        <w:trPr>
          <w:cantSplit w:val="0"/>
          <w:trHeight w:val="707" w:hRule="atLeast"/>
          <w:tblHeader w:val="0"/>
        </w:trPr>
        <w:tc>
          <w:tcPr>
            <w:vAlign w:val="center"/>
          </w:tcPr>
          <w:p w:rsidR="00000000" w:rsidDel="00000000" w:rsidP="00000000" w:rsidRDefault="00000000" w:rsidRPr="00000000" w14:paraId="0000006D">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06E">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18/03/2021 </w:t>
            </w:r>
          </w:p>
        </w:tc>
        <w:tc>
          <w:tcPr>
            <w:vAlign w:val="center"/>
          </w:tcPr>
          <w:p w:rsidR="00000000" w:rsidDel="00000000" w:rsidP="00000000" w:rsidRDefault="00000000" w:rsidRPr="00000000" w14:paraId="0000006F">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Alta de documento </w:t>
            </w:r>
          </w:p>
        </w:tc>
        <w:tc>
          <w:tcPr>
            <w:vAlign w:val="center"/>
          </w:tcPr>
          <w:p w:rsidR="00000000" w:rsidDel="00000000" w:rsidP="00000000" w:rsidRDefault="00000000" w:rsidRPr="00000000" w14:paraId="00000070">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 Daniel Robles Martin </w:t>
            </w:r>
          </w:p>
        </w:tc>
        <w:tc>
          <w:tcPr>
            <w:vAlign w:val="center"/>
          </w:tcPr>
          <w:p w:rsidR="00000000" w:rsidDel="00000000" w:rsidP="00000000" w:rsidRDefault="00000000" w:rsidRPr="00000000" w14:paraId="00000071">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Mtra. Ana Cecilia Zarate Bautista </w:t>
            </w:r>
          </w:p>
        </w:tc>
      </w:tr>
      <w:tr>
        <w:trPr>
          <w:cantSplit w:val="0"/>
          <w:trHeight w:val="707" w:hRule="atLeast"/>
          <w:tblHeader w:val="0"/>
        </w:trPr>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2"/>
                <w:szCs w:val="22"/>
                <w:rtl w:val="0"/>
              </w:rPr>
              <w:t xml:space="preserve">2</w:t>
            </w:r>
            <w:r w:rsidDel="00000000" w:rsidR="00000000" w:rsidRPr="00000000">
              <w:rPr>
                <w:rtl w:val="0"/>
              </w:rPr>
            </w:r>
          </w:p>
          <w:p w:rsidR="00000000" w:rsidDel="00000000" w:rsidP="00000000" w:rsidRDefault="00000000" w:rsidRPr="00000000" w14:paraId="00000073">
            <w:pPr>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4">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24/04/2024 </w:t>
            </w:r>
          </w:p>
        </w:tc>
        <w:tc>
          <w:tcPr>
            <w:vAlign w:val="center"/>
          </w:tcPr>
          <w:p w:rsidR="00000000" w:rsidDel="00000000" w:rsidP="00000000" w:rsidRDefault="00000000" w:rsidRPr="00000000" w14:paraId="00000075">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Actualización de documento</w:t>
            </w:r>
          </w:p>
        </w:tc>
        <w:tc>
          <w:tcPr>
            <w:vAlign w:val="center"/>
          </w:tcPr>
          <w:p w:rsidR="00000000" w:rsidDel="00000000" w:rsidP="00000000" w:rsidRDefault="00000000" w:rsidRPr="00000000" w14:paraId="00000076">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Dra. Elisa Nunila Villa Bernal </w:t>
            </w:r>
          </w:p>
        </w:tc>
        <w:tc>
          <w:tcPr>
            <w:vAlign w:val="center"/>
          </w:tcPr>
          <w:p w:rsidR="00000000" w:rsidDel="00000000" w:rsidP="00000000" w:rsidRDefault="00000000" w:rsidRPr="00000000" w14:paraId="00000077">
            <w:pPr>
              <w:spacing w:after="120" w:before="120" w:lineRule="auto"/>
              <w:jc w:val="center"/>
              <w:rPr>
                <w:rFonts w:ascii="Arial" w:cs="Arial" w:eastAsia="Arial" w:hAnsi="Arial"/>
                <w:color w:val="a6a6a6"/>
                <w:sz w:val="22"/>
                <w:szCs w:val="22"/>
              </w:rPr>
            </w:pPr>
            <w:r w:rsidDel="00000000" w:rsidR="00000000" w:rsidRPr="00000000">
              <w:rPr>
                <w:rFonts w:ascii="Arial" w:cs="Arial" w:eastAsia="Arial" w:hAnsi="Arial"/>
                <w:sz w:val="22"/>
                <w:szCs w:val="22"/>
                <w:rtl w:val="0"/>
              </w:rPr>
              <w:t xml:space="preserve">Mtra. Ana Cecilia Zarate Bautista </w:t>
            </w:r>
            <w:r w:rsidDel="00000000" w:rsidR="00000000" w:rsidRPr="00000000">
              <w:rPr>
                <w:rtl w:val="0"/>
              </w:rPr>
            </w:r>
          </w:p>
        </w:tc>
      </w:tr>
      <w:tr>
        <w:trPr>
          <w:cantSplit w:val="0"/>
          <w:trHeight w:val="707" w:hRule="atLeast"/>
          <w:tblHeader w:val="0"/>
        </w:trPr>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079">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03/05/2026</w:t>
            </w:r>
          </w:p>
        </w:tc>
        <w:tc>
          <w:tcPr>
            <w:vAlign w:val="center"/>
          </w:tcPr>
          <w:p w:rsidR="00000000" w:rsidDel="00000000" w:rsidP="00000000" w:rsidRDefault="00000000" w:rsidRPr="00000000" w14:paraId="0000007A">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Actualización de documento</w:t>
            </w:r>
          </w:p>
        </w:tc>
        <w:tc>
          <w:tcPr>
            <w:vAlign w:val="center"/>
          </w:tcPr>
          <w:p w:rsidR="00000000" w:rsidDel="00000000" w:rsidP="00000000" w:rsidRDefault="00000000" w:rsidRPr="00000000" w14:paraId="0000007B">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Dra. Daniela Hernández Alvarez</w:t>
            </w:r>
          </w:p>
        </w:tc>
        <w:tc>
          <w:tcPr>
            <w:vAlign w:val="center"/>
          </w:tcPr>
          <w:p w:rsidR="00000000" w:rsidDel="00000000" w:rsidP="00000000" w:rsidRDefault="00000000" w:rsidRPr="00000000" w14:paraId="0000007C">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Dr. Gonzalo Vázquez Camacho</w:t>
            </w:r>
          </w:p>
        </w:tc>
      </w:tr>
    </w:tbl>
    <w:p w:rsidR="00000000" w:rsidDel="00000000" w:rsidP="00000000" w:rsidRDefault="00000000" w:rsidRPr="00000000" w14:paraId="0000007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72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AUTORIZACIÓN.</w:t>
      </w:r>
    </w:p>
    <w:p w:rsidR="00000000" w:rsidDel="00000000" w:rsidP="00000000" w:rsidRDefault="00000000" w:rsidRPr="00000000" w14:paraId="0000008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rPr>
          <w:rFonts w:ascii="Arial" w:cs="Arial" w:eastAsia="Arial" w:hAnsi="Arial"/>
          <w:sz w:val="22"/>
          <w:szCs w:val="22"/>
        </w:rPr>
      </w:pPr>
      <w:r w:rsidDel="00000000" w:rsidR="00000000" w:rsidRPr="00000000">
        <w:rPr>
          <w:rtl w:val="0"/>
        </w:rPr>
      </w:r>
    </w:p>
    <w:tbl>
      <w:tblPr>
        <w:tblStyle w:val="Table5"/>
        <w:tblW w:w="8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7"/>
        <w:gridCol w:w="3402"/>
        <w:gridCol w:w="2693"/>
        <w:tblGridChange w:id="0">
          <w:tblGrid>
            <w:gridCol w:w="2797"/>
            <w:gridCol w:w="3402"/>
            <w:gridCol w:w="2693"/>
          </w:tblGrid>
        </w:tblGridChange>
      </w:tblGrid>
      <w:tr>
        <w:trPr>
          <w:cantSplit w:val="0"/>
          <w:trHeight w:val="397" w:hRule="atLeast"/>
          <w:tblHeader w:val="0"/>
        </w:trPr>
        <w:tc>
          <w:tcPr>
            <w:shd w:fill="55ba9e" w:val="clear"/>
            <w:vAlign w:val="center"/>
          </w:tcPr>
          <w:p w:rsidR="00000000" w:rsidDel="00000000" w:rsidP="00000000" w:rsidRDefault="00000000" w:rsidRPr="00000000" w14:paraId="00000082">
            <w:pPr>
              <w:jc w:val="center"/>
              <w:rPr>
                <w:rFonts w:ascii="Arial" w:cs="Arial" w:eastAsia="Arial" w:hAnsi="Arial"/>
                <w:b w:val="1"/>
                <w:bCs w:val="1"/>
                <w:color w:val="808080"/>
                <w:sz w:val="22"/>
                <w:szCs w:val="22"/>
              </w:rPr>
            </w:pPr>
            <w:r w:rsidDel="00000000" w:rsidR="00000000" w:rsidRPr="00000000">
              <w:rPr>
                <w:rFonts w:ascii="Arial" w:cs="Arial" w:eastAsia="Arial" w:hAnsi="Arial"/>
                <w:b w:val="1"/>
                <w:bCs w:val="1"/>
                <w:sz w:val="22"/>
                <w:szCs w:val="22"/>
                <w:rtl w:val="0"/>
              </w:rPr>
              <w:t xml:space="preserve">Elaboró</w:t>
            </w:r>
            <w:r w:rsidDel="00000000" w:rsidR="00000000" w:rsidRPr="00000000">
              <w:rPr>
                <w:rtl w:val="0"/>
              </w:rPr>
            </w:r>
          </w:p>
        </w:tc>
        <w:tc>
          <w:tcPr>
            <w:shd w:fill="55ba9e" w:val="clear"/>
            <w:vAlign w:val="center"/>
          </w:tcPr>
          <w:p w:rsidR="00000000" w:rsidDel="00000000" w:rsidP="00000000" w:rsidRDefault="00000000" w:rsidRPr="00000000" w14:paraId="00000083">
            <w:pPr>
              <w:jc w:val="center"/>
              <w:rPr>
                <w:rFonts w:ascii="Arial" w:cs="Arial" w:eastAsia="Arial" w:hAnsi="Arial"/>
                <w:b w:val="1"/>
                <w:bCs w:val="1"/>
                <w:color w:val="808080"/>
                <w:sz w:val="22"/>
                <w:szCs w:val="22"/>
              </w:rPr>
            </w:pPr>
            <w:r w:rsidDel="00000000" w:rsidR="00000000" w:rsidRPr="00000000">
              <w:rPr>
                <w:rFonts w:ascii="Arial" w:cs="Arial" w:eastAsia="Arial" w:hAnsi="Arial"/>
                <w:b w:val="1"/>
                <w:bCs w:val="1"/>
                <w:sz w:val="22"/>
                <w:szCs w:val="22"/>
                <w:rtl w:val="0"/>
              </w:rPr>
              <w:t xml:space="preserve">Revisó</w:t>
            </w:r>
            <w:r w:rsidDel="00000000" w:rsidR="00000000" w:rsidRPr="00000000">
              <w:rPr>
                <w:rtl w:val="0"/>
              </w:rPr>
            </w:r>
          </w:p>
        </w:tc>
        <w:tc>
          <w:tcPr>
            <w:shd w:fill="55ba9e" w:val="clear"/>
            <w:vAlign w:val="center"/>
          </w:tcPr>
          <w:p w:rsidR="00000000" w:rsidDel="00000000" w:rsidP="00000000" w:rsidRDefault="00000000" w:rsidRPr="00000000" w14:paraId="00000084">
            <w:pPr>
              <w:jc w:val="center"/>
              <w:rPr>
                <w:rFonts w:ascii="Arial" w:cs="Arial" w:eastAsia="Arial" w:hAnsi="Arial"/>
                <w:b w:val="1"/>
                <w:bCs w:val="1"/>
                <w:color w:val="808080"/>
                <w:sz w:val="22"/>
                <w:szCs w:val="22"/>
              </w:rPr>
            </w:pPr>
            <w:r w:rsidDel="00000000" w:rsidR="00000000" w:rsidRPr="00000000">
              <w:rPr>
                <w:rFonts w:ascii="Arial" w:cs="Arial" w:eastAsia="Arial" w:hAnsi="Arial"/>
                <w:b w:val="1"/>
                <w:bCs w:val="1"/>
                <w:sz w:val="22"/>
                <w:szCs w:val="22"/>
                <w:rtl w:val="0"/>
              </w:rPr>
              <w:t xml:space="preserve">Autorizó</w:t>
            </w:r>
            <w:r w:rsidDel="00000000" w:rsidR="00000000" w:rsidRPr="00000000">
              <w:rPr>
                <w:rtl w:val="0"/>
              </w:rPr>
            </w:r>
          </w:p>
        </w:tc>
      </w:tr>
      <w:tr>
        <w:trPr>
          <w:cantSplit w:val="0"/>
          <w:trHeight w:val="915" w:hRule="atLeast"/>
          <w:tblHeader w:val="0"/>
        </w:trPr>
        <w:tc>
          <w:tcPr>
            <w:vAlign w:val="bottom"/>
          </w:tcPr>
          <w:p w:rsidR="00000000" w:rsidDel="00000000" w:rsidP="00000000" w:rsidRDefault="00000000" w:rsidRPr="00000000" w14:paraId="00000085">
            <w:pPr>
              <w:rPr>
                <w:rFonts w:ascii="Arial" w:cs="Arial" w:eastAsia="Arial" w:hAnsi="Arial"/>
                <w:sz w:val="22"/>
                <w:szCs w:val="22"/>
              </w:rPr>
            </w:pPr>
            <w:r w:rsidDel="00000000" w:rsidR="00000000" w:rsidRPr="00000000">
              <w:rPr>
                <w:rFonts w:ascii="Arial" w:cs="Arial" w:eastAsia="Arial" w:hAnsi="Arial"/>
                <w:sz w:val="22"/>
                <w:szCs w:val="22"/>
                <w:rtl w:val="0"/>
              </w:rPr>
              <w:t xml:space="preserve">Dra. Daniela Hernández </w:t>
            </w:r>
          </w:p>
          <w:p w:rsidR="00000000" w:rsidDel="00000000" w:rsidP="00000000" w:rsidRDefault="00000000" w:rsidRPr="00000000" w14:paraId="0000008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Alvarez</w:t>
            </w:r>
          </w:p>
        </w:tc>
        <w:tc>
          <w:tcPr>
            <w:vAlign w:val="bottom"/>
          </w:tcPr>
          <w:p w:rsidR="00000000" w:rsidDel="00000000" w:rsidP="00000000" w:rsidRDefault="00000000" w:rsidRPr="00000000" w14:paraId="0000008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Dra. Giselle Ivette De la Torre García</w:t>
            </w:r>
          </w:p>
        </w:tc>
        <w:tc>
          <w:tcPr>
            <w:vAlign w:val="center"/>
          </w:tcPr>
          <w:p w:rsidR="00000000" w:rsidDel="00000000" w:rsidP="00000000" w:rsidRDefault="00000000" w:rsidRPr="00000000" w14:paraId="00000088">
            <w:pPr>
              <w:spacing w:after="120" w:before="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9">
            <w:pPr>
              <w:spacing w:after="120" w:before="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 Gonzalo Vázquez Camacho </w:t>
            </w:r>
          </w:p>
        </w:tc>
      </w:tr>
      <w:tr>
        <w:trPr>
          <w:cantSplit w:val="0"/>
          <w:trHeight w:val="298" w:hRule="atLeast"/>
          <w:tblHeader w:val="0"/>
        </w:trPr>
        <w:tc>
          <w:tcPr>
            <w:shd w:fill="e7e6e6" w:val="clear"/>
            <w:vAlign w:val="center"/>
          </w:tcPr>
          <w:p w:rsidR="00000000" w:rsidDel="00000000" w:rsidP="00000000" w:rsidRDefault="00000000" w:rsidRPr="00000000" w14:paraId="0000008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Coordinadora de médicos de guardia. </w:t>
            </w:r>
          </w:p>
        </w:tc>
        <w:tc>
          <w:tcPr>
            <w:shd w:fill="e7e6e6" w:val="clear"/>
            <w:vAlign w:val="center"/>
          </w:tcPr>
          <w:p w:rsidR="00000000" w:rsidDel="00000000" w:rsidP="00000000" w:rsidRDefault="00000000" w:rsidRPr="00000000" w14:paraId="0000008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Jefa de Calidad</w:t>
            </w:r>
          </w:p>
        </w:tc>
        <w:tc>
          <w:tcPr>
            <w:shd w:fill="e7e6e6" w:val="clear"/>
            <w:vAlign w:val="center"/>
          </w:tcPr>
          <w:p w:rsidR="00000000" w:rsidDel="00000000" w:rsidP="00000000" w:rsidRDefault="00000000" w:rsidRPr="00000000" w14:paraId="0000008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Dirección Médica</w:t>
            </w:r>
          </w:p>
        </w:tc>
      </w:tr>
    </w:tbl>
    <w:p w:rsidR="00000000" w:rsidDel="00000000" w:rsidP="00000000" w:rsidRDefault="00000000" w:rsidRPr="00000000" w14:paraId="0000008E">
      <w:pPr>
        <w:rPr>
          <w:rFonts w:ascii="Arial" w:cs="Arial" w:eastAsia="Arial" w:hAnsi="Arial"/>
          <w:sz w:val="22"/>
          <w:szCs w:val="22"/>
        </w:rPr>
      </w:pPr>
      <w:r w:rsidDel="00000000" w:rsidR="00000000" w:rsidRPr="00000000">
        <w:rPr>
          <w:rtl w:val="0"/>
        </w:rPr>
      </w:r>
    </w:p>
    <w:sectPr>
      <w:headerReference r:id="rId6" w:type="default"/>
      <w:footerReference r:id="rId7" w:type="default"/>
      <w:footerReference r:id="rId8" w:type="even"/>
      <w:pgSz w:h="15840" w:w="12240" w:orient="portrait"/>
      <w:pgMar w:bottom="1417" w:top="2021"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rPr>
        <w:color w:val="000000"/>
        <w:sz w:val="20"/>
        <w:szCs w:val="2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rPr>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-6348</wp:posOffset>
              </wp:positionH>
              <wp:positionV relativeFrom="paragraph">
                <wp:posOffset>0</wp:posOffset>
              </wp:positionV>
              <wp:extent cx="12700" cy="12700"/>
              <wp:effectExtent b="0" l="0" r="0" t="0"/>
              <wp:wrapNone/>
              <wp:docPr id="2" name=""/>
              <a:graphic>
                <a:graphicData uri="http://schemas.microsoft.com/office/word/2010/wordprocessingShape">
                  <wps:wsp>
                    <wps:cNvCnPr/>
                    <wps:spPr>
                      <a:xfrm>
                        <a:off x="2572027" y="3780000"/>
                        <a:ext cx="5547946" cy="0"/>
                      </a:xfrm>
                      <a:prstGeom prst="straightConnector1">
                        <a:avLst/>
                      </a:prstGeom>
                      <a:noFill/>
                      <a:ln cap="flat" cmpd="sng" w="12700">
                        <a:solidFill>
                          <a:srgbClr val="55BA9E"/>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0</wp:posOffset>
              </wp:positionV>
              <wp:extent cx="12700" cy="127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 w:val="left" w:leader="none" w:pos="360"/>
      </w:tabs>
      <w:rPr>
        <w:sz w:val="20"/>
        <w:szCs w:val="20"/>
      </w:rPr>
    </w:pPr>
    <w:r w:rsidDel="00000000" w:rsidR="00000000" w:rsidRPr="00000000">
      <w:rPr>
        <w:rtl w:val="0"/>
      </w:rPr>
    </w:r>
  </w:p>
  <w:tbl>
    <w:tblPr>
      <w:tblStyle w:val="Table6"/>
      <w:tblW w:w="883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419"/>
      <w:gridCol w:w="4419"/>
      <w:tblGridChange w:id="0">
        <w:tblGrid>
          <w:gridCol w:w="4419"/>
          <w:gridCol w:w="4419"/>
        </w:tblGrid>
      </w:tblGridChange>
    </w:tblGrid>
    <w:tr>
      <w:trPr>
        <w:cantSplit w:val="0"/>
        <w:tblHeader w:val="1"/>
      </w:trPr>
      <w:tc>
        <w:tcPr>
          <w:tcMar>
            <w:top w:w="-126.0" w:type="dxa"/>
            <w:left w:w="-126.0" w:type="dxa"/>
            <w:bottom w:w="-126.0" w:type="dxa"/>
            <w:right w:w="-126.0" w:type="dxa"/>
          </w:tcMar>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Código : IT-MG-01</w:t>
          </w:r>
        </w:p>
      </w:tc>
      <w:tc>
        <w:tcPr>
          <w:tcMar>
            <w:top w:w="-126.0" w:type="dxa"/>
            <w:left w:w="-126.0" w:type="dxa"/>
            <w:bottom w:w="-126.0" w:type="dxa"/>
            <w:right w:w="-126.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jc w:val="right"/>
            <w:rPr>
              <w:sz w:val="20"/>
              <w:szCs w:val="20"/>
            </w:rPr>
          </w:pPr>
          <w:r w:rsidDel="00000000" w:rsidR="00000000" w:rsidRPr="00000000">
            <w:rPr>
              <w:sz w:val="20"/>
              <w:szCs w:val="20"/>
              <w:rtl w:val="0"/>
            </w:rPr>
            <w:t xml:space="preserve">Fecha de emisión: 25 Abril 2026</w:t>
          </w:r>
        </w:p>
      </w:tc>
    </w:tr>
    <w:tr>
      <w:trPr>
        <w:cantSplit w:val="0"/>
        <w:tblHeader w:val="1"/>
      </w:trPr>
      <w:tc>
        <w:tcPr>
          <w:tcMar>
            <w:top w:w="-126.0" w:type="dxa"/>
            <w:left w:w="-126.0" w:type="dxa"/>
            <w:bottom w:w="-126.0" w:type="dxa"/>
            <w:right w:w="-126.0" w:type="dxa"/>
          </w:tcMa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Versión vigente: 3</w:t>
          </w:r>
        </w:p>
      </w:tc>
      <w:tc>
        <w:tcPr>
          <w:tcMar>
            <w:top w:w="-126.0" w:type="dxa"/>
            <w:left w:w="-126.0" w:type="dxa"/>
            <w:bottom w:w="-126.0" w:type="dxa"/>
            <w:right w:w="-126.0" w:type="dxa"/>
          </w:tcMa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jc w:val="right"/>
            <w:rPr>
              <w:sz w:val="20"/>
              <w:szCs w:val="20"/>
            </w:rPr>
          </w:pPr>
          <w:r w:rsidDel="00000000" w:rsidR="00000000" w:rsidRPr="00000000">
            <w:rPr>
              <w:sz w:val="20"/>
              <w:szCs w:val="20"/>
              <w:rtl w:val="0"/>
            </w:rPr>
            <w:t xml:space="preserve">Fecha de revisión: 25 Abril 2028</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 w:val="left" w:leader="none" w:pos="360"/>
      </w:tabs>
      <w:rPr>
        <w:color w:val="000000"/>
        <w:sz w:val="20"/>
        <w:szCs w:val="20"/>
      </w:rPr>
    </w:pPr>
    <w:r w:rsidDel="00000000" w:rsidR="00000000" w:rsidRPr="00000000">
      <w:rPr>
        <w:color w:val="000000"/>
        <w:sz w:val="20"/>
        <w:szCs w:val="20"/>
        <w:rtl w:val="0"/>
      </w:rPr>
      <w:t xml:space="preserve">            </w:t>
      <w:tab/>
      <w:tab/>
      <w:t xml:space="preserve">Página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de </w:t>
    </w:r>
    <w:r w:rsidDel="00000000" w:rsidR="00000000" w:rsidRPr="00000000">
      <w:rPr>
        <w:color w:val="000000"/>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rPr>
        <w:color w:val="4472c4"/>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-51285</wp:posOffset>
          </wp:positionH>
          <wp:positionV relativeFrom="paragraph">
            <wp:posOffset>-343532</wp:posOffset>
          </wp:positionV>
          <wp:extent cx="1186180" cy="1071920"/>
          <wp:effectExtent b="0" l="0" r="0" t="0"/>
          <wp:wrapNone/>
          <wp:docPr id="4" name="image1.jpg"/>
          <a:graphic>
            <a:graphicData uri="http://schemas.openxmlformats.org/drawingml/2006/picture">
              <pic:pic>
                <pic:nvPicPr>
                  <pic:cNvPr id="0" name="image1.jpg"/>
                  <pic:cNvPicPr preferRelativeResize="0"/>
                </pic:nvPicPr>
                <pic:blipFill>
                  <a:blip r:embed="rId1"/>
                  <a:srcRect b="15368" l="20685" r="14390" t="8718"/>
                  <a:stretch>
                    <a:fillRect/>
                  </a:stretch>
                </pic:blipFill>
                <pic:spPr>
                  <a:xfrm>
                    <a:off x="0" y="0"/>
                    <a:ext cx="1186180" cy="1071920"/>
                  </a:xfrm>
                  <a:prstGeom prst="rect"/>
                  <a:ln/>
                </pic:spPr>
              </pic:pic>
            </a:graphicData>
          </a:graphic>
        </wp:anchor>
      </w:drawing>
    </w:r>
  </w:p>
  <w:p w:rsidR="00000000" w:rsidDel="00000000" w:rsidP="00000000" w:rsidRDefault="00000000" w:rsidRPr="00000000" w14:paraId="00000090">
    <w:pPr>
      <w:ind w:right="49"/>
      <w:jc w:val="center"/>
      <w:rPr>
        <w:rFonts w:ascii="Arial" w:cs="Arial" w:eastAsia="Arial" w:hAnsi="Arial"/>
        <w:b w:val="1"/>
        <w:bCs w:val="1"/>
        <w:sz w:val="22"/>
        <w:szCs w:val="22"/>
      </w:rPr>
    </w:pPr>
    <w:r w:rsidDel="00000000" w:rsidR="00000000" w:rsidRPr="00000000">
      <w:rPr>
        <w:smallCaps w:val="1"/>
        <w:color w:val="4472c4"/>
        <w:rtl w:val="0"/>
      </w:rPr>
      <w:tab/>
      <w:tab/>
    </w:r>
    <w:r w:rsidDel="00000000" w:rsidR="00000000" w:rsidRPr="00000000">
      <w:rPr>
        <w:rFonts w:ascii="Arial" w:cs="Arial" w:eastAsia="Arial" w:hAnsi="Arial"/>
        <w:b w:val="1"/>
        <w:bCs w:val="1"/>
        <w:sz w:val="22"/>
        <w:szCs w:val="22"/>
        <w:rtl w:val="0"/>
      </w:rPr>
      <w:t xml:space="preserve">INSTRUCCIÓN DE TRABAJO PARA EL PASE DE VISITA</w:t>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 w:val="left" w:leader="none" w:pos="498"/>
      </w:tabs>
      <w:rPr/>
    </w:pPr>
    <w:r w:rsidDel="00000000" w:rsidR="00000000" w:rsidRPr="00000000">
      <w:rPr>
        <w:smallCaps w:val="1"/>
        <w:color w:val="4472c4"/>
        <w:rtl w:val="0"/>
      </w:rPr>
      <w:tab/>
      <w:t xml:space="preserve"> </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 w:val="left" w:leader="none" w:pos="498"/>
      </w:tabs>
      <w:rPr>
        <w:smallCaps w:val="1"/>
        <w:color w:val="4472c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 w:val="left" w:leader="none" w:pos="498"/>
      </w:tabs>
      <w:rPr>
        <w:smallCaps w:val="1"/>
        <w:color w:val="4472c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108587</wp:posOffset>
              </wp:positionH>
              <wp:positionV relativeFrom="paragraph">
                <wp:posOffset>103274</wp:posOffset>
              </wp:positionV>
              <wp:extent cx="5577840" cy="12700"/>
              <wp:effectExtent b="0" l="0" r="0" t="0"/>
              <wp:wrapNone/>
              <wp:docPr id="3" name=""/>
              <a:graphic>
                <a:graphicData uri="http://schemas.microsoft.com/office/word/2010/wordprocessingShape">
                  <wps:wsp>
                    <wps:cNvCnPr/>
                    <wps:spPr>
                      <a:xfrm>
                        <a:off x="2557080" y="3780000"/>
                        <a:ext cx="5577840" cy="0"/>
                      </a:xfrm>
                      <a:prstGeom prst="straightConnector1">
                        <a:avLst/>
                      </a:prstGeom>
                      <a:noFill/>
                      <a:ln cap="flat" cmpd="sng" w="9525">
                        <a:solidFill>
                          <a:srgbClr val="0AB79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108587</wp:posOffset>
              </wp:positionH>
              <wp:positionV relativeFrom="paragraph">
                <wp:posOffset>103274</wp:posOffset>
              </wp:positionV>
              <wp:extent cx="5577840" cy="12700"/>
              <wp:effectExtent b="0" l="0" r="0" t="0"/>
              <wp:wrapNone/>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5577840" cy="12700"/>
                      </a:xfrm>
                      <a:prstGeom prst="rect"/>
                      <a:ln/>
                    </pic:spPr>
                  </pic:pic>
                </a:graphicData>
              </a:graphic>
            </wp:anchor>
          </w:drawing>
        </mc:Fallback>
      </mc:AlternateContent>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57152</wp:posOffset>
              </wp:positionH>
              <wp:positionV relativeFrom="paragraph">
                <wp:posOffset>88900</wp:posOffset>
              </wp:positionV>
              <wp:extent cx="12700" cy="12700"/>
              <wp:effectExtent b="0" l="0" r="0" t="0"/>
              <wp:wrapNone/>
              <wp:docPr id="1" name=""/>
              <a:graphic>
                <a:graphicData uri="http://schemas.microsoft.com/office/word/2010/wordprocessingShape">
                  <wps:wsp>
                    <wps:cNvCnPr/>
                    <wps:spPr>
                      <a:xfrm>
                        <a:off x="2572027" y="3780000"/>
                        <a:ext cx="5547946" cy="0"/>
                      </a:xfrm>
                      <a:prstGeom prst="straightConnector1">
                        <a:avLst/>
                      </a:prstGeom>
                      <a:noFill/>
                      <a:ln cap="flat" cmpd="sng" w="12700">
                        <a:solidFill>
                          <a:srgbClr val="55BA9E"/>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57152</wp:posOffset>
              </wp:positionH>
              <wp:positionV relativeFrom="paragraph">
                <wp:posOffset>88900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360"/>
      </w:pPr>
      <w:rPr>
        <w:b w:val="0"/>
        <w:bCs w:val="0"/>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