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OBJETIVO.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Explicar el proceso de la toma de electrocardiograma a pacientes hospitalizados.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ALCANCE.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Realizar la toma de electrocardiograma de 12 derivaciones en las áreas de hospitalización con pacientes en habitaciones.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DEFINICIONES.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Electrocardiograma: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 una prueba rápida en la que se revisan los latidos cardíacos y se registran las señales eléctricas del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Actualización: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Coordinador de Médicos de Guardia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Médicos de Guardia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08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g0q89h80540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Supervisión: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Dirección Médica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DESARROLLO DEL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center"/>
        <w:tblLayout w:type="fixed"/>
        <w:tblLook w:val="0400"/>
      </w:tblPr>
      <w:tblGrid>
        <w:gridCol w:w="705"/>
        <w:gridCol w:w="2685"/>
        <w:gridCol w:w="5505"/>
        <w:tblGridChange w:id="0">
          <w:tblGrid>
            <w:gridCol w:w="705"/>
            <w:gridCol w:w="2685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left w:color="666666" w:space="0" w:sz="8" w:val="single"/>
              <w:right w:color="000000" w:space="0" w:sz="0" w:val="nil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 la solicitud vía telefónica (se realiza procedimiento de toma de indicaciones vía telefónica), verbal, o escrita en la hoja de indicaciones médicas.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Enfermería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Notifica en caso de solicitud escrita en hoja de indicaciones médicas.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 indicación en la hoja de indicaciones de enfermería y acude por el electrocardiógrafo a la oficina de médicos, al servicio de urgencias o al departamento de cardiología para solicitarlo.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 a la habitación del paciente en cuestión, saluda cordialmente, corrobora la identidad del paciente, identificándose como médico de guardia con nombre y apellido, procede a explicar y resolver dudas respecto al estudio.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5.5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Procede a la colocación de electrodos, precordiales y bipolares, en caso de ser necesario se usa gel conductor. Posteriormente se procede a la impresión del electrocardiograma y a la limpieza del equipo antes de guardarlo.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5.6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Notifica al servicio de enfermería que ya se realizó el electrocardiograma y rotula con los datos del paciente el estudio.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 el equipo a la oficina o al departamento solicitado, en buenas condiciones y limpio.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5.8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Toma fotografía del electrocardiograma y lo envía vía electrónica al médico tratante.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dirige a la central de enfermería y guarda el estudio en el expediente clínico del paciente.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5.10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Médico de guardia 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 a oficina de médicos de guardia donde llena ficha de pago con datos del paciente, fecha, habitación y tipo de estudio realizado. Se dirige a cajas a entregar ficha,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 de Cajas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Recibe ficha de pago y hace su procedimiento necesario.</w:t>
            </w:r>
          </w:p>
        </w:tc>
      </w:tr>
    </w:tbl>
    <w:p w:rsidR="00000000" w:rsidDel="00000000" w:rsidP="00000000" w:rsidRDefault="00000000" w:rsidRPr="00000000" w14:paraId="0000003D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GESTIÓN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0"/>
        <w:gridCol w:w="4243"/>
        <w:tblGridChange w:id="0">
          <w:tblGrid>
            <w:gridCol w:w="4590"/>
            <w:gridCol w:w="4243"/>
          </w:tblGrid>
        </w:tblGridChange>
      </w:tblGrid>
      <w:tr>
        <w:trPr>
          <w:cantSplit w:val="0"/>
          <w:tblHeader w:val="0"/>
        </w:trPr>
        <w:tc>
          <w:tcPr>
            <w:shd w:fill="55ba9e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Barrera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Choques contra objetos tras movilización paciente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a. Métodos de barrera y procedimiento de toma de estudios en el área de imagen.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Caída de objetos tras manipulación y/o movilización del paciente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 Mecánica corporal y movimiento de pacientes.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Golpes por objetos o herramientas, en la atención de los pacientes.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c. Apoyo del servicio de camilleria.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  Punciones accidentales con materiales punzocortantes (agujas, bisturí) 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d. Procedimiento y uso correcto de materiales punzocortantes.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   Mal manejo de los materiales del RPBI.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e. Conocimiento de la normativa de RPBI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   Infecciones de transmisión o exposición por gotas de Flügge y aerosoles (Tuberculosis, Influenza, covid-19, etc.).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 Materiales y equipo de protección necesario para el manejo de residuos, biológicos, así como para la atención del paciente con potencial de infección. </w:t>
            </w:r>
          </w:p>
        </w:tc>
      </w:tr>
    </w:tbl>
    <w:p w:rsidR="00000000" w:rsidDel="00000000" w:rsidP="00000000" w:rsidRDefault="00000000" w:rsidRPr="00000000" w14:paraId="0000004F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ANEXOS.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Flujograma.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341616</wp:posOffset>
            </wp:positionV>
            <wp:extent cx="6036029" cy="6118013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029" cy="6118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Documentos de referencia.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126"/>
        <w:tblGridChange w:id="0">
          <w:tblGrid>
            <w:gridCol w:w="6663"/>
            <w:gridCol w:w="2126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documento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</w:tr>
      <w:tr>
        <w:trPr>
          <w:cantSplit w:val="0"/>
          <w:trHeight w:val="1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Aplica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CONTROL DE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365"/>
        <w:gridCol w:w="3030"/>
        <w:gridCol w:w="1845"/>
        <w:gridCol w:w="1560"/>
        <w:tblGridChange w:id="0">
          <w:tblGrid>
            <w:gridCol w:w="1095"/>
            <w:gridCol w:w="1365"/>
            <w:gridCol w:w="3030"/>
            <w:gridCol w:w="1845"/>
            <w:gridCol w:w="1560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61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62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18/03/2022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de documento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Daniel Robles Martin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Mtra. Ana Cecilia Zarate Bautista 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24/04/2024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Actualización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Elisa Nunila Villa Bernal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Mtra. Ana Cecilia Zarate Bautista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03/05/2026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Actualización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Hernández Alvarez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Vázquez Camacho 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7"/>
        <w:gridCol w:w="3402"/>
        <w:gridCol w:w="2693"/>
        <w:tblGridChange w:id="0">
          <w:tblGrid>
            <w:gridCol w:w="2797"/>
            <w:gridCol w:w="3402"/>
            <w:gridCol w:w="269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Autorizó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Daniela Hernández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Alvarez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Gonzalo Vázquez Camacho 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Coordinadora de médicos de guardia. 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Jefa de Calidad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Dirección Médica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5840" w:w="12240" w:orient="portrait"/>
      <w:pgMar w:bottom="1417" w:top="202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298226806"/>
      <w:tag w:val="goog_rdk_0"/>
    </w:sdtPr>
    <w:sdtContent>
      <w:tbl>
        <w:tblPr>
          <w:tblStyle w:val="Table6"/>
          <w:tblW w:w="8838.0" w:type="dxa"/>
          <w:jc w:val="left"/>
          <w:tbl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  <w:insideH w:color="ffffff" w:space="0" w:sz="8" w:val="single"/>
            <w:insideV w:color="ffffff" w:space="0" w:sz="8" w:val="single"/>
          </w:tblBorders>
          <w:tblLayout w:type="fixed"/>
          <w:tblLook w:val="0600"/>
        </w:tblPr>
        <w:tblGrid>
          <w:gridCol w:w="4419"/>
          <w:gridCol w:w="4419"/>
          <w:tblGridChange w:id="0">
            <w:tblGrid>
              <w:gridCol w:w="4419"/>
              <w:gridCol w:w="4419"/>
            </w:tblGrid>
          </w:tblGridChange>
        </w:tblGrid>
        <w:tr>
          <w:trPr>
            <w:cantSplit w:val="0"/>
            <w:tblHeader w:val="1"/>
          </w:trPr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8F">
              <w:pPr>
                <w:widowControl w:val="0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Código : PR-MG-02</w:t>
              </w:r>
            </w:p>
          </w:tc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90">
              <w:pPr>
                <w:widowControl w:val="0"/>
                <w:jc w:val="right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Fecha de emisión: 5 de Mayo 2026</w:t>
              </w:r>
            </w:p>
          </w:tc>
        </w:tr>
        <w:tr>
          <w:trPr>
            <w:cantSplit w:val="0"/>
            <w:tblHeader w:val="1"/>
          </w:trPr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91">
              <w:pPr>
                <w:widowControl w:val="0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Versión vigente: 3</w:t>
              </w:r>
            </w:p>
          </w:tc>
          <w:tc>
            <w:tcPr>
              <w:tcMar>
                <w:top w:w="-126.0" w:type="dxa"/>
                <w:left w:w="-126.0" w:type="dxa"/>
                <w:bottom w:w="-126.0" w:type="dxa"/>
                <w:right w:w="-126.0" w:type="dxa"/>
              </w:tcMar>
            </w:tcPr>
            <w:p w:rsidR="00000000" w:rsidDel="00000000" w:rsidP="00000000" w:rsidRDefault="00000000" w:rsidRPr="00000000" w14:paraId="00000092">
              <w:pPr>
                <w:widowControl w:val="0"/>
                <w:jc w:val="right"/>
                <w:rPr>
                  <w:sz w:val="20"/>
                  <w:szCs w:val="20"/>
                </w:rPr>
              </w:pPr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Fecha de revisión: 5 de Mayo 2028</w:t>
              </w:r>
            </w:p>
          </w:tc>
        </w:tr>
      </w:tbl>
    </w:sdtContent>
  </w:sdt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            </w:t>
      <w:tab/>
      <w:tab/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4472c4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-51285</wp:posOffset>
          </wp:positionH>
          <wp:positionV relativeFrom="paragraph">
            <wp:posOffset>-343532</wp:posOffset>
          </wp:positionV>
          <wp:extent cx="1186180" cy="107192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5368" l="20685" r="14390" t="8718"/>
                  <a:stretch>
                    <a:fillRect/>
                  </a:stretch>
                </pic:blipFill>
                <pic:spPr>
                  <a:xfrm>
                    <a:off x="0" y="0"/>
                    <a:ext cx="1186180" cy="10719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5">
    <w:pPr>
      <w:ind w:right="49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smallCaps w:val="1"/>
        <w:color w:val="4472c4"/>
        <w:rtl w:val="0"/>
      </w:rPr>
      <w:tab/>
      <w:tab/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PROCEDIMIENTO PARA TOMA DE ELECTROCARDIOGRAMA</w:t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/>
    </w:pPr>
    <w:r w:rsidDel="00000000" w:rsidR="00000000" w:rsidRPr="00000000">
      <w:rPr>
        <w:smallCaps w:val="1"/>
        <w:color w:val="4472c4"/>
        <w:rtl w:val="0"/>
      </w:rPr>
      <w:tab/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>
        <w:smallCaps w:val="1"/>
        <w:color w:val="4472c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>
        <w:smallCaps w:val="1"/>
        <w:color w:val="4472c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57080" y="3780000"/>
                        <a:ext cx="557784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AB79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778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7+9yaKTpZiKsiN6tUPGO50LtsQ==">CgMxLjAaHgoBMBIZChcICVITChF0YWJsZS40MGc2bXl4eGZkazIOaC5nMHE4OWg4MDU0MG04AHIhMW93UVJoRlRiQ2x2dEhiT2V4YnZrYXloYUNGNXM5d0JY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