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34FC5" w14:textId="72ADDE2E" w:rsidR="002572F7" w:rsidRPr="005A32D2" w:rsidRDefault="00FC4F87">
      <w:pPr>
        <w:spacing w:after="80"/>
        <w:rPr>
          <w:color w:val="4BACC6" w:themeColor="accent5"/>
        </w:rPr>
      </w:pPr>
      <w:r w:rsidRPr="005A32D2">
        <w:rPr>
          <w:b/>
          <w:color w:val="4BACC6" w:themeColor="accent5"/>
          <w:sz w:val="17"/>
        </w:rPr>
        <w:t>CONSULARIUM</w:t>
      </w:r>
    </w:p>
    <w:p w14:paraId="3F38048B" w14:textId="07C8FD43" w:rsidR="002572F7" w:rsidRPr="005A32D2" w:rsidRDefault="00000000">
      <w:pPr>
        <w:pStyle w:val="Title"/>
        <w:rPr>
          <w:color w:val="F79646" w:themeColor="accent6"/>
        </w:rPr>
      </w:pPr>
      <w:r w:rsidRPr="005A32D2">
        <w:rPr>
          <w:color w:val="F79646" w:themeColor="accent6"/>
        </w:rPr>
        <w:t xml:space="preserve">Project </w:t>
      </w:r>
      <w:r w:rsidR="00FC4F87" w:rsidRPr="005A32D2">
        <w:rPr>
          <w:color w:val="F79646" w:themeColor="accent6"/>
        </w:rPr>
        <w:t>NOVADRIVE</w:t>
      </w:r>
    </w:p>
    <w:p w14:paraId="712742C1" w14:textId="77777777" w:rsidR="002572F7" w:rsidRPr="005A32D2" w:rsidRDefault="00000000">
      <w:pPr>
        <w:pStyle w:val="Heading1"/>
        <w:rPr>
          <w:color w:val="F79646" w:themeColor="accent6"/>
        </w:rPr>
      </w:pPr>
      <w:r w:rsidRPr="005A32D2">
        <w:rPr>
          <w:color w:val="F79646" w:themeColor="accent6"/>
        </w:rPr>
        <w:t>The situation</w:t>
      </w:r>
    </w:p>
    <w:p w14:paraId="0A38E220" w14:textId="77777777" w:rsidR="002572F7" w:rsidRDefault="00000000">
      <w:r>
        <w:t>NovaDrive Technologies manufactures industrial inverters, charging power units and energy-storage control cabinets. The business has grown through multiple acquisitions, and supplier information is spread across different teams and systems.</w:t>
      </w:r>
    </w:p>
    <w:p w14:paraId="43478A6A" w14:textId="54694569" w:rsidR="002572F7" w:rsidRDefault="00000000">
      <w:r>
        <w:t>The Chief Risk Officer (CRO) does not have a reliable view of the supplier ecosystem beyond the immediate counterparties known to local procurement teams. More importantly, management cannot clearly see which Tier-2 or Tier-3 suppliers,</w:t>
      </w:r>
      <w:r w:rsidR="00FC4F87">
        <w:t xml:space="preserve"> </w:t>
      </w:r>
      <w:r>
        <w:t xml:space="preserve">upstream dependencies </w:t>
      </w:r>
      <w:r w:rsidR="00FC4F87">
        <w:t xml:space="preserve">that </w:t>
      </w:r>
      <w:r>
        <w:t>sit behind those relationships.</w:t>
      </w:r>
    </w:p>
    <w:p w14:paraId="2A95E577" w14:textId="77777777" w:rsidR="002572F7" w:rsidRDefault="00000000">
      <w:r>
        <w:t>This creates a practical risk-management problem. A supplier may appear diversified at Tier 1 but still depend on the same upstream manufacturer, geography or facility. At the same time, external risk signals are difficult to connect to the products and supplier paths that may actually be affected.</w:t>
      </w:r>
    </w:p>
    <w:p w14:paraId="5390E1B8" w14:textId="77777777" w:rsidR="002572F7" w:rsidRDefault="00000000">
      <w:r>
        <w:t>The CRO is therefore looking for a practical decision-support tool that can build visibility, prioritise supplier risk and help the sourcing team identify credible alternate suppliers when a material exposure is flagged.</w:t>
      </w:r>
    </w:p>
    <w:tbl>
      <w:tblPr>
        <w:tblW w:w="0" w:type="auto"/>
        <w:tblLayout w:type="fixed"/>
        <w:tblLook w:val="04A0" w:firstRow="1" w:lastRow="0" w:firstColumn="1" w:lastColumn="0" w:noHBand="0" w:noVBand="1"/>
      </w:tblPr>
      <w:tblGrid>
        <w:gridCol w:w="10368"/>
      </w:tblGrid>
      <w:tr w:rsidR="002572F7" w14:paraId="697CDE99" w14:textId="77777777">
        <w:tc>
          <w:tcPr>
            <w:tcW w:w="10368" w:type="dxa"/>
            <w:shd w:val="clear" w:color="auto" w:fill="EAF2F8"/>
            <w:tcMar>
              <w:top w:w="130" w:type="dxa"/>
              <w:left w:w="150" w:type="dxa"/>
              <w:bottom w:w="130" w:type="dxa"/>
              <w:right w:w="150" w:type="dxa"/>
            </w:tcMar>
          </w:tcPr>
          <w:p w14:paraId="7830215D" w14:textId="77777777" w:rsidR="002572F7" w:rsidRDefault="00000000">
            <w:pPr>
              <w:spacing w:after="0"/>
            </w:pPr>
            <w:r w:rsidRPr="005A32D2">
              <w:rPr>
                <w:b/>
                <w:color w:val="4BACC6" w:themeColor="accent5"/>
              </w:rPr>
              <w:t>Management question: Where are our most material supplier-network vulnerabilities, how confident are we in the assessment, and what practical sourcing options do we have when a supplier becomes a concern?</w:t>
            </w:r>
          </w:p>
        </w:tc>
      </w:tr>
    </w:tbl>
    <w:p w14:paraId="7674907C" w14:textId="77777777" w:rsidR="002572F7" w:rsidRDefault="002572F7">
      <w:pPr>
        <w:spacing w:after="0"/>
      </w:pPr>
    </w:p>
    <w:p w14:paraId="70D7DD61" w14:textId="3D2C026F" w:rsidR="002572F7" w:rsidRPr="005A32D2" w:rsidRDefault="00F00151">
      <w:pPr>
        <w:pStyle w:val="Heading1"/>
        <w:rPr>
          <w:color w:val="F79646" w:themeColor="accent6"/>
        </w:rPr>
      </w:pPr>
      <w:r w:rsidRPr="005A32D2">
        <w:rPr>
          <w:color w:val="F79646" w:themeColor="accent6"/>
        </w:rPr>
        <w:t xml:space="preserve">Scope </w:t>
      </w:r>
    </w:p>
    <w:p w14:paraId="2454C781" w14:textId="77777777" w:rsidR="002572F7" w:rsidRDefault="00000000">
      <w:r>
        <w:t xml:space="preserve">The case covers three NovaDrive product families: </w:t>
      </w:r>
      <w:r>
        <w:rPr>
          <w:b/>
        </w:rPr>
        <w:t>P1 DriveCore, P2 ChargeBridge and P3 StoreLink.</w:t>
      </w:r>
      <w:r>
        <w:t xml:space="preserve"> You are not provided a verified supplier master, purchase-order history or a completed Tier-1 to Tier-N map. The workbook contains a focused set of business context, candidate organisations, relationship evidence and risk indicators from which the current network needs to be reconstructed.</w:t>
      </w:r>
    </w:p>
    <w:p w14:paraId="63765DAD" w14:textId="77777777" w:rsidR="002572F7" w:rsidRDefault="00000000">
      <w:r>
        <w:t xml:space="preserve">All NovaDrive entities and case records are fictional. Public web research should be used for </w:t>
      </w:r>
      <w:r>
        <w:rPr>
          <w:b/>
        </w:rPr>
        <w:t>alternate-supplier discovery and current market context</w:t>
      </w:r>
      <w:r>
        <w:t>, not to establish facts about the fictional incumbent network.</w:t>
      </w:r>
    </w:p>
    <w:p w14:paraId="4EF4B06E" w14:textId="77777777" w:rsidR="002572F7" w:rsidRDefault="00000000">
      <w:r>
        <w:br w:type="page"/>
      </w:r>
    </w:p>
    <w:p w14:paraId="44711048" w14:textId="017B73EF" w:rsidR="002572F7" w:rsidRPr="005A32D2" w:rsidRDefault="00000000">
      <w:pPr>
        <w:pStyle w:val="Title"/>
        <w:rPr>
          <w:color w:val="F79646" w:themeColor="accent6"/>
        </w:rPr>
      </w:pPr>
      <w:r w:rsidRPr="005A32D2">
        <w:rPr>
          <w:color w:val="F79646" w:themeColor="accent6"/>
        </w:rPr>
        <w:lastRenderedPageBreak/>
        <w:t>What you are expected to solve</w:t>
      </w:r>
      <w:r w:rsidR="00754D4C">
        <w:rPr>
          <w:color w:val="F79646" w:themeColor="accent6"/>
        </w:rPr>
        <w:t xml:space="preserve"> and present</w:t>
      </w:r>
    </w:p>
    <w:tbl>
      <w:tblPr>
        <w:tblW w:w="0" w:type="auto"/>
        <w:tblLayout w:type="fixed"/>
        <w:tblLook w:val="04A0" w:firstRow="1" w:lastRow="0" w:firstColumn="1" w:lastColumn="0" w:noHBand="0" w:noVBand="1"/>
      </w:tblPr>
      <w:tblGrid>
        <w:gridCol w:w="1468"/>
        <w:gridCol w:w="8900"/>
      </w:tblGrid>
      <w:tr w:rsidR="002572F7" w14:paraId="7F7A710E" w14:textId="77777777" w:rsidTr="00F00151">
        <w:tc>
          <w:tcPr>
            <w:tcW w:w="1468" w:type="dxa"/>
            <w:shd w:val="clear" w:color="auto" w:fill="0F6B6D"/>
            <w:tcMar>
              <w:top w:w="80" w:type="dxa"/>
              <w:left w:w="50" w:type="dxa"/>
              <w:bottom w:w="80" w:type="dxa"/>
              <w:right w:w="50" w:type="dxa"/>
            </w:tcMar>
            <w:vAlign w:val="center"/>
          </w:tcPr>
          <w:p w14:paraId="408A72A6" w14:textId="77777777" w:rsidR="002572F7" w:rsidRDefault="00000000">
            <w:pPr>
              <w:spacing w:after="0"/>
              <w:jc w:val="center"/>
            </w:pPr>
            <w:r>
              <w:rPr>
                <w:b/>
                <w:color w:val="FFFFFF"/>
                <w:sz w:val="22"/>
              </w:rPr>
              <w:t>1</w:t>
            </w:r>
          </w:p>
        </w:tc>
        <w:tc>
          <w:tcPr>
            <w:tcW w:w="8900" w:type="dxa"/>
            <w:tcMar>
              <w:top w:w="40" w:type="dxa"/>
              <w:left w:w="100" w:type="dxa"/>
              <w:bottom w:w="50" w:type="dxa"/>
              <w:right w:w="100" w:type="dxa"/>
            </w:tcMar>
          </w:tcPr>
          <w:p w14:paraId="1A5D11A4" w14:textId="35D1CAE0" w:rsidR="002572F7" w:rsidRDefault="00000000">
            <w:pPr>
              <w:spacing w:after="40"/>
            </w:pPr>
            <w:r w:rsidRPr="005A32D2">
              <w:rPr>
                <w:b/>
                <w:color w:val="17365D"/>
              </w:rPr>
              <w:t>Reconstruct the supplier network.</w:t>
            </w:r>
            <w:r w:rsidRPr="005A32D2">
              <w:rPr>
                <w:b/>
                <w:color w:val="9BBB59" w:themeColor="accent3"/>
              </w:rPr>
              <w:t xml:space="preserve"> </w:t>
            </w:r>
            <w:r w:rsidRPr="005A32D2">
              <w:t>Identify</w:t>
            </w:r>
            <w:r w:rsidRPr="005A32D2">
              <w:rPr>
                <w:color w:val="9BBB59" w:themeColor="accent3"/>
              </w:rPr>
              <w:t xml:space="preserve"> </w:t>
            </w:r>
            <w:r>
              <w:t xml:space="preserve">the material Tier-1, Tier-2 and Tier-3 relationships </w:t>
            </w:r>
            <w:r w:rsidR="00754D4C">
              <w:t xml:space="preserve">from the data provided, that are </w:t>
            </w:r>
            <w:r>
              <w:t>supporting the products in scope. Show who supplies whom, the relevant component and facility wherever available, and evidence supporting each material link. Separate confirmed relationships, reasonable inferences and unresolved hypotheses.</w:t>
            </w:r>
          </w:p>
        </w:tc>
      </w:tr>
    </w:tbl>
    <w:p w14:paraId="175013EF" w14:textId="77777777" w:rsidR="002572F7" w:rsidRDefault="002572F7">
      <w:pPr>
        <w:spacing w:after="0"/>
      </w:pPr>
    </w:p>
    <w:tbl>
      <w:tblPr>
        <w:tblW w:w="0" w:type="auto"/>
        <w:tblLayout w:type="fixed"/>
        <w:tblLook w:val="04A0" w:firstRow="1" w:lastRow="0" w:firstColumn="1" w:lastColumn="0" w:noHBand="0" w:noVBand="1"/>
      </w:tblPr>
      <w:tblGrid>
        <w:gridCol w:w="1468"/>
        <w:gridCol w:w="8900"/>
      </w:tblGrid>
      <w:tr w:rsidR="002572F7" w14:paraId="479D095E" w14:textId="77777777" w:rsidTr="00754D4C">
        <w:trPr>
          <w:trHeight w:val="909"/>
        </w:trPr>
        <w:tc>
          <w:tcPr>
            <w:tcW w:w="1468" w:type="dxa"/>
            <w:shd w:val="clear" w:color="auto" w:fill="0F6B6D"/>
            <w:tcMar>
              <w:top w:w="80" w:type="dxa"/>
              <w:left w:w="50" w:type="dxa"/>
              <w:bottom w:w="80" w:type="dxa"/>
              <w:right w:w="50" w:type="dxa"/>
            </w:tcMar>
            <w:vAlign w:val="center"/>
          </w:tcPr>
          <w:p w14:paraId="7619763D" w14:textId="77777777" w:rsidR="002572F7" w:rsidRDefault="00000000">
            <w:pPr>
              <w:spacing w:after="0"/>
              <w:jc w:val="center"/>
            </w:pPr>
            <w:r>
              <w:rPr>
                <w:b/>
                <w:color w:val="FFFFFF"/>
                <w:sz w:val="22"/>
              </w:rPr>
              <w:t>2</w:t>
            </w:r>
          </w:p>
        </w:tc>
        <w:tc>
          <w:tcPr>
            <w:tcW w:w="8900" w:type="dxa"/>
            <w:tcMar>
              <w:top w:w="40" w:type="dxa"/>
              <w:left w:w="100" w:type="dxa"/>
              <w:bottom w:w="50" w:type="dxa"/>
              <w:right w:w="100" w:type="dxa"/>
            </w:tcMar>
          </w:tcPr>
          <w:p w14:paraId="49D9E7C3" w14:textId="77777777" w:rsidR="002572F7" w:rsidRDefault="00000000">
            <w:pPr>
              <w:spacing w:after="40"/>
            </w:pPr>
            <w:r>
              <w:rPr>
                <w:b/>
                <w:color w:val="17365D"/>
              </w:rPr>
              <w:t xml:space="preserve">Build a supplier risk scorecard. </w:t>
            </w:r>
            <w:r>
              <w:t>Design an explainable way to prioritise suppliers and critical upstream nodes. The approach may consider business criticality, financial and operational indicators, geography, concentration, substitutability and network dependence. Keep evidence confidence separate from the risk assessment; missing information should not automatically be treated as low risk.</w:t>
            </w:r>
          </w:p>
        </w:tc>
      </w:tr>
    </w:tbl>
    <w:p w14:paraId="6E7D39B5" w14:textId="77777777" w:rsidR="002572F7" w:rsidRDefault="002572F7">
      <w:pPr>
        <w:spacing w:after="0"/>
      </w:pPr>
    </w:p>
    <w:tbl>
      <w:tblPr>
        <w:tblW w:w="0" w:type="auto"/>
        <w:tblLayout w:type="fixed"/>
        <w:tblLook w:val="04A0" w:firstRow="1" w:lastRow="0" w:firstColumn="1" w:lastColumn="0" w:noHBand="0" w:noVBand="1"/>
      </w:tblPr>
      <w:tblGrid>
        <w:gridCol w:w="1468"/>
        <w:gridCol w:w="8900"/>
      </w:tblGrid>
      <w:tr w:rsidR="002572F7" w14:paraId="28568930" w14:textId="77777777" w:rsidTr="00F00151">
        <w:tc>
          <w:tcPr>
            <w:tcW w:w="1468" w:type="dxa"/>
            <w:shd w:val="clear" w:color="auto" w:fill="0F6B6D"/>
            <w:tcMar>
              <w:top w:w="80" w:type="dxa"/>
              <w:left w:w="50" w:type="dxa"/>
              <w:bottom w:w="80" w:type="dxa"/>
              <w:right w:w="50" w:type="dxa"/>
            </w:tcMar>
            <w:vAlign w:val="center"/>
          </w:tcPr>
          <w:p w14:paraId="551BB76F" w14:textId="77777777" w:rsidR="002572F7" w:rsidRDefault="00000000">
            <w:pPr>
              <w:spacing w:after="0"/>
              <w:jc w:val="center"/>
            </w:pPr>
            <w:r>
              <w:rPr>
                <w:b/>
                <w:color w:val="FFFFFF"/>
                <w:sz w:val="22"/>
              </w:rPr>
              <w:t>3</w:t>
            </w:r>
          </w:p>
        </w:tc>
        <w:tc>
          <w:tcPr>
            <w:tcW w:w="8900" w:type="dxa"/>
            <w:tcMar>
              <w:top w:w="40" w:type="dxa"/>
              <w:left w:w="100" w:type="dxa"/>
              <w:bottom w:w="50" w:type="dxa"/>
              <w:right w:w="100" w:type="dxa"/>
            </w:tcMar>
          </w:tcPr>
          <w:p w14:paraId="2358FFB5" w14:textId="6B9D64C5" w:rsidR="002572F7" w:rsidRDefault="00000000">
            <w:pPr>
              <w:spacing w:after="40"/>
            </w:pPr>
            <w:r>
              <w:rPr>
                <w:b/>
                <w:color w:val="17365D"/>
              </w:rPr>
              <w:t xml:space="preserve">Enable proactive risk flagging. </w:t>
            </w:r>
            <w:r w:rsidR="00754D4C">
              <w:t xml:space="preserve">Use the </w:t>
            </w:r>
            <w:r>
              <w:t xml:space="preserve">supplied </w:t>
            </w:r>
            <w:r w:rsidR="00754D4C">
              <w:t>“E</w:t>
            </w:r>
            <w:r>
              <w:t>vent feed</w:t>
            </w:r>
            <w:r w:rsidR="00754D4C">
              <w:t>”</w:t>
            </w:r>
            <w:r>
              <w:t xml:space="preserve"> to show how an external signal is </w:t>
            </w:r>
            <w:r w:rsidR="00754D4C">
              <w:t xml:space="preserve">dynamically </w:t>
            </w:r>
            <w:r>
              <w:t>matched to the correct supplier, facility or geography</w:t>
            </w:r>
            <w:r w:rsidR="00754D4C">
              <w:t xml:space="preserve"> from the identified supplier network for </w:t>
            </w:r>
            <w:proofErr w:type="spellStart"/>
            <w:r w:rsidR="00754D4C">
              <w:t>NovaDrive</w:t>
            </w:r>
            <w:proofErr w:type="spellEnd"/>
            <w:r w:rsidR="00754D4C">
              <w:t xml:space="preserve"> </w:t>
            </w:r>
            <w:r>
              <w:t>and convert into a meaningful management alert. A useful alert should explain why it matters, the affected network context and the next action or verification required.</w:t>
            </w:r>
          </w:p>
        </w:tc>
      </w:tr>
    </w:tbl>
    <w:p w14:paraId="1AD9C663" w14:textId="77777777" w:rsidR="002572F7" w:rsidRDefault="002572F7">
      <w:pPr>
        <w:spacing w:after="0"/>
      </w:pPr>
    </w:p>
    <w:tbl>
      <w:tblPr>
        <w:tblW w:w="0" w:type="auto"/>
        <w:tblLayout w:type="fixed"/>
        <w:tblLook w:val="04A0" w:firstRow="1" w:lastRow="0" w:firstColumn="1" w:lastColumn="0" w:noHBand="0" w:noVBand="1"/>
      </w:tblPr>
      <w:tblGrid>
        <w:gridCol w:w="1468"/>
        <w:gridCol w:w="8900"/>
      </w:tblGrid>
      <w:tr w:rsidR="002572F7" w14:paraId="52516A39" w14:textId="77777777" w:rsidTr="00F00151">
        <w:tc>
          <w:tcPr>
            <w:tcW w:w="1468" w:type="dxa"/>
            <w:shd w:val="clear" w:color="auto" w:fill="0F6B6D"/>
            <w:tcMar>
              <w:top w:w="80" w:type="dxa"/>
              <w:left w:w="50" w:type="dxa"/>
              <w:bottom w:w="80" w:type="dxa"/>
              <w:right w:w="50" w:type="dxa"/>
            </w:tcMar>
            <w:vAlign w:val="center"/>
          </w:tcPr>
          <w:p w14:paraId="2F9C968A" w14:textId="77777777" w:rsidR="002572F7" w:rsidRDefault="00000000">
            <w:pPr>
              <w:spacing w:after="0"/>
              <w:jc w:val="center"/>
            </w:pPr>
            <w:r>
              <w:rPr>
                <w:b/>
                <w:color w:val="FFFFFF"/>
                <w:sz w:val="22"/>
              </w:rPr>
              <w:t>4</w:t>
            </w:r>
          </w:p>
        </w:tc>
        <w:tc>
          <w:tcPr>
            <w:tcW w:w="8900" w:type="dxa"/>
            <w:tcMar>
              <w:top w:w="40" w:type="dxa"/>
              <w:left w:w="100" w:type="dxa"/>
              <w:bottom w:w="50" w:type="dxa"/>
              <w:right w:w="100" w:type="dxa"/>
            </w:tcMar>
          </w:tcPr>
          <w:p w14:paraId="2547E60E" w14:textId="77777777" w:rsidR="002572F7" w:rsidRDefault="00000000">
            <w:pPr>
              <w:spacing w:after="40"/>
            </w:pPr>
            <w:r>
              <w:rPr>
                <w:b/>
                <w:color w:val="17365D"/>
              </w:rPr>
              <w:t xml:space="preserve">Discover and assess alternate suppliers. </w:t>
            </w:r>
            <w:r>
              <w:t>When a material supplier or upstream node is flagged, the tool should be able to search current public sources and produce a relevant shortlist of potential alternate suppliers. The shortlist should be based on the affected component and application context, not only on generic industry keywords.</w:t>
            </w:r>
          </w:p>
        </w:tc>
      </w:tr>
    </w:tbl>
    <w:p w14:paraId="1864DCF5" w14:textId="77777777" w:rsidR="002572F7" w:rsidRDefault="002572F7">
      <w:pPr>
        <w:spacing w:after="0"/>
      </w:pPr>
    </w:p>
    <w:tbl>
      <w:tblPr>
        <w:tblW w:w="0" w:type="auto"/>
        <w:tblLayout w:type="fixed"/>
        <w:tblLook w:val="04A0" w:firstRow="1" w:lastRow="0" w:firstColumn="1" w:lastColumn="0" w:noHBand="0" w:noVBand="1"/>
      </w:tblPr>
      <w:tblGrid>
        <w:gridCol w:w="1468"/>
        <w:gridCol w:w="8900"/>
      </w:tblGrid>
      <w:tr w:rsidR="002572F7" w14:paraId="137F0275" w14:textId="77777777" w:rsidTr="00F00151">
        <w:tc>
          <w:tcPr>
            <w:tcW w:w="1468" w:type="dxa"/>
            <w:shd w:val="clear" w:color="auto" w:fill="0F6B6D"/>
            <w:tcMar>
              <w:top w:w="80" w:type="dxa"/>
              <w:left w:w="50" w:type="dxa"/>
              <w:bottom w:w="80" w:type="dxa"/>
              <w:right w:w="50" w:type="dxa"/>
            </w:tcMar>
            <w:vAlign w:val="center"/>
          </w:tcPr>
          <w:p w14:paraId="707D6B15" w14:textId="77777777" w:rsidR="002572F7" w:rsidRDefault="00000000">
            <w:pPr>
              <w:spacing w:after="0"/>
              <w:jc w:val="center"/>
            </w:pPr>
            <w:r>
              <w:rPr>
                <w:b/>
                <w:color w:val="FFFFFF"/>
                <w:sz w:val="22"/>
              </w:rPr>
              <w:t>5</w:t>
            </w:r>
          </w:p>
        </w:tc>
        <w:tc>
          <w:tcPr>
            <w:tcW w:w="8900" w:type="dxa"/>
            <w:tcMar>
              <w:top w:w="40" w:type="dxa"/>
              <w:left w:w="100" w:type="dxa"/>
              <w:bottom w:w="50" w:type="dxa"/>
              <w:right w:w="100" w:type="dxa"/>
            </w:tcMar>
          </w:tcPr>
          <w:p w14:paraId="1681FACB" w14:textId="492D1D58" w:rsidR="002572F7" w:rsidRDefault="00F00151">
            <w:pPr>
              <w:spacing w:after="40"/>
            </w:pPr>
            <w:r>
              <w:rPr>
                <w:b/>
                <w:color w:val="17365D"/>
              </w:rPr>
              <w:t xml:space="preserve">Prepare a useable platform. </w:t>
            </w:r>
            <w:r>
              <w:t>Bring the network, risk assessment, alerts and alternate-supplier search into a functional CRO decision-support tool or dashboard. The user should be able to inspect the evidence behind an important conclusion instead of seeing only a static score or colour.</w:t>
            </w:r>
          </w:p>
        </w:tc>
      </w:tr>
    </w:tbl>
    <w:p w14:paraId="0A8E0BA3" w14:textId="77777777" w:rsidR="002572F7" w:rsidRDefault="002572F7">
      <w:pPr>
        <w:spacing w:after="0"/>
      </w:pPr>
    </w:p>
    <w:p w14:paraId="06612A7C" w14:textId="77777777" w:rsidR="002572F7" w:rsidRDefault="00000000">
      <w:pPr>
        <w:pStyle w:val="Heading1"/>
      </w:pPr>
      <w:r>
        <w:t>Alternate-supplier assessment</w:t>
      </w:r>
    </w:p>
    <w:p w14:paraId="533B4FE0" w14:textId="77777777" w:rsidR="00F00151" w:rsidRDefault="00F00151" w:rsidP="00F00151">
      <w:pPr>
        <w:spacing w:after="40"/>
      </w:pPr>
      <w:r>
        <w:t xml:space="preserve">The platform should be able to identify alternate suppliers (with web based </w:t>
      </w:r>
      <w:proofErr w:type="gramStart"/>
      <w:r>
        <w:t>evidences</w:t>
      </w:r>
      <w:proofErr w:type="gramEnd"/>
      <w:r>
        <w:t>) that could work as alternate for the fictional suppliers based on similarity. The tool should show the public evidence used, the date/source where practical, and what sourcing or engineering would still need to validate.</w:t>
      </w:r>
    </w:p>
    <w:p w14:paraId="58A78859" w14:textId="257423E9" w:rsidR="002572F7" w:rsidRDefault="00000000">
      <w:r>
        <w:t xml:space="preserve">For the shortlisted alternatives, define a simple and transparent initial fitment framework. The assessment may consider technical capability, application relevance, manufacturing footprint, scale, demonstrated industry presence and qualification considerations. Assess supplier risk </w:t>
      </w:r>
      <w:r w:rsidR="00F00151">
        <w:t xml:space="preserve">separately </w:t>
      </w:r>
      <w:r>
        <w:t>fitment</w:t>
      </w:r>
      <w:r w:rsidR="00F00151">
        <w:t xml:space="preserve"> scores.</w:t>
      </w:r>
    </w:p>
    <w:p w14:paraId="1CA53F42" w14:textId="77777777" w:rsidR="002572F7" w:rsidRDefault="00000000">
      <w:r>
        <w:br w:type="page"/>
      </w:r>
    </w:p>
    <w:p w14:paraId="0A788A57" w14:textId="77777777" w:rsidR="002572F7" w:rsidRDefault="00000000">
      <w:pPr>
        <w:spacing w:after="80"/>
      </w:pPr>
      <w:r>
        <w:rPr>
          <w:b/>
          <w:color w:val="0F6B6D"/>
          <w:sz w:val="17"/>
        </w:rPr>
        <w:lastRenderedPageBreak/>
        <w:t>DATA APPENDIX</w:t>
      </w:r>
    </w:p>
    <w:p w14:paraId="4D5FEA65" w14:textId="77777777" w:rsidR="002572F7" w:rsidRDefault="00000000">
      <w:pPr>
        <w:pStyle w:val="Title"/>
      </w:pPr>
      <w:r>
        <w:t>Attached case data</w:t>
      </w:r>
    </w:p>
    <w:p w14:paraId="73B006C5" w14:textId="53A13877" w:rsidR="002572F7" w:rsidRDefault="00000000">
      <w:r>
        <w:t>The accompanying Excel workbook contains six sheets. Teams may make reasonable assumptions where information is not available, provided the assumptions are stated clearly.</w:t>
      </w:r>
    </w:p>
    <w:p w14:paraId="6D84B8D3" w14:textId="77777777" w:rsidR="00F00151" w:rsidRDefault="00F00151"/>
    <w:tbl>
      <w:tblPr>
        <w:tblStyle w:val="TableGrid"/>
        <w:tblW w:w="0" w:type="auto"/>
        <w:tblInd w:w="222" w:type="dxa"/>
        <w:tblLayout w:type="fixed"/>
        <w:tblLook w:val="04A0" w:firstRow="1" w:lastRow="0" w:firstColumn="1" w:lastColumn="0" w:noHBand="0" w:noVBand="1"/>
      </w:tblPr>
      <w:tblGrid>
        <w:gridCol w:w="1843"/>
        <w:gridCol w:w="7513"/>
      </w:tblGrid>
      <w:tr w:rsidR="002572F7" w14:paraId="2C59EA90" w14:textId="77777777" w:rsidTr="00F00151">
        <w:tc>
          <w:tcPr>
            <w:tcW w:w="1843" w:type="dxa"/>
            <w:shd w:val="clear" w:color="auto" w:fill="17365D"/>
            <w:tcMar>
              <w:top w:w="70" w:type="dxa"/>
              <w:left w:w="80" w:type="dxa"/>
              <w:bottom w:w="70" w:type="dxa"/>
              <w:right w:w="80" w:type="dxa"/>
            </w:tcMar>
            <w:vAlign w:val="center"/>
          </w:tcPr>
          <w:p w14:paraId="4300AADA" w14:textId="77777777" w:rsidR="002572F7" w:rsidRDefault="00000000">
            <w:pPr>
              <w:spacing w:after="0" w:line="240" w:lineRule="auto"/>
            </w:pPr>
            <w:r>
              <w:rPr>
                <w:b/>
                <w:color w:val="FFFFFF"/>
                <w:sz w:val="17"/>
              </w:rPr>
              <w:t>Sheet</w:t>
            </w:r>
          </w:p>
        </w:tc>
        <w:tc>
          <w:tcPr>
            <w:tcW w:w="7513" w:type="dxa"/>
            <w:shd w:val="clear" w:color="auto" w:fill="17365D"/>
            <w:tcMar>
              <w:top w:w="70" w:type="dxa"/>
              <w:left w:w="80" w:type="dxa"/>
              <w:bottom w:w="70" w:type="dxa"/>
              <w:right w:w="80" w:type="dxa"/>
            </w:tcMar>
            <w:vAlign w:val="center"/>
          </w:tcPr>
          <w:p w14:paraId="0BA74DA2" w14:textId="77777777" w:rsidR="002572F7" w:rsidRDefault="00000000">
            <w:pPr>
              <w:spacing w:after="0" w:line="240" w:lineRule="auto"/>
            </w:pPr>
            <w:r>
              <w:rPr>
                <w:b/>
                <w:color w:val="FFFFFF"/>
                <w:sz w:val="17"/>
              </w:rPr>
              <w:t>What it contains</w:t>
            </w:r>
          </w:p>
        </w:tc>
      </w:tr>
      <w:tr w:rsidR="002572F7" w14:paraId="7663F484" w14:textId="77777777" w:rsidTr="00F00151">
        <w:tc>
          <w:tcPr>
            <w:tcW w:w="1843" w:type="dxa"/>
            <w:tcMar>
              <w:top w:w="70" w:type="dxa"/>
              <w:left w:w="80" w:type="dxa"/>
              <w:bottom w:w="70" w:type="dxa"/>
              <w:right w:w="80" w:type="dxa"/>
            </w:tcMar>
            <w:vAlign w:val="center"/>
          </w:tcPr>
          <w:p w14:paraId="10885E52" w14:textId="77777777" w:rsidR="002572F7" w:rsidRDefault="00000000">
            <w:pPr>
              <w:spacing w:after="0" w:line="240" w:lineRule="auto"/>
            </w:pPr>
            <w:r>
              <w:rPr>
                <w:b/>
                <w:sz w:val="17"/>
              </w:rPr>
              <w:t>Business Context</w:t>
            </w:r>
          </w:p>
        </w:tc>
        <w:tc>
          <w:tcPr>
            <w:tcW w:w="7513" w:type="dxa"/>
            <w:tcMar>
              <w:top w:w="70" w:type="dxa"/>
              <w:left w:w="80" w:type="dxa"/>
              <w:bottom w:w="70" w:type="dxa"/>
              <w:right w:w="80" w:type="dxa"/>
            </w:tcMar>
            <w:vAlign w:val="center"/>
          </w:tcPr>
          <w:p w14:paraId="5A97389E" w14:textId="77777777" w:rsidR="002572F7" w:rsidRDefault="00000000">
            <w:pPr>
              <w:spacing w:after="0" w:line="240" w:lineRule="auto"/>
            </w:pPr>
            <w:r>
              <w:rPr>
                <w:sz w:val="17"/>
              </w:rPr>
              <w:t>Product revenue, weekly volumes and manufacturing footprint for the three products in scope.</w:t>
            </w:r>
          </w:p>
        </w:tc>
      </w:tr>
      <w:tr w:rsidR="002572F7" w14:paraId="30783974" w14:textId="77777777" w:rsidTr="00F00151">
        <w:tc>
          <w:tcPr>
            <w:tcW w:w="1843" w:type="dxa"/>
            <w:tcMar>
              <w:top w:w="70" w:type="dxa"/>
              <w:left w:w="80" w:type="dxa"/>
              <w:bottom w:w="70" w:type="dxa"/>
              <w:right w:w="80" w:type="dxa"/>
            </w:tcMar>
            <w:vAlign w:val="center"/>
          </w:tcPr>
          <w:p w14:paraId="73A8541A" w14:textId="77777777" w:rsidR="002572F7" w:rsidRDefault="00000000">
            <w:pPr>
              <w:spacing w:after="0" w:line="240" w:lineRule="auto"/>
            </w:pPr>
            <w:r>
              <w:rPr>
                <w:b/>
                <w:sz w:val="17"/>
              </w:rPr>
              <w:t>Component Context</w:t>
            </w:r>
          </w:p>
        </w:tc>
        <w:tc>
          <w:tcPr>
            <w:tcW w:w="7513" w:type="dxa"/>
            <w:tcMar>
              <w:top w:w="70" w:type="dxa"/>
              <w:left w:w="80" w:type="dxa"/>
              <w:bottom w:w="70" w:type="dxa"/>
              <w:right w:w="80" w:type="dxa"/>
            </w:tcMar>
            <w:vAlign w:val="center"/>
          </w:tcPr>
          <w:p w14:paraId="1BAF55B8" w14:textId="77777777" w:rsidR="002572F7" w:rsidRDefault="00000000">
            <w:pPr>
              <w:spacing w:after="0" w:line="240" w:lineRule="auto"/>
            </w:pPr>
            <w:r>
              <w:rPr>
                <w:sz w:val="17"/>
              </w:rPr>
              <w:t>Component descriptions, product usage and screening context for network mapping and alternate-supplier search.</w:t>
            </w:r>
          </w:p>
        </w:tc>
      </w:tr>
      <w:tr w:rsidR="002572F7" w14:paraId="05F7E146" w14:textId="77777777" w:rsidTr="00F00151">
        <w:tc>
          <w:tcPr>
            <w:tcW w:w="1843" w:type="dxa"/>
            <w:tcMar>
              <w:top w:w="70" w:type="dxa"/>
              <w:left w:w="80" w:type="dxa"/>
              <w:bottom w:w="70" w:type="dxa"/>
              <w:right w:w="80" w:type="dxa"/>
            </w:tcMar>
            <w:vAlign w:val="center"/>
          </w:tcPr>
          <w:p w14:paraId="0F40E72B" w14:textId="77777777" w:rsidR="002572F7" w:rsidRDefault="00000000">
            <w:pPr>
              <w:spacing w:after="0" w:line="240" w:lineRule="auto"/>
            </w:pPr>
            <w:r>
              <w:rPr>
                <w:b/>
                <w:sz w:val="17"/>
              </w:rPr>
              <w:t>Supplier Universe</w:t>
            </w:r>
          </w:p>
        </w:tc>
        <w:tc>
          <w:tcPr>
            <w:tcW w:w="7513" w:type="dxa"/>
            <w:tcMar>
              <w:top w:w="70" w:type="dxa"/>
              <w:left w:w="80" w:type="dxa"/>
              <w:bottom w:w="70" w:type="dxa"/>
              <w:right w:w="80" w:type="dxa"/>
            </w:tcMar>
            <w:vAlign w:val="center"/>
          </w:tcPr>
          <w:p w14:paraId="47F10FCC" w14:textId="77777777" w:rsidR="002572F7" w:rsidRDefault="00000000">
            <w:pPr>
              <w:spacing w:after="0" w:line="240" w:lineRule="auto"/>
            </w:pPr>
            <w:r>
              <w:rPr>
                <w:sz w:val="17"/>
              </w:rPr>
              <w:t>Candidate organisations with entity, capability and primary-facility information. This is not a verified supplier master.</w:t>
            </w:r>
          </w:p>
        </w:tc>
      </w:tr>
      <w:tr w:rsidR="002572F7" w14:paraId="26B924A2" w14:textId="77777777" w:rsidTr="00F00151">
        <w:tc>
          <w:tcPr>
            <w:tcW w:w="1843" w:type="dxa"/>
            <w:tcMar>
              <w:top w:w="70" w:type="dxa"/>
              <w:left w:w="80" w:type="dxa"/>
              <w:bottom w:w="70" w:type="dxa"/>
              <w:right w:w="80" w:type="dxa"/>
            </w:tcMar>
            <w:vAlign w:val="center"/>
          </w:tcPr>
          <w:p w14:paraId="1189FDF1" w14:textId="77777777" w:rsidR="002572F7" w:rsidRDefault="00000000">
            <w:pPr>
              <w:spacing w:after="0" w:line="240" w:lineRule="auto"/>
            </w:pPr>
            <w:r>
              <w:rPr>
                <w:b/>
                <w:sz w:val="17"/>
              </w:rPr>
              <w:t>Relationship Evidence</w:t>
            </w:r>
          </w:p>
        </w:tc>
        <w:tc>
          <w:tcPr>
            <w:tcW w:w="7513" w:type="dxa"/>
            <w:tcMar>
              <w:top w:w="70" w:type="dxa"/>
              <w:left w:w="80" w:type="dxa"/>
              <w:bottom w:w="70" w:type="dxa"/>
              <w:right w:w="80" w:type="dxa"/>
            </w:tcMar>
            <w:vAlign w:val="center"/>
          </w:tcPr>
          <w:p w14:paraId="75DFD346" w14:textId="77777777" w:rsidR="002572F7" w:rsidRDefault="00000000">
            <w:pPr>
              <w:spacing w:after="0" w:line="240" w:lineRule="auto"/>
            </w:pPr>
            <w:r>
              <w:rPr>
                <w:sz w:val="17"/>
              </w:rPr>
              <w:t>Selected disclosures, qualification records, registry notes and shipment observations from which the current network can be reconstructed.</w:t>
            </w:r>
          </w:p>
        </w:tc>
      </w:tr>
      <w:tr w:rsidR="002572F7" w14:paraId="7435ECA7" w14:textId="77777777" w:rsidTr="00F00151">
        <w:tc>
          <w:tcPr>
            <w:tcW w:w="1843" w:type="dxa"/>
            <w:tcMar>
              <w:top w:w="70" w:type="dxa"/>
              <w:left w:w="80" w:type="dxa"/>
              <w:bottom w:w="70" w:type="dxa"/>
              <w:right w:w="80" w:type="dxa"/>
            </w:tcMar>
            <w:vAlign w:val="center"/>
          </w:tcPr>
          <w:p w14:paraId="27BF2C9A" w14:textId="77777777" w:rsidR="002572F7" w:rsidRDefault="00000000">
            <w:pPr>
              <w:spacing w:after="0" w:line="240" w:lineRule="auto"/>
            </w:pPr>
            <w:r>
              <w:rPr>
                <w:b/>
                <w:sz w:val="17"/>
              </w:rPr>
              <w:t>Risk Indicators</w:t>
            </w:r>
          </w:p>
        </w:tc>
        <w:tc>
          <w:tcPr>
            <w:tcW w:w="7513" w:type="dxa"/>
            <w:tcMar>
              <w:top w:w="70" w:type="dxa"/>
              <w:left w:w="80" w:type="dxa"/>
              <w:bottom w:w="70" w:type="dxa"/>
              <w:right w:w="80" w:type="dxa"/>
            </w:tcMar>
            <w:vAlign w:val="center"/>
          </w:tcPr>
          <w:p w14:paraId="6C1EC9F0" w14:textId="77777777" w:rsidR="002572F7" w:rsidRDefault="00000000">
            <w:pPr>
              <w:spacing w:after="0" w:line="240" w:lineRule="auto"/>
            </w:pPr>
            <w:r>
              <w:rPr>
                <w:sz w:val="17"/>
              </w:rPr>
              <w:t>Selected financial, operating and location indicators for building the supplier-risk approach.</w:t>
            </w:r>
          </w:p>
        </w:tc>
      </w:tr>
      <w:tr w:rsidR="002572F7" w14:paraId="3884C8BC" w14:textId="77777777" w:rsidTr="00F00151">
        <w:tc>
          <w:tcPr>
            <w:tcW w:w="1843" w:type="dxa"/>
            <w:tcMar>
              <w:top w:w="70" w:type="dxa"/>
              <w:left w:w="80" w:type="dxa"/>
              <w:bottom w:w="70" w:type="dxa"/>
              <w:right w:w="80" w:type="dxa"/>
            </w:tcMar>
            <w:vAlign w:val="center"/>
          </w:tcPr>
          <w:p w14:paraId="53C4B53C" w14:textId="77777777" w:rsidR="002572F7" w:rsidRDefault="00000000">
            <w:pPr>
              <w:spacing w:after="0" w:line="240" w:lineRule="auto"/>
            </w:pPr>
            <w:r>
              <w:rPr>
                <w:b/>
                <w:sz w:val="17"/>
              </w:rPr>
              <w:t>Event Feed</w:t>
            </w:r>
          </w:p>
        </w:tc>
        <w:tc>
          <w:tcPr>
            <w:tcW w:w="7513" w:type="dxa"/>
            <w:tcMar>
              <w:top w:w="70" w:type="dxa"/>
              <w:left w:w="80" w:type="dxa"/>
              <w:bottom w:w="70" w:type="dxa"/>
              <w:right w:w="80" w:type="dxa"/>
            </w:tcMar>
            <w:vAlign w:val="center"/>
          </w:tcPr>
          <w:p w14:paraId="3C698E4C" w14:textId="77777777" w:rsidR="002572F7" w:rsidRDefault="00000000">
            <w:pPr>
              <w:spacing w:after="0" w:line="240" w:lineRule="auto"/>
            </w:pPr>
            <w:r>
              <w:rPr>
                <w:sz w:val="17"/>
              </w:rPr>
              <w:t>A small simulated set of external-risk signals for testing relevance, entity matching, duplication and alert prioritisation.</w:t>
            </w:r>
          </w:p>
        </w:tc>
      </w:tr>
    </w:tbl>
    <w:p w14:paraId="7B4B9071" w14:textId="77777777" w:rsidR="00F00151" w:rsidRDefault="00F00151">
      <w:pPr>
        <w:pStyle w:val="Heading1"/>
      </w:pPr>
    </w:p>
    <w:p w14:paraId="5915A6F1" w14:textId="1BC12D53" w:rsidR="002572F7" w:rsidRDefault="00B60C90">
      <w:pPr>
        <w:pStyle w:val="Heading1"/>
      </w:pPr>
      <w:r>
        <w:t>Few guidelines for data</w:t>
      </w:r>
    </w:p>
    <w:p w14:paraId="0A1F67DB" w14:textId="212D1086" w:rsidR="002572F7" w:rsidRDefault="00000000" w:rsidP="00F00151">
      <w:pPr>
        <w:pStyle w:val="Small"/>
        <w:ind w:left="230" w:hanging="173"/>
      </w:pPr>
      <w:r>
        <w:rPr>
          <w:b/>
          <w:color w:val="0F6B6D"/>
        </w:rPr>
        <w:t xml:space="preserve">• </w:t>
      </w:r>
      <w:r w:rsidR="00F00151">
        <w:t>Consider the</w:t>
      </w:r>
      <w:r>
        <w:t xml:space="preserve"> Supplier Universe </w:t>
      </w:r>
      <w:r w:rsidR="00F00151">
        <w:t xml:space="preserve">as a </w:t>
      </w:r>
      <w:proofErr w:type="spellStart"/>
      <w:r w:rsidR="00F00151">
        <w:t>precurated</w:t>
      </w:r>
      <w:proofErr w:type="spellEnd"/>
      <w:r w:rsidR="00F00151">
        <w:t xml:space="preserve"> list, it </w:t>
      </w:r>
      <w:r>
        <w:t xml:space="preserve">does not </w:t>
      </w:r>
      <w:r w:rsidR="00F00151">
        <w:t xml:space="preserve">mean that </w:t>
      </w:r>
      <w:r>
        <w:t xml:space="preserve">that the </w:t>
      </w:r>
      <w:proofErr w:type="spellStart"/>
      <w:r>
        <w:t>organisation</w:t>
      </w:r>
      <w:proofErr w:type="spellEnd"/>
      <w:r>
        <w:t xml:space="preserve"> is part of </w:t>
      </w:r>
      <w:proofErr w:type="spellStart"/>
      <w:r>
        <w:t>NovaDrive's</w:t>
      </w:r>
      <w:proofErr w:type="spellEnd"/>
      <w:r>
        <w:t xml:space="preserve"> current supply chain.</w:t>
      </w:r>
      <w:r w:rsidR="00F00151">
        <w:t xml:space="preserve"> Use relationship evidence data to nail down the supplier </w:t>
      </w:r>
      <w:proofErr w:type="gramStart"/>
      <w:r w:rsidR="00F00151">
        <w:t>map  (</w:t>
      </w:r>
      <w:proofErr w:type="gramEnd"/>
      <w:r w:rsidR="00F00151">
        <w:t>tier-1, tier-</w:t>
      </w:r>
      <w:proofErr w:type="gramStart"/>
      <w:r w:rsidR="00F00151">
        <w:t>2..</w:t>
      </w:r>
      <w:proofErr w:type="gramEnd"/>
      <w:r w:rsidR="00F00151">
        <w:t>)</w:t>
      </w:r>
      <w:r w:rsidR="00C80738">
        <w:t xml:space="preserve"> </w:t>
      </w:r>
      <w:r w:rsidR="00F00151">
        <w:t xml:space="preserve">for </w:t>
      </w:r>
      <w:proofErr w:type="spellStart"/>
      <w:r w:rsidR="00F00151">
        <w:t>Novadrive</w:t>
      </w:r>
      <w:proofErr w:type="spellEnd"/>
      <w:r w:rsidR="00F00151">
        <w:t>.</w:t>
      </w:r>
    </w:p>
    <w:p w14:paraId="71DFE6D1" w14:textId="77777777" w:rsidR="002572F7" w:rsidRDefault="00000000">
      <w:pPr>
        <w:pStyle w:val="Small"/>
        <w:ind w:left="230" w:hanging="173"/>
      </w:pPr>
      <w:r>
        <w:rPr>
          <w:b/>
          <w:color w:val="0F6B6D"/>
        </w:rPr>
        <w:t xml:space="preserve">• </w:t>
      </w:r>
      <w:r>
        <w:t>Pay attention to the legal entity, facility, component, date and programme scope before accepting a relationship.</w:t>
      </w:r>
    </w:p>
    <w:p w14:paraId="35A6CAD9" w14:textId="77777777" w:rsidR="002572F7" w:rsidRDefault="00000000">
      <w:pPr>
        <w:pStyle w:val="Small"/>
        <w:ind w:left="230" w:hanging="173"/>
      </w:pPr>
      <w:r>
        <w:rPr>
          <w:b/>
          <w:color w:val="0F6B6D"/>
        </w:rPr>
        <w:t xml:space="preserve">• </w:t>
      </w:r>
      <w:r>
        <w:t>More records do not automatically mean more independent evidence. Repeated reports can originate from the same source family.</w:t>
      </w:r>
    </w:p>
    <w:p w14:paraId="5AC0C876" w14:textId="77777777" w:rsidR="002572F7" w:rsidRDefault="00000000">
      <w:pPr>
        <w:pStyle w:val="Small"/>
        <w:ind w:left="230" w:hanging="173"/>
      </w:pPr>
      <w:r>
        <w:rPr>
          <w:b/>
          <w:color w:val="0F6B6D"/>
        </w:rPr>
        <w:t xml:space="preserve">• </w:t>
      </w:r>
      <w:r>
        <w:t>The objective is not to map every possible upstream company. Focus on the relationships and unknowns that are material to management decisions.</w:t>
      </w:r>
    </w:p>
    <w:p w14:paraId="30D74AB5" w14:textId="48344D81" w:rsidR="002572F7" w:rsidRDefault="00000000">
      <w:pPr>
        <w:pStyle w:val="Small"/>
        <w:ind w:left="230" w:hanging="173"/>
      </w:pPr>
      <w:r>
        <w:rPr>
          <w:b/>
          <w:color w:val="0F6B6D"/>
        </w:rPr>
        <w:t xml:space="preserve">• </w:t>
      </w:r>
      <w:r>
        <w:t>For alternate suppliers, use current public sources and retain enough source traceability</w:t>
      </w:r>
      <w:r w:rsidR="00F00151">
        <w:t xml:space="preserve">, approach and framework </w:t>
      </w:r>
      <w:r>
        <w:t xml:space="preserve">for the evaluator to verify </w:t>
      </w:r>
      <w:r w:rsidR="00F00151">
        <w:t>how alternate candidates are being</w:t>
      </w:r>
      <w:r>
        <w:t xml:space="preserve"> shortlisted.</w:t>
      </w:r>
    </w:p>
    <w:sectPr w:rsidR="002572F7"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34BF9" w14:textId="77777777" w:rsidR="00A366A1" w:rsidRDefault="00A366A1">
      <w:pPr>
        <w:spacing w:after="0" w:line="240" w:lineRule="auto"/>
      </w:pPr>
      <w:r>
        <w:separator/>
      </w:r>
    </w:p>
  </w:endnote>
  <w:endnote w:type="continuationSeparator" w:id="0">
    <w:p w14:paraId="46406EEB" w14:textId="77777777" w:rsidR="00A366A1" w:rsidRDefault="00A36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FF7E" w14:textId="77777777" w:rsidR="002572F7" w:rsidRDefault="00000000">
    <w:pPr>
      <w:pStyle w:val="Footer"/>
      <w:jc w:val="right"/>
    </w:pPr>
    <w:r>
      <w:rPr>
        <w:color w:val="6E6E6E"/>
        <w:sz w:val="16"/>
      </w:rPr>
      <w:t xml:space="preserve">Project </w:t>
    </w:r>
    <w:proofErr w:type="gramStart"/>
    <w:r>
      <w:rPr>
        <w:color w:val="6E6E6E"/>
        <w:sz w:val="16"/>
      </w:rPr>
      <w:t>Lighthouse  |</w:t>
    </w:r>
    <w:proofErr w:type="gramEnd"/>
    <w:r>
      <w:rPr>
        <w:color w:val="6E6E6E"/>
        <w:sz w:val="16"/>
      </w:rPr>
      <w:t xml:space="preserve">  </w:t>
    </w:r>
    <w:r>
      <w:fldChar w:fldCharType="begin"/>
    </w:r>
    <w:r>
      <w:instrText>PAGE</w:instrText>
    </w:r>
    <w:r>
      <w:fldChar w:fldCharType="separate"/>
    </w:r>
    <w:r w:rsidR="00FC4F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33033" w14:textId="77777777" w:rsidR="00A366A1" w:rsidRDefault="00A366A1">
      <w:pPr>
        <w:spacing w:after="0" w:line="240" w:lineRule="auto"/>
      </w:pPr>
      <w:r>
        <w:separator/>
      </w:r>
    </w:p>
  </w:footnote>
  <w:footnote w:type="continuationSeparator" w:id="0">
    <w:p w14:paraId="531E1E6D" w14:textId="77777777" w:rsidR="00A366A1" w:rsidRDefault="00A36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174945">
    <w:abstractNumId w:val="8"/>
  </w:num>
  <w:num w:numId="2" w16cid:durableId="2128501979">
    <w:abstractNumId w:val="6"/>
  </w:num>
  <w:num w:numId="3" w16cid:durableId="1194076527">
    <w:abstractNumId w:val="5"/>
  </w:num>
  <w:num w:numId="4" w16cid:durableId="61485866">
    <w:abstractNumId w:val="4"/>
  </w:num>
  <w:num w:numId="5" w16cid:durableId="355732940">
    <w:abstractNumId w:val="7"/>
  </w:num>
  <w:num w:numId="6" w16cid:durableId="752432560">
    <w:abstractNumId w:val="3"/>
  </w:num>
  <w:num w:numId="7" w16cid:durableId="1069501927">
    <w:abstractNumId w:val="2"/>
  </w:num>
  <w:num w:numId="8" w16cid:durableId="840464844">
    <w:abstractNumId w:val="1"/>
  </w:num>
  <w:num w:numId="9" w16cid:durableId="214187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2F7"/>
    <w:rsid w:val="0029639D"/>
    <w:rsid w:val="00326F90"/>
    <w:rsid w:val="005A32D2"/>
    <w:rsid w:val="00754D4C"/>
    <w:rsid w:val="00A366A1"/>
    <w:rsid w:val="00A44F97"/>
    <w:rsid w:val="00AA1D8D"/>
    <w:rsid w:val="00AC348A"/>
    <w:rsid w:val="00B47730"/>
    <w:rsid w:val="00B60C90"/>
    <w:rsid w:val="00C80738"/>
    <w:rsid w:val="00CB0664"/>
    <w:rsid w:val="00E65A09"/>
    <w:rsid w:val="00F00151"/>
    <w:rsid w:val="00FC4F87"/>
    <w:rsid w:val="00FC693F"/>
    <w:rsid w:val="00FF42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15D135"/>
  <w14:defaultImageDpi w14:val="300"/>
  <w15:docId w15:val="{D4BECD4A-F597-CF45-88BB-992E9039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color w:val="282828"/>
      <w:sz w:val="21"/>
    </w:rPr>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b/>
      <w:bCs/>
      <w:color w:val="0F6B6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80" w:after="1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ptos" w:hAnsi="Aptos"/>
      <w:color w:val="46464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Khushal Pamnani</cp:lastModifiedBy>
  <cp:revision>7</cp:revision>
  <dcterms:created xsi:type="dcterms:W3CDTF">2013-12-23T23:15:00Z</dcterms:created>
  <dcterms:modified xsi:type="dcterms:W3CDTF">2026-09-28T05:16:00Z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08f079-cb92-4e71-840b-87b4ae0c550a_Enabled">
    <vt:lpwstr>true</vt:lpwstr>
  </property>
  <property fmtid="{D5CDD505-2E9C-101B-9397-08002B2CF9AE}" pid="3" name="MSIP_Label_e408f079-cb92-4e71-840b-87b4ae0c550a_SetDate">
    <vt:lpwstr>2026-09-28T05:16:06Z</vt:lpwstr>
  </property>
  <property fmtid="{D5CDD505-2E9C-101B-9397-08002B2CF9AE}" pid="4" name="MSIP_Label_e408f079-cb92-4e71-840b-87b4ae0c550a_Method">
    <vt:lpwstr>Privileged</vt:lpwstr>
  </property>
  <property fmtid="{D5CDD505-2E9C-101B-9397-08002B2CF9AE}" pid="5" name="MSIP_Label_e408f079-cb92-4e71-840b-87b4ae0c550a_Name">
    <vt:lpwstr>Public-SLV1</vt:lpwstr>
  </property>
  <property fmtid="{D5CDD505-2E9C-101B-9397-08002B2CF9AE}" pid="6" name="MSIP_Label_e408f079-cb92-4e71-840b-87b4ae0c550a_SiteId">
    <vt:lpwstr>cc8936bc-9382-4fff-87cb-6f55999549e7</vt:lpwstr>
  </property>
  <property fmtid="{D5CDD505-2E9C-101B-9397-08002B2CF9AE}" pid="7" name="MSIP_Label_e408f079-cb92-4e71-840b-87b4ae0c550a_ActionId">
    <vt:lpwstr>26e972cd-156d-4b2a-903a-c651bd8765b3</vt:lpwstr>
  </property>
  <property fmtid="{D5CDD505-2E9C-101B-9397-08002B2CF9AE}" pid="8" name="MSIP_Label_e408f079-cb92-4e71-840b-87b4ae0c550a_ContentBits">
    <vt:lpwstr>0</vt:lpwstr>
  </property>
  <property fmtid="{D5CDD505-2E9C-101B-9397-08002B2CF9AE}" pid="9" name="MSIP_Label_e408f079-cb92-4e71-840b-87b4ae0c550a_Tag">
    <vt:lpwstr>10, 0, 1, 1</vt:lpwstr>
  </property>
</Properties>
</file>