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Relative bias and variance difference between GBIT and MLE for conditional LGM parameters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cantSplit/>
          <w:trHeight w:val="427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</w:tr>
      <w:tr>
        <w:trPr>
          <w:cantSplit/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I~x1.cov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S~x1.cov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z1~I.cov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1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z1~S.cov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-4.880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-86.399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-51.529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-28.046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-7.351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p>
      <w:pPr>
        <w:pStyle w:val="Normal"/>
      </w:pPr>
      <w:r>
        <w:t xml:space="preserve"> </w:t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Relative bias and variance difference between GBIT and MLE for unconditional LGM parameters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cantSplit/>
          <w:trHeight w:val="427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VarD</w:t>
            </w:r>
          </w:p>
        </w:tc>
      </w:tr>
      <w:tr>
        <w:trPr>
          <w:cantSplit/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I~~I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body17
        <w:tc>
          <w:tcPr>
            <w:vMerge w:val="restart"/>
            <w:tcBorders>
              <w:bottom w:val="single" w:sz="1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2024-10-29T08:13:00Z</dcterms:modified>
  <cp:category/>
</cp:coreProperties>
</file>