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134A" w14:textId="23CD0C64" w:rsidR="00FE7655" w:rsidRPr="00110FA1" w:rsidRDefault="00BB2E9A" w:rsidP="00110FA1">
      <w:pPr>
        <w:spacing w:line="480" w:lineRule="auto"/>
        <w:rPr>
          <w:rFonts w:ascii="Times New Roman" w:hAnsi="Times New Roman" w:cs="Times New Roman"/>
        </w:rPr>
      </w:pPr>
      <w:r w:rsidRPr="00110FA1">
        <w:rPr>
          <w:rFonts w:ascii="Times New Roman" w:hAnsi="Times New Roman" w:cs="Times New Roman"/>
        </w:rPr>
        <w:t>Role of Universal Healthcare Coverage in Building Resilience Against the Public Health Crisis – Case Study of COVID-19 Pandemic and I</w:t>
      </w:r>
      <w:r w:rsidR="007E2801" w:rsidRPr="00110FA1">
        <w:rPr>
          <w:rFonts w:ascii="Times New Roman" w:hAnsi="Times New Roman" w:cs="Times New Roman"/>
        </w:rPr>
        <w:t>mmunization Coverage</w:t>
      </w:r>
    </w:p>
    <w:p w14:paraId="25DA8A78" w14:textId="4BFEDF58" w:rsidR="007E2801" w:rsidRPr="00110FA1" w:rsidRDefault="007E2801" w:rsidP="00110FA1">
      <w:pPr>
        <w:spacing w:line="480" w:lineRule="auto"/>
        <w:rPr>
          <w:rFonts w:ascii="Times New Roman" w:hAnsi="Times New Roman" w:cs="Times New Roman"/>
        </w:rPr>
      </w:pPr>
    </w:p>
    <w:p w14:paraId="0BAC3586" w14:textId="287824A3" w:rsidR="006F583C" w:rsidRPr="00110FA1" w:rsidRDefault="006F583C" w:rsidP="00110FA1">
      <w:pPr>
        <w:spacing w:line="480" w:lineRule="auto"/>
        <w:rPr>
          <w:rFonts w:ascii="Times New Roman" w:hAnsi="Times New Roman" w:cs="Times New Roman"/>
          <w:b/>
          <w:bCs/>
        </w:rPr>
      </w:pPr>
      <w:r w:rsidRPr="00110FA1">
        <w:rPr>
          <w:rFonts w:ascii="Times New Roman" w:hAnsi="Times New Roman" w:cs="Times New Roman"/>
          <w:b/>
          <w:bCs/>
        </w:rPr>
        <w:t>Introduction</w:t>
      </w:r>
    </w:p>
    <w:p w14:paraId="038F1CC5" w14:textId="5DEA2CE8" w:rsidR="00A24784" w:rsidRPr="00110FA1" w:rsidRDefault="00A24784" w:rsidP="00110FA1">
      <w:pPr>
        <w:spacing w:line="480" w:lineRule="auto"/>
        <w:rPr>
          <w:rFonts w:ascii="Times New Roman" w:hAnsi="Times New Roman" w:cs="Times New Roman"/>
        </w:rPr>
      </w:pPr>
      <w:r w:rsidRPr="00110FA1">
        <w:rPr>
          <w:rFonts w:ascii="Times New Roman" w:hAnsi="Times New Roman" w:cs="Times New Roman"/>
        </w:rPr>
        <w:t>Achieving u</w:t>
      </w:r>
      <w:r w:rsidRPr="00110FA1">
        <w:rPr>
          <w:rFonts w:ascii="Times New Roman" w:hAnsi="Times New Roman" w:cs="Times New Roman"/>
        </w:rPr>
        <w:t>niversal health care</w:t>
      </w:r>
      <w:r w:rsidRPr="00110FA1">
        <w:rPr>
          <w:rFonts w:ascii="Times New Roman" w:hAnsi="Times New Roman" w:cs="Times New Roman"/>
        </w:rPr>
        <w:t xml:space="preserve"> coverage (UHC) is one of the key elements of Sustainable Development Goal </w:t>
      </w:r>
      <w:r w:rsidR="00391BFD" w:rsidRPr="00110FA1">
        <w:rPr>
          <w:rFonts w:ascii="Times New Roman" w:hAnsi="Times New Roman" w:cs="Times New Roman"/>
        </w:rPr>
        <w:t xml:space="preserve">3 </w:t>
      </w:r>
      <w:r w:rsidRPr="00110FA1">
        <w:rPr>
          <w:rFonts w:ascii="Times New Roman" w:hAnsi="Times New Roman" w:cs="Times New Roman"/>
        </w:rPr>
        <w:t>(SDG</w:t>
      </w:r>
      <w:r w:rsidR="00391BFD" w:rsidRPr="00110FA1">
        <w:rPr>
          <w:rFonts w:ascii="Times New Roman" w:hAnsi="Times New Roman" w:cs="Times New Roman"/>
        </w:rPr>
        <w:t>-3</w:t>
      </w:r>
      <w:r w:rsidRPr="00110FA1">
        <w:rPr>
          <w:rFonts w:ascii="Times New Roman" w:hAnsi="Times New Roman" w:cs="Times New Roman"/>
        </w:rPr>
        <w:t xml:space="preserve">). </w:t>
      </w:r>
      <w:r w:rsidR="00937581" w:rsidRPr="00110FA1">
        <w:rPr>
          <w:rFonts w:ascii="Times New Roman" w:hAnsi="Times New Roman" w:cs="Times New Roman"/>
        </w:rPr>
        <w:t xml:space="preserve">Under </w:t>
      </w:r>
      <w:r w:rsidRPr="00110FA1">
        <w:rPr>
          <w:rFonts w:ascii="Times New Roman" w:hAnsi="Times New Roman" w:cs="Times New Roman"/>
        </w:rPr>
        <w:t>UHC</w:t>
      </w:r>
      <w:r w:rsidR="00937581" w:rsidRPr="00110FA1">
        <w:rPr>
          <w:rFonts w:ascii="Times New Roman" w:hAnsi="Times New Roman" w:cs="Times New Roman"/>
        </w:rPr>
        <w:t>, people can</w:t>
      </w:r>
      <w:r w:rsidRPr="00110FA1">
        <w:rPr>
          <w:rFonts w:ascii="Times New Roman" w:hAnsi="Times New Roman" w:cs="Times New Roman"/>
        </w:rPr>
        <w:t xml:space="preserve"> receive needed health services across the full spectrum of care</w:t>
      </w:r>
      <w:r w:rsidR="00937581" w:rsidRPr="00110FA1">
        <w:rPr>
          <w:rFonts w:ascii="Times New Roman" w:hAnsi="Times New Roman" w:cs="Times New Roman"/>
        </w:rPr>
        <w:t>,</w:t>
      </w:r>
      <w:r w:rsidRPr="00110FA1">
        <w:rPr>
          <w:rFonts w:ascii="Times New Roman" w:hAnsi="Times New Roman" w:cs="Times New Roman"/>
        </w:rPr>
        <w:t xml:space="preserve"> from treatment to prevention and health promotion, without experiencing financial hardship. </w:t>
      </w:r>
      <w:r w:rsidR="00D2056B">
        <w:rPr>
          <w:rFonts w:ascii="Times New Roman" w:hAnsi="Times New Roman" w:cs="Times New Roman"/>
        </w:rPr>
        <w:t xml:space="preserve">Positive impact of UHC has been proven in myriads of studies. ….. However, less is understood in terms of whether UHC can contribute to country’s response to public health crisis. </w:t>
      </w:r>
      <w:r w:rsidRPr="00110FA1">
        <w:rPr>
          <w:rFonts w:ascii="Times New Roman" w:hAnsi="Times New Roman" w:cs="Times New Roman"/>
        </w:rPr>
        <w:t xml:space="preserve">Country’s progress toward UHC not only requires overall health system strengthening but also a sustainable </w:t>
      </w:r>
      <w:r w:rsidR="00937581" w:rsidRPr="00110FA1">
        <w:rPr>
          <w:rFonts w:ascii="Times New Roman" w:hAnsi="Times New Roman" w:cs="Times New Roman"/>
        </w:rPr>
        <w:t>and risk-pooling</w:t>
      </w:r>
      <w:r w:rsidRPr="00110FA1">
        <w:rPr>
          <w:rFonts w:ascii="Times New Roman" w:hAnsi="Times New Roman" w:cs="Times New Roman"/>
        </w:rPr>
        <w:t xml:space="preserve"> funding mechanism. As a result, </w:t>
      </w:r>
      <w:r w:rsidR="00D2056B">
        <w:rPr>
          <w:rFonts w:ascii="Times New Roman" w:hAnsi="Times New Roman" w:cs="Times New Roman"/>
        </w:rPr>
        <w:t xml:space="preserve">in theory, </w:t>
      </w:r>
      <w:r w:rsidRPr="00110FA1">
        <w:rPr>
          <w:rFonts w:ascii="Times New Roman" w:hAnsi="Times New Roman" w:cs="Times New Roman"/>
        </w:rPr>
        <w:t xml:space="preserve">countries who achieved UHC </w:t>
      </w:r>
      <w:r w:rsidR="00D2056B">
        <w:rPr>
          <w:rFonts w:ascii="Times New Roman" w:hAnsi="Times New Roman" w:cs="Times New Roman"/>
        </w:rPr>
        <w:t>should</w:t>
      </w:r>
      <w:r w:rsidRPr="00110FA1">
        <w:rPr>
          <w:rFonts w:ascii="Times New Roman" w:hAnsi="Times New Roman" w:cs="Times New Roman"/>
        </w:rPr>
        <w:t xml:space="preserve"> be more agile at responding to public health crisis and more resilient to external shocks.</w:t>
      </w:r>
    </w:p>
    <w:p w14:paraId="2422592F" w14:textId="7A70513D" w:rsidR="006F583C" w:rsidRPr="00110FA1" w:rsidRDefault="006F583C" w:rsidP="00110FA1">
      <w:pPr>
        <w:spacing w:line="480" w:lineRule="auto"/>
        <w:ind w:firstLine="720"/>
        <w:rPr>
          <w:rFonts w:ascii="Times New Roman" w:hAnsi="Times New Roman" w:cs="Times New Roman"/>
        </w:rPr>
      </w:pPr>
      <w:r w:rsidRPr="00110FA1">
        <w:rPr>
          <w:rFonts w:ascii="Times New Roman" w:hAnsi="Times New Roman" w:cs="Times New Roman"/>
        </w:rPr>
        <w:t xml:space="preserve">COVID-19 </w:t>
      </w:r>
      <w:r w:rsidR="00937581" w:rsidRPr="00110FA1">
        <w:rPr>
          <w:rFonts w:ascii="Times New Roman" w:hAnsi="Times New Roman" w:cs="Times New Roman"/>
        </w:rPr>
        <w:t>pandemic has been</w:t>
      </w:r>
      <w:r w:rsidRPr="00110FA1">
        <w:rPr>
          <w:rFonts w:ascii="Times New Roman" w:hAnsi="Times New Roman" w:cs="Times New Roman"/>
        </w:rPr>
        <w:t xml:space="preserve"> a public health crisis of the scale like no other. Across the globe, </w:t>
      </w:r>
      <w:r w:rsidR="00937581" w:rsidRPr="00110FA1">
        <w:rPr>
          <w:rFonts w:ascii="Times New Roman" w:hAnsi="Times New Roman" w:cs="Times New Roman"/>
        </w:rPr>
        <w:t xml:space="preserve">over the past year, </w:t>
      </w:r>
      <w:r w:rsidRPr="00110FA1">
        <w:rPr>
          <w:rFonts w:ascii="Times New Roman" w:hAnsi="Times New Roman" w:cs="Times New Roman"/>
        </w:rPr>
        <w:t xml:space="preserve">it has posed severe burden on country’s healthcare system, causing </w:t>
      </w:r>
      <w:r w:rsidR="00937581" w:rsidRPr="00110FA1">
        <w:rPr>
          <w:rFonts w:ascii="Times New Roman" w:hAnsi="Times New Roman" w:cs="Times New Roman"/>
        </w:rPr>
        <w:t xml:space="preserve">varying degrees of </w:t>
      </w:r>
      <w:r w:rsidRPr="00110FA1">
        <w:rPr>
          <w:rFonts w:ascii="Times New Roman" w:hAnsi="Times New Roman" w:cs="Times New Roman"/>
        </w:rPr>
        <w:t xml:space="preserve">disruption in essential and needed care </w:t>
      </w:r>
      <w:r w:rsidR="00937581" w:rsidRPr="00110FA1">
        <w:rPr>
          <w:rFonts w:ascii="Times New Roman" w:hAnsi="Times New Roman" w:cs="Times New Roman"/>
        </w:rPr>
        <w:t>delivery</w:t>
      </w:r>
      <w:r w:rsidR="00A24784" w:rsidRPr="00110FA1">
        <w:rPr>
          <w:rFonts w:ascii="Times New Roman" w:hAnsi="Times New Roman" w:cs="Times New Roman"/>
        </w:rPr>
        <w:t>.</w:t>
      </w:r>
      <w:r w:rsidR="00AB7DF9" w:rsidRPr="00110FA1">
        <w:rPr>
          <w:rFonts w:ascii="Times New Roman" w:hAnsi="Times New Roman" w:cs="Times New Roman"/>
        </w:rPr>
        <w:t xml:space="preserve"> From the ballpark perspective, country’s progress toward UHC before COVID-19 seems almost irrelevant to the amount of damage </w:t>
      </w:r>
      <w:r w:rsidR="00937581" w:rsidRPr="00110FA1">
        <w:rPr>
          <w:rFonts w:ascii="Times New Roman" w:hAnsi="Times New Roman" w:cs="Times New Roman"/>
        </w:rPr>
        <w:t>any country has received</w:t>
      </w:r>
      <w:r w:rsidR="00AB7DF9" w:rsidRPr="00110FA1">
        <w:rPr>
          <w:rFonts w:ascii="Times New Roman" w:hAnsi="Times New Roman" w:cs="Times New Roman"/>
        </w:rPr>
        <w:t xml:space="preserve">. </w:t>
      </w:r>
      <w:r w:rsidR="00391BFD" w:rsidRPr="00110FA1">
        <w:rPr>
          <w:rFonts w:ascii="Times New Roman" w:hAnsi="Times New Roman" w:cs="Times New Roman"/>
        </w:rPr>
        <w:t>In addition, m</w:t>
      </w:r>
      <w:r w:rsidR="00AB7DF9" w:rsidRPr="00110FA1">
        <w:rPr>
          <w:rFonts w:ascii="Times New Roman" w:hAnsi="Times New Roman" w:cs="Times New Roman"/>
        </w:rPr>
        <w:t xml:space="preserve">easuring COVID-19’s impact on country’s health system is challenging </w:t>
      </w:r>
      <w:proofErr w:type="gramStart"/>
      <w:r w:rsidR="00391BFD" w:rsidRPr="00110FA1">
        <w:rPr>
          <w:rFonts w:ascii="Times New Roman" w:hAnsi="Times New Roman" w:cs="Times New Roman"/>
        </w:rPr>
        <w:t>at the moment</w:t>
      </w:r>
      <w:proofErr w:type="gramEnd"/>
      <w:r w:rsidR="00AB7DF9" w:rsidRPr="00110FA1">
        <w:rPr>
          <w:rFonts w:ascii="Times New Roman" w:hAnsi="Times New Roman" w:cs="Times New Roman"/>
        </w:rPr>
        <w:t xml:space="preserve"> due to the innate delay in relevant statistics being released</w:t>
      </w:r>
      <w:r w:rsidR="00391BFD" w:rsidRPr="00110FA1">
        <w:rPr>
          <w:rFonts w:ascii="Times New Roman" w:hAnsi="Times New Roman" w:cs="Times New Roman"/>
        </w:rPr>
        <w:t>. For example, globally compiled annual health statistics, such as maternal and child mortality, or infectious disease-attributed morbidity and mortality</w:t>
      </w:r>
      <w:r w:rsidR="00937581" w:rsidRPr="00110FA1">
        <w:rPr>
          <w:rFonts w:ascii="Times New Roman" w:hAnsi="Times New Roman" w:cs="Times New Roman"/>
        </w:rPr>
        <w:t xml:space="preserve"> by country</w:t>
      </w:r>
      <w:r w:rsidR="00391BFD" w:rsidRPr="00110FA1">
        <w:rPr>
          <w:rFonts w:ascii="Times New Roman" w:hAnsi="Times New Roman" w:cs="Times New Roman"/>
        </w:rPr>
        <w:t xml:space="preserve">, </w:t>
      </w:r>
      <w:r w:rsidR="00937581" w:rsidRPr="00110FA1">
        <w:rPr>
          <w:rFonts w:ascii="Times New Roman" w:hAnsi="Times New Roman" w:cs="Times New Roman"/>
        </w:rPr>
        <w:t>requires at least a year before it gets released</w:t>
      </w:r>
      <w:r w:rsidR="00391BFD" w:rsidRPr="00110FA1">
        <w:rPr>
          <w:rFonts w:ascii="Times New Roman" w:hAnsi="Times New Roman" w:cs="Times New Roman"/>
        </w:rPr>
        <w:t xml:space="preserve">. </w:t>
      </w:r>
      <w:r w:rsidR="00AB7DF9" w:rsidRPr="00110FA1">
        <w:rPr>
          <w:rFonts w:ascii="Times New Roman" w:hAnsi="Times New Roman" w:cs="Times New Roman"/>
        </w:rPr>
        <w:t xml:space="preserve">Due to the over-burdened health system across the globe, </w:t>
      </w:r>
      <w:r w:rsidR="00391BFD" w:rsidRPr="00110FA1">
        <w:rPr>
          <w:rFonts w:ascii="Times New Roman" w:hAnsi="Times New Roman" w:cs="Times New Roman"/>
        </w:rPr>
        <w:t xml:space="preserve">this delay will most likely be longer for the 2020 data. However, timely evidence synthesis to </w:t>
      </w:r>
      <w:r w:rsidR="00391BFD" w:rsidRPr="00110FA1">
        <w:rPr>
          <w:rFonts w:ascii="Times New Roman" w:hAnsi="Times New Roman" w:cs="Times New Roman"/>
        </w:rPr>
        <w:lastRenderedPageBreak/>
        <w:t>understand the importance of UHC in building system’s resilience against the external shock like COVID-19 pandemic is critical for policymakers to be better prepared for the next public health crises.</w:t>
      </w:r>
      <w:r w:rsidR="00D2056B">
        <w:rPr>
          <w:rFonts w:ascii="Times New Roman" w:hAnsi="Times New Roman" w:cs="Times New Roman"/>
        </w:rPr>
        <w:t xml:space="preserve"> In addition, under the setting where, due to both logistical and ethical reasons, synthesis of high-level evidence on causal effect of the UHC on country’s response to public health crisis is challenging, COVID-19 pandemic can serve as a perfect natural experiment.</w:t>
      </w:r>
    </w:p>
    <w:p w14:paraId="05C2E618" w14:textId="402D33A4" w:rsidR="00A24784" w:rsidRPr="00110FA1" w:rsidRDefault="00A24784" w:rsidP="00110FA1">
      <w:pPr>
        <w:spacing w:line="480" w:lineRule="auto"/>
        <w:ind w:firstLine="720"/>
        <w:rPr>
          <w:rFonts w:ascii="Times New Roman" w:hAnsi="Times New Roman" w:cs="Times New Roman"/>
        </w:rPr>
      </w:pPr>
      <w:r w:rsidRPr="00110FA1">
        <w:rPr>
          <w:rFonts w:ascii="Times New Roman" w:hAnsi="Times New Roman" w:cs="Times New Roman"/>
        </w:rPr>
        <w:t xml:space="preserve">Immunization is part of the essential health services </w:t>
      </w:r>
      <w:r w:rsidR="00AB7DF9" w:rsidRPr="00110FA1">
        <w:rPr>
          <w:rFonts w:ascii="Times New Roman" w:hAnsi="Times New Roman" w:cs="Times New Roman"/>
        </w:rPr>
        <w:t xml:space="preserve">in any given country. Every country is equipped with its national immunization program, aiming to provide universal access to all relevant vaccines to susceptible population. For example, child immunization represented by DTP-3 coverage among children and HPV vaccine coverage among teenage population are one of the composites of UHC essential service coverage index score calculated by the World Health Organization (WHO) for each country. </w:t>
      </w:r>
      <w:r w:rsidR="00391BFD" w:rsidRPr="00110FA1">
        <w:rPr>
          <w:rFonts w:ascii="Times New Roman" w:hAnsi="Times New Roman" w:cs="Times New Roman"/>
        </w:rPr>
        <w:t xml:space="preserve">Access to safe and effective vaccines is also explicitly called out in the SDG-3. Even in resource constrained countries, where health service provision is poor, immunization </w:t>
      </w:r>
      <w:r w:rsidR="00940D6D" w:rsidRPr="00110FA1">
        <w:rPr>
          <w:rFonts w:ascii="Times New Roman" w:hAnsi="Times New Roman" w:cs="Times New Roman"/>
        </w:rPr>
        <w:t>programs perform relatively well compared to other service areas. For example, the second dose coverage of measles-</w:t>
      </w:r>
      <w:r w:rsidR="00937581" w:rsidRPr="00110FA1">
        <w:rPr>
          <w:rFonts w:ascii="Times New Roman" w:hAnsi="Times New Roman" w:cs="Times New Roman"/>
        </w:rPr>
        <w:t>containing</w:t>
      </w:r>
      <w:r w:rsidR="00940D6D" w:rsidRPr="00110FA1">
        <w:rPr>
          <w:rFonts w:ascii="Times New Roman" w:hAnsi="Times New Roman" w:cs="Times New Roman"/>
        </w:rPr>
        <w:t xml:space="preserve"> vaccine (MCV-2) in </w:t>
      </w:r>
      <w:proofErr w:type="gramStart"/>
      <w:r w:rsidR="00940D6D" w:rsidRPr="00110FA1">
        <w:rPr>
          <w:rFonts w:ascii="Times New Roman" w:hAnsi="Times New Roman" w:cs="Times New Roman"/>
        </w:rPr>
        <w:t>low income</w:t>
      </w:r>
      <w:proofErr w:type="gramEnd"/>
      <w:r w:rsidR="00940D6D" w:rsidRPr="00110FA1">
        <w:rPr>
          <w:rFonts w:ascii="Times New Roman" w:hAnsi="Times New Roman" w:cs="Times New Roman"/>
        </w:rPr>
        <w:t xml:space="preserve"> countries is around 61.3%, 30% less than 90.5% coverage in high income countries, whereas </w:t>
      </w:r>
      <w:r w:rsidR="00955569" w:rsidRPr="00110FA1">
        <w:rPr>
          <w:rFonts w:ascii="Times New Roman" w:hAnsi="Times New Roman" w:cs="Times New Roman"/>
        </w:rPr>
        <w:t xml:space="preserve">……… </w:t>
      </w:r>
      <w:r w:rsidR="00937581" w:rsidRPr="00110FA1">
        <w:rPr>
          <w:rFonts w:ascii="Times New Roman" w:hAnsi="Times New Roman" w:cs="Times New Roman"/>
        </w:rPr>
        <w:t>In this sense</w:t>
      </w:r>
      <w:r w:rsidR="00391BFD" w:rsidRPr="00110FA1">
        <w:rPr>
          <w:rFonts w:ascii="Times New Roman" w:hAnsi="Times New Roman" w:cs="Times New Roman"/>
        </w:rPr>
        <w:t xml:space="preserve">, effective immunization coverage for selected </w:t>
      </w:r>
      <w:r w:rsidR="00955569" w:rsidRPr="00110FA1">
        <w:rPr>
          <w:rFonts w:ascii="Times New Roman" w:hAnsi="Times New Roman" w:cs="Times New Roman"/>
        </w:rPr>
        <w:t xml:space="preserve">subset of </w:t>
      </w:r>
      <w:r w:rsidR="00937581" w:rsidRPr="00110FA1">
        <w:rPr>
          <w:rFonts w:ascii="Times New Roman" w:hAnsi="Times New Roman" w:cs="Times New Roman"/>
        </w:rPr>
        <w:t xml:space="preserve">essential </w:t>
      </w:r>
      <w:r w:rsidR="00391BFD" w:rsidRPr="00110FA1">
        <w:rPr>
          <w:rFonts w:ascii="Times New Roman" w:hAnsi="Times New Roman" w:cs="Times New Roman"/>
        </w:rPr>
        <w:t xml:space="preserve">vaccines could serve as a relatively objective indicator </w:t>
      </w:r>
      <w:r w:rsidR="00955569" w:rsidRPr="00110FA1">
        <w:rPr>
          <w:rFonts w:ascii="Times New Roman" w:hAnsi="Times New Roman" w:cs="Times New Roman"/>
        </w:rPr>
        <w:t xml:space="preserve">to measure </w:t>
      </w:r>
      <w:r w:rsidR="00937581" w:rsidRPr="00110FA1">
        <w:rPr>
          <w:rFonts w:ascii="Times New Roman" w:hAnsi="Times New Roman" w:cs="Times New Roman"/>
        </w:rPr>
        <w:t xml:space="preserve">any fracture in </w:t>
      </w:r>
      <w:r w:rsidR="00955569" w:rsidRPr="00110FA1">
        <w:rPr>
          <w:rFonts w:ascii="Times New Roman" w:hAnsi="Times New Roman" w:cs="Times New Roman"/>
        </w:rPr>
        <w:t xml:space="preserve">resilience of the health system. </w:t>
      </w:r>
    </w:p>
    <w:p w14:paraId="6D05813F" w14:textId="44C137D6" w:rsidR="00955569" w:rsidRPr="00110FA1" w:rsidRDefault="00937581" w:rsidP="00110FA1">
      <w:pPr>
        <w:spacing w:line="480" w:lineRule="auto"/>
        <w:ind w:firstLine="720"/>
        <w:rPr>
          <w:rFonts w:ascii="Times New Roman" w:hAnsi="Times New Roman" w:cs="Times New Roman"/>
        </w:rPr>
      </w:pPr>
      <w:r w:rsidRPr="00110FA1">
        <w:rPr>
          <w:rFonts w:ascii="Times New Roman" w:hAnsi="Times New Roman" w:cs="Times New Roman"/>
        </w:rPr>
        <w:t xml:space="preserve">In this paper, we aimed to demonstrate </w:t>
      </w:r>
      <w:r w:rsidR="00955569" w:rsidRPr="00110FA1">
        <w:rPr>
          <w:rFonts w:ascii="Times New Roman" w:hAnsi="Times New Roman" w:cs="Times New Roman"/>
        </w:rPr>
        <w:t xml:space="preserve">the role of UHC in building country’s health system resilience </w:t>
      </w:r>
      <w:r w:rsidRPr="00110FA1">
        <w:rPr>
          <w:rFonts w:ascii="Times New Roman" w:hAnsi="Times New Roman" w:cs="Times New Roman"/>
        </w:rPr>
        <w:t xml:space="preserve">against the public health crisis. To do so, we adopted a quasi-experimental difference-in-difference design to assess the pre-post difference in immunization coverage based on country’s progress towards UHC. The findings from our study </w:t>
      </w:r>
      <w:r w:rsidR="00A334B9" w:rsidRPr="00110FA1">
        <w:rPr>
          <w:rFonts w:ascii="Times New Roman" w:hAnsi="Times New Roman" w:cs="Times New Roman"/>
        </w:rPr>
        <w:t xml:space="preserve">will show the significant role of UHC not only in times of peace but also in times of crisis. </w:t>
      </w:r>
      <w:r w:rsidR="00955569" w:rsidRPr="00110FA1">
        <w:rPr>
          <w:rFonts w:ascii="Times New Roman" w:hAnsi="Times New Roman" w:cs="Times New Roman"/>
        </w:rPr>
        <w:t xml:space="preserve"> </w:t>
      </w:r>
    </w:p>
    <w:p w14:paraId="10A0715E" w14:textId="77777777" w:rsidR="00AB7DF9" w:rsidRPr="00110FA1" w:rsidRDefault="00AB7DF9" w:rsidP="00110FA1">
      <w:pPr>
        <w:spacing w:line="480" w:lineRule="auto"/>
        <w:rPr>
          <w:rFonts w:ascii="Times New Roman" w:hAnsi="Times New Roman" w:cs="Times New Roman"/>
        </w:rPr>
      </w:pPr>
    </w:p>
    <w:p w14:paraId="7DF80E67" w14:textId="5768829B" w:rsidR="006F583C" w:rsidRPr="00110FA1" w:rsidRDefault="006F583C" w:rsidP="00110FA1">
      <w:pPr>
        <w:spacing w:line="480" w:lineRule="auto"/>
        <w:rPr>
          <w:rFonts w:ascii="Times New Roman" w:hAnsi="Times New Roman" w:cs="Times New Roman"/>
          <w:b/>
          <w:bCs/>
        </w:rPr>
      </w:pPr>
      <w:r w:rsidRPr="00110FA1">
        <w:rPr>
          <w:rFonts w:ascii="Times New Roman" w:hAnsi="Times New Roman" w:cs="Times New Roman"/>
          <w:b/>
          <w:bCs/>
        </w:rPr>
        <w:t>Method</w:t>
      </w:r>
    </w:p>
    <w:p w14:paraId="5F676AEB" w14:textId="44CFD624" w:rsidR="000F7C71" w:rsidRPr="00110FA1" w:rsidRDefault="000F7C71" w:rsidP="00110FA1">
      <w:pPr>
        <w:spacing w:line="480" w:lineRule="auto"/>
        <w:rPr>
          <w:rFonts w:ascii="Times New Roman" w:hAnsi="Times New Roman" w:cs="Times New Roman"/>
        </w:rPr>
      </w:pPr>
      <w:r w:rsidRPr="00110FA1">
        <w:rPr>
          <w:rFonts w:ascii="Times New Roman" w:hAnsi="Times New Roman" w:cs="Times New Roman"/>
        </w:rPr>
        <w:t>Data</w:t>
      </w:r>
    </w:p>
    <w:p w14:paraId="7A028275" w14:textId="66FB0D68" w:rsidR="00B0059C" w:rsidRPr="00110FA1" w:rsidRDefault="00B0059C" w:rsidP="00110FA1">
      <w:pPr>
        <w:spacing w:line="480" w:lineRule="auto"/>
        <w:rPr>
          <w:rFonts w:ascii="Times New Roman" w:hAnsi="Times New Roman" w:cs="Times New Roman"/>
        </w:rPr>
      </w:pPr>
      <w:r w:rsidRPr="00110FA1">
        <w:rPr>
          <w:rFonts w:ascii="Times New Roman" w:hAnsi="Times New Roman" w:cs="Times New Roman"/>
        </w:rPr>
        <w:t>We used the WHO-UNICEF joint estima</w:t>
      </w:r>
      <w:r w:rsidR="003A62DC" w:rsidRPr="00110FA1">
        <w:rPr>
          <w:rFonts w:ascii="Times New Roman" w:hAnsi="Times New Roman" w:cs="Times New Roman"/>
        </w:rPr>
        <w:t>t</w:t>
      </w:r>
      <w:r w:rsidRPr="00110FA1">
        <w:rPr>
          <w:rFonts w:ascii="Times New Roman" w:hAnsi="Times New Roman" w:cs="Times New Roman"/>
        </w:rPr>
        <w:t>es of immunization coverage</w:t>
      </w:r>
      <w:r w:rsidR="003A62DC" w:rsidRPr="00110FA1">
        <w:rPr>
          <w:rFonts w:ascii="Times New Roman" w:hAnsi="Times New Roman" w:cs="Times New Roman"/>
        </w:rPr>
        <w:t xml:space="preserve"> available on the UNICEF website. This data contains an immunization coverage in absolute number and percentage by country, by year, and by type of vaccines</w:t>
      </w:r>
      <w:r w:rsidR="00BB2E9A" w:rsidRPr="00110FA1">
        <w:rPr>
          <w:rFonts w:ascii="Times New Roman" w:hAnsi="Times New Roman" w:cs="Times New Roman"/>
        </w:rPr>
        <w:t>, and covers</w:t>
      </w:r>
      <w:r w:rsidR="003A62DC" w:rsidRPr="00110FA1">
        <w:rPr>
          <w:rFonts w:ascii="Times New Roman" w:hAnsi="Times New Roman" w:cs="Times New Roman"/>
        </w:rPr>
        <w:t xml:space="preserve"> 1</w:t>
      </w:r>
      <w:r w:rsidR="00D430F9">
        <w:rPr>
          <w:rFonts w:ascii="Times New Roman" w:hAnsi="Times New Roman" w:cs="Times New Roman"/>
        </w:rPr>
        <w:t>80</w:t>
      </w:r>
      <w:r w:rsidR="003A62DC" w:rsidRPr="00110FA1">
        <w:rPr>
          <w:rFonts w:ascii="Times New Roman" w:hAnsi="Times New Roman" w:cs="Times New Roman"/>
        </w:rPr>
        <w:t xml:space="preserve"> countries and 14 types of vaccines between </w:t>
      </w:r>
      <w:r w:rsidR="00BB2E9A" w:rsidRPr="00110FA1">
        <w:rPr>
          <w:rFonts w:ascii="Times New Roman" w:hAnsi="Times New Roman" w:cs="Times New Roman"/>
        </w:rPr>
        <w:t xml:space="preserve">year </w:t>
      </w:r>
      <w:r w:rsidR="003A62DC" w:rsidRPr="00110FA1">
        <w:rPr>
          <w:rFonts w:ascii="Times New Roman" w:hAnsi="Times New Roman" w:cs="Times New Roman"/>
        </w:rPr>
        <w:t>199</w:t>
      </w:r>
      <w:r w:rsidR="00231E6C">
        <w:rPr>
          <w:rFonts w:ascii="Times New Roman" w:hAnsi="Times New Roman" w:cs="Times New Roman"/>
        </w:rPr>
        <w:t>7</w:t>
      </w:r>
      <w:r w:rsidR="003A62DC" w:rsidRPr="00110FA1">
        <w:rPr>
          <w:rFonts w:ascii="Times New Roman" w:hAnsi="Times New Roman" w:cs="Times New Roman"/>
        </w:rPr>
        <w:t xml:space="preserve"> and 2020. We then merged the immunization data with the UHC service coverage index 2019 </w:t>
      </w:r>
      <w:r w:rsidR="00BB2E9A" w:rsidRPr="00110FA1">
        <w:rPr>
          <w:rFonts w:ascii="Times New Roman" w:hAnsi="Times New Roman" w:cs="Times New Roman"/>
        </w:rPr>
        <w:t xml:space="preserve">(UHC SCI 2019) </w:t>
      </w:r>
      <w:r w:rsidR="003A62DC" w:rsidRPr="00110FA1">
        <w:rPr>
          <w:rFonts w:ascii="Times New Roman" w:hAnsi="Times New Roman" w:cs="Times New Roman"/>
        </w:rPr>
        <w:t xml:space="preserve">from </w:t>
      </w:r>
      <w:r w:rsidR="00BB2E9A" w:rsidRPr="00110FA1">
        <w:rPr>
          <w:rFonts w:ascii="Times New Roman" w:hAnsi="Times New Roman" w:cs="Times New Roman"/>
        </w:rPr>
        <w:t xml:space="preserve">the </w:t>
      </w:r>
      <w:r w:rsidR="003A62DC" w:rsidRPr="00110FA1">
        <w:rPr>
          <w:rFonts w:ascii="Times New Roman" w:hAnsi="Times New Roman" w:cs="Times New Roman"/>
        </w:rPr>
        <w:t>Institute for Health Metrics and Evaluation (IHME)</w:t>
      </w:r>
      <w:r w:rsidR="003A62DC" w:rsidRPr="00110FA1">
        <w:rPr>
          <w:rFonts w:ascii="Times New Roman" w:hAnsi="Times New Roman" w:cs="Times New Roman"/>
        </w:rPr>
        <w:t xml:space="preserve"> by matching t</w:t>
      </w:r>
      <w:r w:rsidR="00BB2E9A" w:rsidRPr="00110FA1">
        <w:rPr>
          <w:rFonts w:ascii="Times New Roman" w:hAnsi="Times New Roman" w:cs="Times New Roman"/>
        </w:rPr>
        <w:t>wo data by</w:t>
      </w:r>
      <w:r w:rsidR="003A62DC" w:rsidRPr="00110FA1">
        <w:rPr>
          <w:rFonts w:ascii="Times New Roman" w:hAnsi="Times New Roman" w:cs="Times New Roman"/>
        </w:rPr>
        <w:t xml:space="preserve"> country. In addition, we merged World Bank’s data on country’s income group classification to assign each country into a category of High, Upper Middle, Lower </w:t>
      </w:r>
      <w:proofErr w:type="gramStart"/>
      <w:r w:rsidR="003A62DC" w:rsidRPr="00110FA1">
        <w:rPr>
          <w:rFonts w:ascii="Times New Roman" w:hAnsi="Times New Roman" w:cs="Times New Roman"/>
        </w:rPr>
        <w:t>Middle, or Low income</w:t>
      </w:r>
      <w:proofErr w:type="gramEnd"/>
      <w:r w:rsidR="003A62DC" w:rsidRPr="00110FA1">
        <w:rPr>
          <w:rFonts w:ascii="Times New Roman" w:hAnsi="Times New Roman" w:cs="Times New Roman"/>
        </w:rPr>
        <w:t xml:space="preserve"> country. </w:t>
      </w:r>
      <w:r w:rsidR="000240AD">
        <w:rPr>
          <w:rFonts w:ascii="Times New Roman" w:hAnsi="Times New Roman" w:cs="Times New Roman"/>
        </w:rPr>
        <w:t>The full list of countries with their UHC SCI 2019 (Table S1-</w:t>
      </w:r>
      <w:r w:rsidR="00980FF4">
        <w:rPr>
          <w:rFonts w:ascii="Times New Roman" w:hAnsi="Times New Roman" w:cs="Times New Roman"/>
        </w:rPr>
        <w:t>1</w:t>
      </w:r>
      <w:r w:rsidR="000240AD">
        <w:rPr>
          <w:rFonts w:ascii="Times New Roman" w:hAnsi="Times New Roman" w:cs="Times New Roman"/>
        </w:rPr>
        <w:t>), as well as a</w:t>
      </w:r>
      <w:r w:rsidR="003A62DC" w:rsidRPr="00110FA1">
        <w:rPr>
          <w:rFonts w:ascii="Times New Roman" w:hAnsi="Times New Roman" w:cs="Times New Roman"/>
        </w:rPr>
        <w:t xml:space="preserve"> complete dataset used in the analysis is provided in the supplementary material. </w:t>
      </w:r>
    </w:p>
    <w:p w14:paraId="60AE5241" w14:textId="77777777" w:rsidR="003A62DC" w:rsidRPr="00110FA1" w:rsidRDefault="003A62DC" w:rsidP="00110FA1">
      <w:pPr>
        <w:spacing w:line="480" w:lineRule="auto"/>
        <w:rPr>
          <w:rFonts w:ascii="Times New Roman" w:hAnsi="Times New Roman" w:cs="Times New Roman"/>
        </w:rPr>
      </w:pPr>
    </w:p>
    <w:p w14:paraId="5BC54A64" w14:textId="0B8DF9A1" w:rsidR="000F7C71" w:rsidRPr="00110FA1" w:rsidRDefault="000F7C71" w:rsidP="00110FA1">
      <w:pPr>
        <w:spacing w:line="480" w:lineRule="auto"/>
        <w:rPr>
          <w:rFonts w:ascii="Times New Roman" w:hAnsi="Times New Roman" w:cs="Times New Roman"/>
        </w:rPr>
      </w:pPr>
      <w:r w:rsidRPr="00110FA1">
        <w:rPr>
          <w:rFonts w:ascii="Times New Roman" w:hAnsi="Times New Roman" w:cs="Times New Roman"/>
        </w:rPr>
        <w:t>Analysis</w:t>
      </w:r>
    </w:p>
    <w:p w14:paraId="3EB8B3F4" w14:textId="5A9774F7" w:rsidR="00790D95" w:rsidRPr="00110FA1" w:rsidRDefault="0089771A" w:rsidP="00110FA1">
      <w:pPr>
        <w:spacing w:line="480" w:lineRule="auto"/>
        <w:rPr>
          <w:rFonts w:ascii="Times New Roman" w:hAnsi="Times New Roman" w:cs="Times New Roman"/>
        </w:rPr>
      </w:pPr>
      <w:r>
        <w:rPr>
          <w:rFonts w:ascii="Times New Roman" w:hAnsi="Times New Roman" w:cs="Times New Roman"/>
        </w:rPr>
        <w:t>Our main hypothesis was that higher progress towards UHC enables country’s health system to be more resilient to the external shocks, such as COVID-19 pandemic. To test this hypothesis, w</w:t>
      </w:r>
      <w:r w:rsidR="0027494D" w:rsidRPr="00110FA1">
        <w:rPr>
          <w:rFonts w:ascii="Times New Roman" w:hAnsi="Times New Roman" w:cs="Times New Roman"/>
        </w:rPr>
        <w:t>e adopted the concept of quasi-experimental design using difference-in-difference</w:t>
      </w:r>
      <w:r w:rsidR="00BB2E9A" w:rsidRPr="00110FA1">
        <w:rPr>
          <w:rFonts w:ascii="Times New Roman" w:hAnsi="Times New Roman" w:cs="Times New Roman"/>
        </w:rPr>
        <w:t xml:space="preserve"> </w:t>
      </w:r>
      <w:r w:rsidR="0027494D" w:rsidRPr="00110FA1">
        <w:rPr>
          <w:rFonts w:ascii="Times New Roman" w:hAnsi="Times New Roman" w:cs="Times New Roman"/>
        </w:rPr>
        <w:t>(</w:t>
      </w:r>
      <w:proofErr w:type="spellStart"/>
      <w:r w:rsidR="0027494D" w:rsidRPr="00110FA1">
        <w:rPr>
          <w:rFonts w:ascii="Times New Roman" w:hAnsi="Times New Roman" w:cs="Times New Roman"/>
        </w:rPr>
        <w:t>DiD</w:t>
      </w:r>
      <w:proofErr w:type="spellEnd"/>
      <w:r w:rsidR="0027494D" w:rsidRPr="00110FA1">
        <w:rPr>
          <w:rFonts w:ascii="Times New Roman" w:hAnsi="Times New Roman" w:cs="Times New Roman"/>
        </w:rPr>
        <w:t xml:space="preserve">) analysis. Typical </w:t>
      </w:r>
      <w:proofErr w:type="spellStart"/>
      <w:r w:rsidR="0027494D" w:rsidRPr="00110FA1">
        <w:rPr>
          <w:rFonts w:ascii="Times New Roman" w:hAnsi="Times New Roman" w:cs="Times New Roman"/>
        </w:rPr>
        <w:t>DiD</w:t>
      </w:r>
      <w:proofErr w:type="spellEnd"/>
      <w:r w:rsidR="0027494D" w:rsidRPr="00110FA1">
        <w:rPr>
          <w:rFonts w:ascii="Times New Roman" w:hAnsi="Times New Roman" w:cs="Times New Roman"/>
        </w:rPr>
        <w:t xml:space="preserve"> </w:t>
      </w:r>
      <w:r w:rsidR="00B46F4C" w:rsidRPr="00110FA1">
        <w:rPr>
          <w:rFonts w:ascii="Times New Roman" w:hAnsi="Times New Roman" w:cs="Times New Roman"/>
        </w:rPr>
        <w:t>is used to assess the causal effect of the policy or program (intervention) by comparing it with the control group</w:t>
      </w:r>
      <w:r w:rsidR="00BB2E9A" w:rsidRPr="00110FA1">
        <w:rPr>
          <w:rFonts w:ascii="Times New Roman" w:hAnsi="Times New Roman" w:cs="Times New Roman"/>
        </w:rPr>
        <w:t xml:space="preserve"> before- and after the intervention where a c</w:t>
      </w:r>
      <w:r w:rsidR="00B46F4C" w:rsidRPr="00110FA1">
        <w:rPr>
          <w:rFonts w:ascii="Times New Roman" w:hAnsi="Times New Roman" w:cs="Times New Roman"/>
        </w:rPr>
        <w:t xml:space="preserve">lear temporal cutoff of pre-intervention and post-intervention exists. It also </w:t>
      </w:r>
      <w:r w:rsidR="0027494D" w:rsidRPr="00110FA1">
        <w:rPr>
          <w:rFonts w:ascii="Times New Roman" w:hAnsi="Times New Roman" w:cs="Times New Roman"/>
        </w:rPr>
        <w:t xml:space="preserve">needs to satisfy three assumptions – 1) parallel pre-trend of outcome between </w:t>
      </w:r>
      <w:r w:rsidR="00BB2E9A" w:rsidRPr="00110FA1">
        <w:rPr>
          <w:rFonts w:ascii="Times New Roman" w:hAnsi="Times New Roman" w:cs="Times New Roman"/>
        </w:rPr>
        <w:t>i</w:t>
      </w:r>
      <w:r w:rsidR="0027494D" w:rsidRPr="00110FA1">
        <w:rPr>
          <w:rFonts w:ascii="Times New Roman" w:hAnsi="Times New Roman" w:cs="Times New Roman"/>
        </w:rPr>
        <w:t>ntervention and control group, 2) no external spill-</w:t>
      </w:r>
      <w:r w:rsidR="0027494D" w:rsidRPr="00110FA1">
        <w:rPr>
          <w:rFonts w:ascii="Times New Roman" w:hAnsi="Times New Roman" w:cs="Times New Roman"/>
        </w:rPr>
        <w:lastRenderedPageBreak/>
        <w:t>over of outcome across two groups, 3) i</w:t>
      </w:r>
      <w:r w:rsidR="0027494D" w:rsidRPr="00110FA1">
        <w:rPr>
          <w:rFonts w:ascii="Times New Roman" w:hAnsi="Times New Roman" w:cs="Times New Roman"/>
        </w:rPr>
        <w:t>ntervention unrelated to outcome at baseline</w:t>
      </w:r>
      <w:r w:rsidR="00B46F4C" w:rsidRPr="00110FA1">
        <w:rPr>
          <w:rFonts w:ascii="Times New Roman" w:hAnsi="Times New Roman" w:cs="Times New Roman"/>
        </w:rPr>
        <w:t xml:space="preserve"> (randomization)</w:t>
      </w:r>
      <w:r w:rsidR="0027494D" w:rsidRPr="00110FA1">
        <w:rPr>
          <w:rFonts w:ascii="Times New Roman" w:hAnsi="Times New Roman" w:cs="Times New Roman"/>
        </w:rPr>
        <w:t>.</w:t>
      </w:r>
      <w:r w:rsidR="000F7C71" w:rsidRPr="00110FA1">
        <w:rPr>
          <w:rFonts w:ascii="Times New Roman" w:hAnsi="Times New Roman" w:cs="Times New Roman"/>
        </w:rPr>
        <w:t xml:space="preserve"> </w:t>
      </w:r>
      <w:r w:rsidR="00790D95" w:rsidRPr="00110FA1">
        <w:rPr>
          <w:rFonts w:ascii="Times New Roman" w:hAnsi="Times New Roman" w:cs="Times New Roman"/>
        </w:rPr>
        <w:t>We made following assumptions to support our analysis accordingly:</w:t>
      </w:r>
    </w:p>
    <w:p w14:paraId="0FCCC6B9" w14:textId="77777777" w:rsidR="00790D95" w:rsidRPr="00110FA1" w:rsidRDefault="00790D95" w:rsidP="00110FA1">
      <w:pPr>
        <w:spacing w:line="480" w:lineRule="auto"/>
        <w:rPr>
          <w:rFonts w:ascii="Times New Roman" w:hAnsi="Times New Roman" w:cs="Times New Roman"/>
        </w:rPr>
      </w:pPr>
    </w:p>
    <w:p w14:paraId="45A44944" w14:textId="4AF6D0CB" w:rsidR="00790D95" w:rsidRPr="00110FA1" w:rsidRDefault="00790D95" w:rsidP="00110FA1">
      <w:pPr>
        <w:pStyle w:val="ListParagraph"/>
        <w:numPr>
          <w:ilvl w:val="0"/>
          <w:numId w:val="1"/>
        </w:numPr>
        <w:spacing w:line="480" w:lineRule="auto"/>
        <w:rPr>
          <w:rFonts w:ascii="Times New Roman" w:hAnsi="Times New Roman" w:cs="Times New Roman"/>
        </w:rPr>
      </w:pPr>
      <w:r w:rsidRPr="00110FA1">
        <w:rPr>
          <w:rFonts w:ascii="Times New Roman" w:hAnsi="Times New Roman" w:cs="Times New Roman"/>
        </w:rPr>
        <w:t>Public health crisis like COVID-19 pandemic will increase the overall health system burden, which, in turn, causes disruption to the routine public health activities, such as national immunization program.</w:t>
      </w:r>
    </w:p>
    <w:p w14:paraId="4A9B9995" w14:textId="77777777" w:rsidR="00790D95" w:rsidRPr="00110FA1" w:rsidRDefault="00790D95" w:rsidP="00110FA1">
      <w:pPr>
        <w:pStyle w:val="ListParagraph"/>
        <w:numPr>
          <w:ilvl w:val="0"/>
          <w:numId w:val="1"/>
        </w:numPr>
        <w:spacing w:line="480" w:lineRule="auto"/>
        <w:rPr>
          <w:rFonts w:ascii="Times New Roman" w:hAnsi="Times New Roman" w:cs="Times New Roman"/>
        </w:rPr>
      </w:pPr>
      <w:r w:rsidRPr="00110FA1">
        <w:rPr>
          <w:rFonts w:ascii="Times New Roman" w:hAnsi="Times New Roman" w:cs="Times New Roman"/>
        </w:rPr>
        <w:t>Country’s health system progress towards UHC is associated with the resilience of the healthcare system to public health crisis, such as COVID-19 pandemic. When public health crisis happens, countries with UHC will experience less disruption in their routine public health activities.</w:t>
      </w:r>
    </w:p>
    <w:p w14:paraId="48B9CF04" w14:textId="7EBB22F3" w:rsidR="00790D95" w:rsidRPr="00110FA1" w:rsidRDefault="00790D95" w:rsidP="00110FA1">
      <w:pPr>
        <w:pStyle w:val="ListParagraph"/>
        <w:numPr>
          <w:ilvl w:val="0"/>
          <w:numId w:val="1"/>
        </w:numPr>
        <w:spacing w:line="480" w:lineRule="auto"/>
        <w:rPr>
          <w:rFonts w:ascii="Times New Roman" w:hAnsi="Times New Roman" w:cs="Times New Roman"/>
        </w:rPr>
      </w:pPr>
      <w:r w:rsidRPr="00110FA1">
        <w:rPr>
          <w:rFonts w:ascii="Times New Roman" w:hAnsi="Times New Roman" w:cs="Times New Roman"/>
        </w:rPr>
        <w:t>In non-crisis situation</w:t>
      </w:r>
      <w:r w:rsidRPr="00110FA1">
        <w:rPr>
          <w:rFonts w:ascii="Times New Roman" w:hAnsi="Times New Roman" w:cs="Times New Roman"/>
        </w:rPr>
        <w:t xml:space="preserve"> (pre-COVID-19-pandemic), countries in both </w:t>
      </w:r>
      <w:r w:rsidR="001364A7" w:rsidRPr="00110FA1">
        <w:rPr>
          <w:rFonts w:ascii="Times New Roman" w:hAnsi="Times New Roman" w:cs="Times New Roman"/>
        </w:rPr>
        <w:t xml:space="preserve">high level </w:t>
      </w:r>
      <w:r w:rsidRPr="00110FA1">
        <w:rPr>
          <w:rFonts w:ascii="Times New Roman" w:hAnsi="Times New Roman" w:cs="Times New Roman"/>
        </w:rPr>
        <w:t xml:space="preserve">UHC and </w:t>
      </w:r>
      <w:r w:rsidR="001364A7" w:rsidRPr="00110FA1">
        <w:rPr>
          <w:rFonts w:ascii="Times New Roman" w:hAnsi="Times New Roman" w:cs="Times New Roman"/>
        </w:rPr>
        <w:t xml:space="preserve">low level </w:t>
      </w:r>
      <w:r w:rsidRPr="00110FA1">
        <w:rPr>
          <w:rFonts w:ascii="Times New Roman" w:hAnsi="Times New Roman" w:cs="Times New Roman"/>
        </w:rPr>
        <w:t>UHC group will show similar trend in immunization coverage (parallel trend).</w:t>
      </w:r>
    </w:p>
    <w:p w14:paraId="4E5FC7D6" w14:textId="255B7C4C" w:rsidR="00790D95" w:rsidRPr="00110FA1" w:rsidRDefault="001364A7" w:rsidP="00110FA1">
      <w:pPr>
        <w:pStyle w:val="ListParagraph"/>
        <w:numPr>
          <w:ilvl w:val="0"/>
          <w:numId w:val="1"/>
        </w:numPr>
        <w:spacing w:line="480" w:lineRule="auto"/>
        <w:rPr>
          <w:rFonts w:ascii="Times New Roman" w:hAnsi="Times New Roman" w:cs="Times New Roman"/>
        </w:rPr>
      </w:pPr>
      <w:r w:rsidRPr="00110FA1">
        <w:rPr>
          <w:rFonts w:ascii="Times New Roman" w:hAnsi="Times New Roman" w:cs="Times New Roman"/>
        </w:rPr>
        <w:t>Health system resilience due to high level of UHC</w:t>
      </w:r>
      <w:r w:rsidR="00790D95" w:rsidRPr="00110FA1">
        <w:rPr>
          <w:rFonts w:ascii="Times New Roman" w:hAnsi="Times New Roman" w:cs="Times New Roman"/>
        </w:rPr>
        <w:t xml:space="preserve"> </w:t>
      </w:r>
      <w:r w:rsidR="00790D95" w:rsidRPr="00110FA1">
        <w:rPr>
          <w:rFonts w:ascii="Times New Roman" w:hAnsi="Times New Roman" w:cs="Times New Roman"/>
        </w:rPr>
        <w:t xml:space="preserve">is not directly associated with </w:t>
      </w:r>
      <w:r w:rsidR="00790D95" w:rsidRPr="00110FA1">
        <w:rPr>
          <w:rFonts w:ascii="Times New Roman" w:hAnsi="Times New Roman" w:cs="Times New Roman"/>
        </w:rPr>
        <w:t xml:space="preserve">country’s immunization coverage </w:t>
      </w:r>
      <w:r w:rsidR="00790D95" w:rsidRPr="00110FA1">
        <w:rPr>
          <w:rFonts w:ascii="Times New Roman" w:hAnsi="Times New Roman" w:cs="Times New Roman"/>
        </w:rPr>
        <w:t xml:space="preserve">unless external shock is introduced </w:t>
      </w:r>
      <w:r w:rsidR="00790D95" w:rsidRPr="00110FA1">
        <w:rPr>
          <w:rFonts w:ascii="Times New Roman" w:hAnsi="Times New Roman" w:cs="Times New Roman"/>
        </w:rPr>
        <w:t>(</w:t>
      </w:r>
      <w:r w:rsidR="00790D95" w:rsidRPr="00110FA1">
        <w:rPr>
          <w:rFonts w:ascii="Times New Roman" w:hAnsi="Times New Roman" w:cs="Times New Roman"/>
        </w:rPr>
        <w:t>randomization</w:t>
      </w:r>
      <w:r w:rsidR="00790D95" w:rsidRPr="00110FA1">
        <w:rPr>
          <w:rFonts w:ascii="Times New Roman" w:hAnsi="Times New Roman" w:cs="Times New Roman"/>
        </w:rPr>
        <w:t>).</w:t>
      </w:r>
    </w:p>
    <w:p w14:paraId="6DB265F7" w14:textId="36FD7AD6" w:rsidR="00790D95" w:rsidRPr="00110FA1" w:rsidRDefault="00790D95" w:rsidP="00110FA1">
      <w:pPr>
        <w:pStyle w:val="ListParagraph"/>
        <w:numPr>
          <w:ilvl w:val="0"/>
          <w:numId w:val="1"/>
        </w:numPr>
        <w:spacing w:line="480" w:lineRule="auto"/>
        <w:rPr>
          <w:rFonts w:ascii="Times New Roman" w:hAnsi="Times New Roman" w:cs="Times New Roman"/>
        </w:rPr>
      </w:pPr>
      <w:r w:rsidRPr="00110FA1">
        <w:rPr>
          <w:rFonts w:ascii="Times New Roman" w:hAnsi="Times New Roman" w:cs="Times New Roman"/>
        </w:rPr>
        <w:t>One country’s demand on vaccine will not affect other country’s vaccine supply (no external spill-over).</w:t>
      </w:r>
    </w:p>
    <w:p w14:paraId="71AFD328" w14:textId="41BC33DF" w:rsidR="00BB2E9A" w:rsidRPr="00110FA1" w:rsidRDefault="00BB2E9A" w:rsidP="00110FA1">
      <w:pPr>
        <w:spacing w:line="480" w:lineRule="auto"/>
        <w:rPr>
          <w:rFonts w:ascii="Times New Roman" w:hAnsi="Times New Roman" w:cs="Times New Roman"/>
        </w:rPr>
      </w:pPr>
    </w:p>
    <w:p w14:paraId="62F448D2" w14:textId="007FB7F7" w:rsidR="001364A7" w:rsidRDefault="001364A7" w:rsidP="00110FA1">
      <w:pPr>
        <w:spacing w:line="480" w:lineRule="auto"/>
        <w:ind w:firstLine="720"/>
        <w:rPr>
          <w:rFonts w:ascii="Times New Roman" w:hAnsi="Times New Roman" w:cs="Times New Roman"/>
        </w:rPr>
      </w:pPr>
      <w:r w:rsidRPr="00110FA1">
        <w:rPr>
          <w:rFonts w:ascii="Times New Roman" w:hAnsi="Times New Roman" w:cs="Times New Roman"/>
        </w:rPr>
        <w:t xml:space="preserve">We divided countries into two groups using UHC SCI 2019. </w:t>
      </w:r>
      <w:r w:rsidR="0089771A">
        <w:rPr>
          <w:rFonts w:ascii="Times New Roman" w:hAnsi="Times New Roman" w:cs="Times New Roman"/>
        </w:rPr>
        <w:t xml:space="preserve">For the main analysis, </w:t>
      </w:r>
      <w:r w:rsidRPr="00110FA1">
        <w:rPr>
          <w:rFonts w:ascii="Times New Roman" w:hAnsi="Times New Roman" w:cs="Times New Roman"/>
        </w:rPr>
        <w:t xml:space="preserve">we stratified using the cutoff value of UHC SCI 2019 &gt;=80 and </w:t>
      </w:r>
      <w:r w:rsidR="002F1A1A" w:rsidRPr="00110FA1">
        <w:rPr>
          <w:rFonts w:ascii="Times New Roman" w:hAnsi="Times New Roman" w:cs="Times New Roman"/>
        </w:rPr>
        <w:t>assigned 1 for countries with UHC index above or equal to 80</w:t>
      </w:r>
      <w:r w:rsidR="0089771A">
        <w:rPr>
          <w:rFonts w:ascii="Times New Roman" w:hAnsi="Times New Roman" w:cs="Times New Roman"/>
        </w:rPr>
        <w:t xml:space="preserve"> (high level UHC, Table 1)</w:t>
      </w:r>
      <w:r w:rsidR="002F1A1A" w:rsidRPr="00110FA1">
        <w:rPr>
          <w:rFonts w:ascii="Times New Roman" w:hAnsi="Times New Roman" w:cs="Times New Roman"/>
        </w:rPr>
        <w:t xml:space="preserve">, and 0 for the rest. </w:t>
      </w:r>
      <w:r w:rsidR="0089771A" w:rsidRPr="00110FA1">
        <w:rPr>
          <w:rFonts w:ascii="Times New Roman" w:hAnsi="Times New Roman" w:cs="Times New Roman"/>
        </w:rPr>
        <w:t xml:space="preserve">These two groups correspond to “intervention” and “control” group in traditional </w:t>
      </w:r>
      <w:proofErr w:type="spellStart"/>
      <w:r w:rsidR="0089771A" w:rsidRPr="00110FA1">
        <w:rPr>
          <w:rFonts w:ascii="Times New Roman" w:hAnsi="Times New Roman" w:cs="Times New Roman"/>
        </w:rPr>
        <w:t>DiD</w:t>
      </w:r>
      <w:proofErr w:type="spellEnd"/>
      <w:r w:rsidR="0089771A" w:rsidRPr="00110FA1">
        <w:rPr>
          <w:rFonts w:ascii="Times New Roman" w:hAnsi="Times New Roman" w:cs="Times New Roman"/>
        </w:rPr>
        <w:t xml:space="preserve"> and is represented by “UHC category” variable in the </w:t>
      </w:r>
      <w:proofErr w:type="gramStart"/>
      <w:r w:rsidR="0089771A" w:rsidRPr="00110FA1">
        <w:rPr>
          <w:rFonts w:ascii="Times New Roman" w:hAnsi="Times New Roman" w:cs="Times New Roman"/>
        </w:rPr>
        <w:t>equatio</w:t>
      </w:r>
      <w:r w:rsidR="0089771A">
        <w:rPr>
          <w:rFonts w:ascii="Times New Roman" w:hAnsi="Times New Roman" w:cs="Times New Roman"/>
        </w:rPr>
        <w:t>n.</w:t>
      </w:r>
      <w:r w:rsidR="0089771A" w:rsidRPr="00110FA1">
        <w:rPr>
          <w:rFonts w:ascii="Times New Roman" w:hAnsi="Times New Roman" w:cs="Times New Roman"/>
        </w:rPr>
        <w:t>.</w:t>
      </w:r>
      <w:proofErr w:type="gramEnd"/>
      <w:r w:rsidR="0089771A" w:rsidRPr="00110FA1">
        <w:rPr>
          <w:rFonts w:ascii="Times New Roman" w:hAnsi="Times New Roman" w:cs="Times New Roman"/>
        </w:rPr>
        <w:t xml:space="preserve"> </w:t>
      </w:r>
      <w:r w:rsidR="0089771A">
        <w:rPr>
          <w:rFonts w:ascii="Times New Roman" w:hAnsi="Times New Roman" w:cs="Times New Roman"/>
        </w:rPr>
        <w:t>Subsequently, w</w:t>
      </w:r>
      <w:r w:rsidRPr="00110FA1">
        <w:rPr>
          <w:rFonts w:ascii="Times New Roman" w:hAnsi="Times New Roman" w:cs="Times New Roman"/>
        </w:rPr>
        <w:t xml:space="preserve">e used the low cutoff value of &lt;50 and </w:t>
      </w:r>
      <w:r w:rsidR="002F1A1A" w:rsidRPr="00110FA1">
        <w:rPr>
          <w:rFonts w:ascii="Times New Roman" w:hAnsi="Times New Roman" w:cs="Times New Roman"/>
        </w:rPr>
        <w:lastRenderedPageBreak/>
        <w:t>assigned 1 if country’s UHC Index was below or equal to 50</w:t>
      </w:r>
      <w:r w:rsidR="0089771A">
        <w:rPr>
          <w:rFonts w:ascii="Times New Roman" w:hAnsi="Times New Roman" w:cs="Times New Roman"/>
        </w:rPr>
        <w:t xml:space="preserve"> (low level UHC, Table 1)</w:t>
      </w:r>
      <w:r w:rsidR="002F1A1A" w:rsidRPr="00110FA1">
        <w:rPr>
          <w:rFonts w:ascii="Times New Roman" w:hAnsi="Times New Roman" w:cs="Times New Roman"/>
        </w:rPr>
        <w:t>, and 0 if not</w:t>
      </w:r>
      <w:r w:rsidR="0089771A">
        <w:rPr>
          <w:rFonts w:ascii="Times New Roman" w:hAnsi="Times New Roman" w:cs="Times New Roman"/>
        </w:rPr>
        <w:t xml:space="preserve">, to test the same </w:t>
      </w:r>
      <w:proofErr w:type="spellStart"/>
      <w:r w:rsidR="0089771A">
        <w:rPr>
          <w:rFonts w:ascii="Times New Roman" w:hAnsi="Times New Roman" w:cs="Times New Roman"/>
        </w:rPr>
        <w:t>DiD</w:t>
      </w:r>
      <w:proofErr w:type="spellEnd"/>
      <w:r w:rsidR="0089771A">
        <w:rPr>
          <w:rFonts w:ascii="Times New Roman" w:hAnsi="Times New Roman" w:cs="Times New Roman"/>
        </w:rPr>
        <w:t xml:space="preserve"> hypothesis</w:t>
      </w:r>
      <w:r w:rsidR="002F1A1A" w:rsidRPr="00110FA1">
        <w:rPr>
          <w:rFonts w:ascii="Times New Roman" w:hAnsi="Times New Roman" w:cs="Times New Roman"/>
        </w:rPr>
        <w:t xml:space="preserve">. </w:t>
      </w:r>
    </w:p>
    <w:p w14:paraId="31BD7C58" w14:textId="77777777" w:rsidR="00106A4E" w:rsidRDefault="00106A4E" w:rsidP="00110FA1">
      <w:pPr>
        <w:spacing w:line="480" w:lineRule="auto"/>
        <w:ind w:firstLine="720"/>
        <w:rPr>
          <w:rFonts w:ascii="Times New Roman" w:hAnsi="Times New Roman" w:cs="Times New Roman"/>
        </w:rPr>
      </w:pPr>
    </w:p>
    <w:p w14:paraId="42525731" w14:textId="36C62FEF" w:rsidR="00106A4E" w:rsidRDefault="00106A4E" w:rsidP="00106A4E">
      <w:pPr>
        <w:spacing w:line="480" w:lineRule="auto"/>
        <w:rPr>
          <w:rFonts w:ascii="Times New Roman" w:hAnsi="Times New Roman" w:cs="Times New Roman"/>
        </w:rPr>
      </w:pPr>
      <w:r>
        <w:rPr>
          <w:rFonts w:ascii="Times New Roman" w:hAnsi="Times New Roman" w:cs="Times New Roman"/>
        </w:rPr>
        <w:t>Table 1. Countries with high UHC SCI 2019 (&gt;=80) and low UHC SCI 2019 (&lt;50)</w:t>
      </w:r>
    </w:p>
    <w:tbl>
      <w:tblPr>
        <w:tblStyle w:val="TableGrid"/>
        <w:tblW w:w="0" w:type="auto"/>
        <w:tblLook w:val="04A0" w:firstRow="1" w:lastRow="0" w:firstColumn="1" w:lastColumn="0" w:noHBand="0" w:noVBand="1"/>
      </w:tblPr>
      <w:tblGrid>
        <w:gridCol w:w="1255"/>
        <w:gridCol w:w="8095"/>
      </w:tblGrid>
      <w:tr w:rsidR="00106A4E" w14:paraId="1DB03DE0" w14:textId="77777777" w:rsidTr="00931ECF">
        <w:tc>
          <w:tcPr>
            <w:tcW w:w="1255" w:type="dxa"/>
          </w:tcPr>
          <w:p w14:paraId="072E7E7E" w14:textId="77777777" w:rsidR="00106A4E" w:rsidRDefault="00106A4E" w:rsidP="00931ECF">
            <w:pPr>
              <w:spacing w:line="480" w:lineRule="auto"/>
              <w:rPr>
                <w:rFonts w:ascii="Times New Roman" w:hAnsi="Times New Roman" w:cs="Times New Roman"/>
                <w:b/>
                <w:bCs/>
              </w:rPr>
            </w:pPr>
            <w:r>
              <w:rPr>
                <w:rFonts w:ascii="Times New Roman" w:hAnsi="Times New Roman" w:cs="Times New Roman"/>
                <w:b/>
                <w:bCs/>
              </w:rPr>
              <w:t>Countries with UHC SCI 2019 &gt;= 80 (n=31)</w:t>
            </w:r>
          </w:p>
        </w:tc>
        <w:tc>
          <w:tcPr>
            <w:tcW w:w="8095" w:type="dxa"/>
          </w:tcPr>
          <w:p w14:paraId="1DB757CE" w14:textId="77777777" w:rsidR="00106A4E" w:rsidRDefault="00106A4E" w:rsidP="00931ECF">
            <w:pPr>
              <w:spacing w:line="480" w:lineRule="auto"/>
              <w:rPr>
                <w:rFonts w:ascii="Times New Roman" w:hAnsi="Times New Roman" w:cs="Times New Roman"/>
                <w:b/>
                <w:bCs/>
              </w:rPr>
            </w:pPr>
            <w:r w:rsidRPr="00DD5BA4">
              <w:rPr>
                <w:rFonts w:ascii="Times New Roman" w:hAnsi="Times New Roman" w:cs="Times New Roman"/>
              </w:rPr>
              <w:t>Australia</w:t>
            </w:r>
            <w:r>
              <w:rPr>
                <w:rFonts w:ascii="Times New Roman" w:hAnsi="Times New Roman" w:cs="Times New Roman"/>
              </w:rPr>
              <w:t>,</w:t>
            </w:r>
            <w:r w:rsidRPr="00DD5BA4">
              <w:rPr>
                <w:rFonts w:ascii="Times New Roman" w:hAnsi="Times New Roman" w:cs="Times New Roman"/>
              </w:rPr>
              <w:t xml:space="preserve"> Austria</w:t>
            </w:r>
            <w:r>
              <w:rPr>
                <w:rFonts w:ascii="Times New Roman" w:hAnsi="Times New Roman" w:cs="Times New Roman"/>
              </w:rPr>
              <w:t xml:space="preserve">, </w:t>
            </w:r>
            <w:r w:rsidRPr="00DD5BA4">
              <w:rPr>
                <w:rFonts w:ascii="Times New Roman" w:hAnsi="Times New Roman" w:cs="Times New Roman"/>
              </w:rPr>
              <w:t>Belgium</w:t>
            </w:r>
            <w:r>
              <w:rPr>
                <w:rFonts w:ascii="Times New Roman" w:hAnsi="Times New Roman" w:cs="Times New Roman"/>
              </w:rPr>
              <w:t xml:space="preserve">, </w:t>
            </w:r>
            <w:r w:rsidRPr="00DD5BA4">
              <w:rPr>
                <w:rFonts w:ascii="Times New Roman" w:hAnsi="Times New Roman" w:cs="Times New Roman"/>
              </w:rPr>
              <w:t>Canada</w:t>
            </w:r>
            <w:r>
              <w:rPr>
                <w:rFonts w:ascii="Times New Roman" w:hAnsi="Times New Roman" w:cs="Times New Roman"/>
              </w:rPr>
              <w:t xml:space="preserve">, </w:t>
            </w:r>
            <w:r w:rsidRPr="00DD5BA4">
              <w:rPr>
                <w:rFonts w:ascii="Times New Roman" w:hAnsi="Times New Roman" w:cs="Times New Roman"/>
              </w:rPr>
              <w:t>Czechia</w:t>
            </w:r>
            <w:r>
              <w:rPr>
                <w:rFonts w:ascii="Times New Roman" w:hAnsi="Times New Roman" w:cs="Times New Roman"/>
              </w:rPr>
              <w:t xml:space="preserve">, </w:t>
            </w:r>
            <w:r w:rsidRPr="00DD5BA4">
              <w:rPr>
                <w:rFonts w:ascii="Times New Roman" w:hAnsi="Times New Roman" w:cs="Times New Roman"/>
              </w:rPr>
              <w:t>Denmark</w:t>
            </w:r>
            <w:r>
              <w:rPr>
                <w:rFonts w:ascii="Times New Roman" w:hAnsi="Times New Roman" w:cs="Times New Roman"/>
              </w:rPr>
              <w:t xml:space="preserve">, </w:t>
            </w:r>
            <w:r w:rsidRPr="00DD5BA4">
              <w:rPr>
                <w:rFonts w:ascii="Times New Roman" w:hAnsi="Times New Roman" w:cs="Times New Roman"/>
              </w:rPr>
              <w:t>Estonia</w:t>
            </w:r>
            <w:r>
              <w:rPr>
                <w:rFonts w:ascii="Times New Roman" w:hAnsi="Times New Roman" w:cs="Times New Roman"/>
              </w:rPr>
              <w:t xml:space="preserve">, </w:t>
            </w:r>
            <w:r w:rsidRPr="00DD5BA4">
              <w:rPr>
                <w:rFonts w:ascii="Times New Roman" w:hAnsi="Times New Roman" w:cs="Times New Roman"/>
              </w:rPr>
              <w:t>Finland</w:t>
            </w:r>
            <w:r>
              <w:rPr>
                <w:rFonts w:ascii="Times New Roman" w:hAnsi="Times New Roman" w:cs="Times New Roman"/>
              </w:rPr>
              <w:t xml:space="preserve">, </w:t>
            </w:r>
            <w:r w:rsidRPr="00DD5BA4">
              <w:rPr>
                <w:rFonts w:ascii="Times New Roman" w:hAnsi="Times New Roman" w:cs="Times New Roman"/>
              </w:rPr>
              <w:t>France</w:t>
            </w:r>
            <w:r>
              <w:rPr>
                <w:rFonts w:ascii="Times New Roman" w:hAnsi="Times New Roman" w:cs="Times New Roman"/>
              </w:rPr>
              <w:t xml:space="preserve">, </w:t>
            </w:r>
            <w:r w:rsidRPr="00DD5BA4">
              <w:rPr>
                <w:rFonts w:ascii="Times New Roman" w:hAnsi="Times New Roman" w:cs="Times New Roman"/>
              </w:rPr>
              <w:t>Germany</w:t>
            </w:r>
            <w:r>
              <w:rPr>
                <w:rFonts w:ascii="Times New Roman" w:hAnsi="Times New Roman" w:cs="Times New Roman"/>
              </w:rPr>
              <w:t xml:space="preserve">, </w:t>
            </w:r>
            <w:r w:rsidRPr="00DD5BA4">
              <w:rPr>
                <w:rFonts w:ascii="Times New Roman" w:hAnsi="Times New Roman" w:cs="Times New Roman"/>
              </w:rPr>
              <w:t>Greece</w:t>
            </w:r>
            <w:r>
              <w:rPr>
                <w:rFonts w:ascii="Times New Roman" w:hAnsi="Times New Roman" w:cs="Times New Roman"/>
              </w:rPr>
              <w:t xml:space="preserve">, </w:t>
            </w:r>
            <w:r w:rsidRPr="00DD5BA4">
              <w:rPr>
                <w:rFonts w:ascii="Times New Roman" w:hAnsi="Times New Roman" w:cs="Times New Roman"/>
              </w:rPr>
              <w:t>Iceland</w:t>
            </w:r>
            <w:r>
              <w:rPr>
                <w:rFonts w:ascii="Times New Roman" w:hAnsi="Times New Roman" w:cs="Times New Roman"/>
              </w:rPr>
              <w:t xml:space="preserve">, </w:t>
            </w:r>
            <w:r w:rsidRPr="00DD5BA4">
              <w:rPr>
                <w:rFonts w:ascii="Times New Roman" w:hAnsi="Times New Roman" w:cs="Times New Roman"/>
              </w:rPr>
              <w:t>Ireland, Israel, Italy, Japan, Kuwait, Luxembourg</w:t>
            </w:r>
            <w:r>
              <w:rPr>
                <w:rFonts w:ascii="Times New Roman" w:hAnsi="Times New Roman" w:cs="Times New Roman"/>
              </w:rPr>
              <w:t xml:space="preserve">, </w:t>
            </w:r>
            <w:r w:rsidRPr="00DD5BA4">
              <w:rPr>
                <w:rFonts w:ascii="Times New Roman" w:hAnsi="Times New Roman" w:cs="Times New Roman"/>
              </w:rPr>
              <w:t>Malta</w:t>
            </w:r>
            <w:r>
              <w:rPr>
                <w:rFonts w:ascii="Times New Roman" w:hAnsi="Times New Roman" w:cs="Times New Roman"/>
              </w:rPr>
              <w:t xml:space="preserve">, </w:t>
            </w:r>
            <w:r w:rsidRPr="00DD5BA4">
              <w:rPr>
                <w:rFonts w:ascii="Times New Roman" w:hAnsi="Times New Roman" w:cs="Times New Roman"/>
              </w:rPr>
              <w:t>Netherlands</w:t>
            </w:r>
            <w:r>
              <w:rPr>
                <w:rFonts w:ascii="Times New Roman" w:hAnsi="Times New Roman" w:cs="Times New Roman"/>
              </w:rPr>
              <w:t xml:space="preserve">, </w:t>
            </w:r>
            <w:r w:rsidRPr="00DD5BA4">
              <w:rPr>
                <w:rFonts w:ascii="Times New Roman" w:hAnsi="Times New Roman" w:cs="Times New Roman"/>
              </w:rPr>
              <w:t>New</w:t>
            </w:r>
            <w:r>
              <w:rPr>
                <w:rFonts w:ascii="Times New Roman" w:hAnsi="Times New Roman" w:cs="Times New Roman"/>
              </w:rPr>
              <w:t xml:space="preserve"> Z</w:t>
            </w:r>
            <w:r w:rsidRPr="00DD5BA4">
              <w:rPr>
                <w:rFonts w:ascii="Times New Roman" w:hAnsi="Times New Roman" w:cs="Times New Roman"/>
              </w:rPr>
              <w:t>ealand</w:t>
            </w:r>
            <w:r>
              <w:rPr>
                <w:rFonts w:ascii="Times New Roman" w:hAnsi="Times New Roman" w:cs="Times New Roman"/>
              </w:rPr>
              <w:t xml:space="preserve">, </w:t>
            </w:r>
            <w:r w:rsidRPr="00DD5BA4">
              <w:rPr>
                <w:rFonts w:ascii="Times New Roman" w:hAnsi="Times New Roman" w:cs="Times New Roman"/>
              </w:rPr>
              <w:t>Norway</w:t>
            </w:r>
            <w:r>
              <w:rPr>
                <w:rFonts w:ascii="Times New Roman" w:hAnsi="Times New Roman" w:cs="Times New Roman"/>
              </w:rPr>
              <w:t xml:space="preserve">, </w:t>
            </w:r>
            <w:r w:rsidRPr="00DD5BA4">
              <w:rPr>
                <w:rFonts w:ascii="Times New Roman" w:hAnsi="Times New Roman" w:cs="Times New Roman"/>
              </w:rPr>
              <w:t>Portugal</w:t>
            </w:r>
            <w:r>
              <w:rPr>
                <w:rFonts w:ascii="Times New Roman" w:hAnsi="Times New Roman" w:cs="Times New Roman"/>
              </w:rPr>
              <w:t xml:space="preserve">, </w:t>
            </w:r>
            <w:r w:rsidRPr="00DD5BA4">
              <w:rPr>
                <w:rFonts w:ascii="Times New Roman" w:hAnsi="Times New Roman" w:cs="Times New Roman"/>
              </w:rPr>
              <w:t>Qatar</w:t>
            </w:r>
            <w:r>
              <w:rPr>
                <w:rFonts w:ascii="Times New Roman" w:hAnsi="Times New Roman" w:cs="Times New Roman"/>
              </w:rPr>
              <w:t xml:space="preserve">, </w:t>
            </w:r>
            <w:r w:rsidRPr="00DD5BA4">
              <w:rPr>
                <w:rFonts w:ascii="Times New Roman" w:hAnsi="Times New Roman" w:cs="Times New Roman"/>
              </w:rPr>
              <w:t>Republic</w:t>
            </w:r>
            <w:r>
              <w:rPr>
                <w:rFonts w:ascii="Times New Roman" w:hAnsi="Times New Roman" w:cs="Times New Roman"/>
              </w:rPr>
              <w:t xml:space="preserve"> </w:t>
            </w:r>
            <w:r w:rsidRPr="00DD5BA4">
              <w:rPr>
                <w:rFonts w:ascii="Times New Roman" w:hAnsi="Times New Roman" w:cs="Times New Roman"/>
              </w:rPr>
              <w:t>of</w:t>
            </w:r>
            <w:r>
              <w:rPr>
                <w:rFonts w:ascii="Times New Roman" w:hAnsi="Times New Roman" w:cs="Times New Roman"/>
              </w:rPr>
              <w:t xml:space="preserve"> K</w:t>
            </w:r>
            <w:r w:rsidRPr="00DD5BA4">
              <w:rPr>
                <w:rFonts w:ascii="Times New Roman" w:hAnsi="Times New Roman" w:cs="Times New Roman"/>
              </w:rPr>
              <w:t>orea</w:t>
            </w:r>
            <w:r>
              <w:rPr>
                <w:rFonts w:ascii="Times New Roman" w:hAnsi="Times New Roman" w:cs="Times New Roman"/>
              </w:rPr>
              <w:t xml:space="preserve">, </w:t>
            </w:r>
            <w:r w:rsidRPr="00DD5BA4">
              <w:rPr>
                <w:rFonts w:ascii="Times New Roman" w:hAnsi="Times New Roman" w:cs="Times New Roman"/>
              </w:rPr>
              <w:t>Singapore</w:t>
            </w:r>
            <w:r>
              <w:rPr>
                <w:rFonts w:ascii="Times New Roman" w:hAnsi="Times New Roman" w:cs="Times New Roman"/>
              </w:rPr>
              <w:t xml:space="preserve">, </w:t>
            </w:r>
            <w:r w:rsidRPr="00DD5BA4">
              <w:rPr>
                <w:rFonts w:ascii="Times New Roman" w:hAnsi="Times New Roman" w:cs="Times New Roman"/>
              </w:rPr>
              <w:t>Slovenia</w:t>
            </w:r>
            <w:r>
              <w:rPr>
                <w:rFonts w:ascii="Times New Roman" w:hAnsi="Times New Roman" w:cs="Times New Roman"/>
              </w:rPr>
              <w:t xml:space="preserve">, </w:t>
            </w:r>
            <w:r w:rsidRPr="00DD5BA4">
              <w:rPr>
                <w:rFonts w:ascii="Times New Roman" w:hAnsi="Times New Roman" w:cs="Times New Roman"/>
              </w:rPr>
              <w:t>Spain</w:t>
            </w:r>
            <w:r>
              <w:rPr>
                <w:rFonts w:ascii="Times New Roman" w:hAnsi="Times New Roman" w:cs="Times New Roman"/>
              </w:rPr>
              <w:t xml:space="preserve">, </w:t>
            </w:r>
            <w:r w:rsidRPr="00DD5BA4">
              <w:rPr>
                <w:rFonts w:ascii="Times New Roman" w:hAnsi="Times New Roman" w:cs="Times New Roman"/>
              </w:rPr>
              <w:t>Sweden</w:t>
            </w:r>
            <w:r>
              <w:rPr>
                <w:rFonts w:ascii="Times New Roman" w:hAnsi="Times New Roman" w:cs="Times New Roman"/>
              </w:rPr>
              <w:t xml:space="preserve">, </w:t>
            </w:r>
            <w:r w:rsidRPr="00DD5BA4">
              <w:rPr>
                <w:rFonts w:ascii="Times New Roman" w:hAnsi="Times New Roman" w:cs="Times New Roman"/>
              </w:rPr>
              <w:t>Switzerland</w:t>
            </w:r>
            <w:r>
              <w:rPr>
                <w:rFonts w:ascii="Times New Roman" w:hAnsi="Times New Roman" w:cs="Times New Roman"/>
              </w:rPr>
              <w:t>, United States</w:t>
            </w:r>
          </w:p>
        </w:tc>
      </w:tr>
      <w:tr w:rsidR="00106A4E" w14:paraId="4A3E698F" w14:textId="77777777" w:rsidTr="00931ECF">
        <w:tc>
          <w:tcPr>
            <w:tcW w:w="1255" w:type="dxa"/>
          </w:tcPr>
          <w:p w14:paraId="0D426B28" w14:textId="77777777" w:rsidR="00106A4E" w:rsidRDefault="00106A4E" w:rsidP="00931ECF">
            <w:pPr>
              <w:spacing w:line="480" w:lineRule="auto"/>
              <w:rPr>
                <w:rFonts w:ascii="Times New Roman" w:hAnsi="Times New Roman" w:cs="Times New Roman"/>
                <w:b/>
                <w:bCs/>
              </w:rPr>
            </w:pPr>
            <w:r>
              <w:rPr>
                <w:rFonts w:ascii="Times New Roman" w:hAnsi="Times New Roman" w:cs="Times New Roman"/>
                <w:b/>
                <w:bCs/>
              </w:rPr>
              <w:t>Countries with UHC SCI 2019 &lt;= 50 (n=54)</w:t>
            </w:r>
          </w:p>
        </w:tc>
        <w:tc>
          <w:tcPr>
            <w:tcW w:w="8095" w:type="dxa"/>
          </w:tcPr>
          <w:p w14:paraId="48159A86" w14:textId="77777777" w:rsidR="00106A4E" w:rsidRPr="00DD5BA4" w:rsidRDefault="00106A4E" w:rsidP="00931ECF">
            <w:pPr>
              <w:spacing w:line="480" w:lineRule="auto"/>
              <w:rPr>
                <w:rFonts w:ascii="Times New Roman" w:hAnsi="Times New Roman" w:cs="Times New Roman"/>
              </w:rPr>
            </w:pPr>
            <w:r w:rsidRPr="00DD5BA4">
              <w:rPr>
                <w:rFonts w:ascii="Times New Roman" w:hAnsi="Times New Roman" w:cs="Times New Roman"/>
              </w:rPr>
              <w:t>Afghanistan</w:t>
            </w:r>
            <w:r>
              <w:rPr>
                <w:rFonts w:ascii="Times New Roman" w:hAnsi="Times New Roman" w:cs="Times New Roman"/>
              </w:rPr>
              <w:t xml:space="preserve">, </w:t>
            </w:r>
            <w:r w:rsidRPr="00DD5BA4">
              <w:rPr>
                <w:rFonts w:ascii="Times New Roman" w:hAnsi="Times New Roman" w:cs="Times New Roman"/>
              </w:rPr>
              <w:t>Angola</w:t>
            </w:r>
            <w:r>
              <w:rPr>
                <w:rFonts w:ascii="Times New Roman" w:hAnsi="Times New Roman" w:cs="Times New Roman"/>
              </w:rPr>
              <w:t xml:space="preserve">, </w:t>
            </w:r>
            <w:r w:rsidRPr="00DD5BA4">
              <w:rPr>
                <w:rFonts w:ascii="Times New Roman" w:hAnsi="Times New Roman" w:cs="Times New Roman"/>
              </w:rPr>
              <w:t>Azerbaijan</w:t>
            </w:r>
            <w:r>
              <w:rPr>
                <w:rFonts w:ascii="Times New Roman" w:hAnsi="Times New Roman" w:cs="Times New Roman"/>
              </w:rPr>
              <w:t xml:space="preserve">, </w:t>
            </w:r>
            <w:r w:rsidRPr="00DD5BA4">
              <w:rPr>
                <w:rFonts w:ascii="Times New Roman" w:hAnsi="Times New Roman" w:cs="Times New Roman"/>
              </w:rPr>
              <w:t>Benin</w:t>
            </w:r>
            <w:r>
              <w:rPr>
                <w:rFonts w:ascii="Times New Roman" w:hAnsi="Times New Roman" w:cs="Times New Roman"/>
              </w:rPr>
              <w:t xml:space="preserve">, </w:t>
            </w:r>
            <w:r w:rsidRPr="00DD5BA4">
              <w:rPr>
                <w:rFonts w:ascii="Times New Roman" w:hAnsi="Times New Roman" w:cs="Times New Roman"/>
              </w:rPr>
              <w:t>Burkina</w:t>
            </w:r>
            <w:r>
              <w:rPr>
                <w:rFonts w:ascii="Times New Roman" w:hAnsi="Times New Roman" w:cs="Times New Roman"/>
              </w:rPr>
              <w:t xml:space="preserve"> F</w:t>
            </w:r>
            <w:r w:rsidRPr="00DD5BA4">
              <w:rPr>
                <w:rFonts w:ascii="Times New Roman" w:hAnsi="Times New Roman" w:cs="Times New Roman"/>
              </w:rPr>
              <w:t>aso</w:t>
            </w:r>
            <w:r>
              <w:rPr>
                <w:rFonts w:ascii="Times New Roman" w:hAnsi="Times New Roman" w:cs="Times New Roman"/>
              </w:rPr>
              <w:t xml:space="preserve">, </w:t>
            </w:r>
            <w:r w:rsidRPr="00DD5BA4">
              <w:rPr>
                <w:rFonts w:ascii="Times New Roman" w:hAnsi="Times New Roman" w:cs="Times New Roman"/>
              </w:rPr>
              <w:t>Burundi</w:t>
            </w:r>
            <w:r>
              <w:rPr>
                <w:rFonts w:ascii="Times New Roman" w:hAnsi="Times New Roman" w:cs="Times New Roman"/>
              </w:rPr>
              <w:t xml:space="preserve">, </w:t>
            </w:r>
            <w:r w:rsidRPr="00DD5BA4">
              <w:rPr>
                <w:rFonts w:ascii="Times New Roman" w:hAnsi="Times New Roman" w:cs="Times New Roman"/>
              </w:rPr>
              <w:t>Cameroon</w:t>
            </w:r>
            <w:r>
              <w:rPr>
                <w:rFonts w:ascii="Times New Roman" w:hAnsi="Times New Roman" w:cs="Times New Roman"/>
              </w:rPr>
              <w:t xml:space="preserve">, </w:t>
            </w:r>
            <w:r w:rsidRPr="00DD5BA4">
              <w:rPr>
                <w:rFonts w:ascii="Times New Roman" w:hAnsi="Times New Roman" w:cs="Times New Roman"/>
              </w:rPr>
              <w:t>Central</w:t>
            </w:r>
            <w:r>
              <w:rPr>
                <w:rFonts w:ascii="Times New Roman" w:hAnsi="Times New Roman" w:cs="Times New Roman"/>
              </w:rPr>
              <w:t xml:space="preserve"> A</w:t>
            </w:r>
            <w:r w:rsidRPr="00DD5BA4">
              <w:rPr>
                <w:rFonts w:ascii="Times New Roman" w:hAnsi="Times New Roman" w:cs="Times New Roman"/>
              </w:rPr>
              <w:t>frican</w:t>
            </w:r>
            <w:r>
              <w:rPr>
                <w:rFonts w:ascii="Times New Roman" w:hAnsi="Times New Roman" w:cs="Times New Roman"/>
              </w:rPr>
              <w:t xml:space="preserve"> R</w:t>
            </w:r>
            <w:r w:rsidRPr="00DD5BA4">
              <w:rPr>
                <w:rFonts w:ascii="Times New Roman" w:hAnsi="Times New Roman" w:cs="Times New Roman"/>
              </w:rPr>
              <w:t>epublic</w:t>
            </w:r>
            <w:r>
              <w:rPr>
                <w:rFonts w:ascii="Times New Roman" w:hAnsi="Times New Roman" w:cs="Times New Roman"/>
              </w:rPr>
              <w:t xml:space="preserve">, </w:t>
            </w:r>
            <w:r w:rsidRPr="00DD5BA4">
              <w:rPr>
                <w:rFonts w:ascii="Times New Roman" w:hAnsi="Times New Roman" w:cs="Times New Roman"/>
              </w:rPr>
              <w:t>Chad</w:t>
            </w:r>
            <w:r>
              <w:rPr>
                <w:rFonts w:ascii="Times New Roman" w:hAnsi="Times New Roman" w:cs="Times New Roman"/>
              </w:rPr>
              <w:t xml:space="preserve">, </w:t>
            </w:r>
            <w:r w:rsidRPr="00DD5BA4">
              <w:rPr>
                <w:rFonts w:ascii="Times New Roman" w:hAnsi="Times New Roman" w:cs="Times New Roman"/>
              </w:rPr>
              <w:t>Comoros</w:t>
            </w:r>
            <w:r>
              <w:rPr>
                <w:rFonts w:ascii="Times New Roman" w:hAnsi="Times New Roman" w:cs="Times New Roman"/>
              </w:rPr>
              <w:t xml:space="preserve">, </w:t>
            </w:r>
            <w:r w:rsidRPr="00DD5BA4">
              <w:rPr>
                <w:rFonts w:ascii="Times New Roman" w:hAnsi="Times New Roman" w:cs="Times New Roman"/>
              </w:rPr>
              <w:t>Congo</w:t>
            </w:r>
            <w:r>
              <w:rPr>
                <w:rFonts w:ascii="Times New Roman" w:hAnsi="Times New Roman" w:cs="Times New Roman"/>
              </w:rPr>
              <w:t xml:space="preserve">, </w:t>
            </w:r>
            <w:r w:rsidRPr="00DD5BA4">
              <w:rPr>
                <w:rFonts w:ascii="Times New Roman" w:hAnsi="Times New Roman" w:cs="Times New Roman"/>
              </w:rPr>
              <w:t>Democratic</w:t>
            </w:r>
            <w:r>
              <w:rPr>
                <w:rFonts w:ascii="Times New Roman" w:hAnsi="Times New Roman" w:cs="Times New Roman"/>
              </w:rPr>
              <w:t xml:space="preserve"> R</w:t>
            </w:r>
            <w:r w:rsidRPr="00DD5BA4">
              <w:rPr>
                <w:rFonts w:ascii="Times New Roman" w:hAnsi="Times New Roman" w:cs="Times New Roman"/>
              </w:rPr>
              <w:t>epublic</w:t>
            </w:r>
            <w:r>
              <w:rPr>
                <w:rFonts w:ascii="Times New Roman" w:hAnsi="Times New Roman" w:cs="Times New Roman"/>
              </w:rPr>
              <w:t xml:space="preserve"> </w:t>
            </w:r>
            <w:r w:rsidRPr="00DD5BA4">
              <w:rPr>
                <w:rFonts w:ascii="Times New Roman" w:hAnsi="Times New Roman" w:cs="Times New Roman"/>
              </w:rPr>
              <w:t>of</w:t>
            </w:r>
            <w:r>
              <w:rPr>
                <w:rFonts w:ascii="Times New Roman" w:hAnsi="Times New Roman" w:cs="Times New Roman"/>
              </w:rPr>
              <w:t xml:space="preserve"> </w:t>
            </w:r>
            <w:r w:rsidRPr="00DD5BA4">
              <w:rPr>
                <w:rFonts w:ascii="Times New Roman" w:hAnsi="Times New Roman" w:cs="Times New Roman"/>
              </w:rPr>
              <w:t>the</w:t>
            </w:r>
            <w:r>
              <w:rPr>
                <w:rFonts w:ascii="Times New Roman" w:hAnsi="Times New Roman" w:cs="Times New Roman"/>
              </w:rPr>
              <w:t xml:space="preserve"> C</w:t>
            </w:r>
            <w:r w:rsidRPr="00DD5BA4">
              <w:rPr>
                <w:rFonts w:ascii="Times New Roman" w:hAnsi="Times New Roman" w:cs="Times New Roman"/>
              </w:rPr>
              <w:t>ongo</w:t>
            </w:r>
            <w:r>
              <w:rPr>
                <w:rFonts w:ascii="Times New Roman" w:hAnsi="Times New Roman" w:cs="Times New Roman"/>
              </w:rPr>
              <w:t xml:space="preserve">, </w:t>
            </w:r>
            <w:r w:rsidRPr="00DD5BA4">
              <w:rPr>
                <w:rFonts w:ascii="Times New Roman" w:hAnsi="Times New Roman" w:cs="Times New Roman"/>
              </w:rPr>
              <w:t>Djibouti</w:t>
            </w:r>
            <w:r>
              <w:rPr>
                <w:rFonts w:ascii="Times New Roman" w:hAnsi="Times New Roman" w:cs="Times New Roman"/>
              </w:rPr>
              <w:t xml:space="preserve">, </w:t>
            </w:r>
            <w:r w:rsidRPr="00DD5BA4">
              <w:rPr>
                <w:rFonts w:ascii="Times New Roman" w:hAnsi="Times New Roman" w:cs="Times New Roman"/>
              </w:rPr>
              <w:t>Equatorial</w:t>
            </w:r>
            <w:r>
              <w:rPr>
                <w:rFonts w:ascii="Times New Roman" w:hAnsi="Times New Roman" w:cs="Times New Roman"/>
              </w:rPr>
              <w:t xml:space="preserve"> G</w:t>
            </w:r>
            <w:r w:rsidRPr="00DD5BA4">
              <w:rPr>
                <w:rFonts w:ascii="Times New Roman" w:hAnsi="Times New Roman" w:cs="Times New Roman"/>
              </w:rPr>
              <w:t>uinea</w:t>
            </w:r>
            <w:r>
              <w:rPr>
                <w:rFonts w:ascii="Times New Roman" w:hAnsi="Times New Roman" w:cs="Times New Roman"/>
              </w:rPr>
              <w:t xml:space="preserve">, </w:t>
            </w:r>
            <w:r w:rsidRPr="00DD5BA4">
              <w:rPr>
                <w:rFonts w:ascii="Times New Roman" w:hAnsi="Times New Roman" w:cs="Times New Roman"/>
              </w:rPr>
              <w:t>Eritrea</w:t>
            </w:r>
            <w:r>
              <w:rPr>
                <w:rFonts w:ascii="Times New Roman" w:hAnsi="Times New Roman" w:cs="Times New Roman"/>
              </w:rPr>
              <w:t>,</w:t>
            </w:r>
            <w:r w:rsidRPr="00DD5BA4">
              <w:rPr>
                <w:rFonts w:ascii="Times New Roman" w:hAnsi="Times New Roman" w:cs="Times New Roman"/>
              </w:rPr>
              <w:t xml:space="preserve"> Ethiopia</w:t>
            </w:r>
            <w:r>
              <w:rPr>
                <w:rFonts w:ascii="Times New Roman" w:hAnsi="Times New Roman" w:cs="Times New Roman"/>
              </w:rPr>
              <w:t xml:space="preserve">, </w:t>
            </w:r>
            <w:r w:rsidRPr="00DD5BA4">
              <w:rPr>
                <w:rFonts w:ascii="Times New Roman" w:hAnsi="Times New Roman" w:cs="Times New Roman"/>
              </w:rPr>
              <w:t>Fiji</w:t>
            </w:r>
            <w:r>
              <w:rPr>
                <w:rFonts w:ascii="Times New Roman" w:hAnsi="Times New Roman" w:cs="Times New Roman"/>
              </w:rPr>
              <w:t xml:space="preserve">, </w:t>
            </w:r>
            <w:r w:rsidRPr="00DD5BA4">
              <w:rPr>
                <w:rFonts w:ascii="Times New Roman" w:hAnsi="Times New Roman" w:cs="Times New Roman"/>
              </w:rPr>
              <w:t>Gambia</w:t>
            </w:r>
            <w:r>
              <w:rPr>
                <w:rFonts w:ascii="Times New Roman" w:hAnsi="Times New Roman" w:cs="Times New Roman"/>
              </w:rPr>
              <w:t xml:space="preserve">, </w:t>
            </w:r>
            <w:r w:rsidRPr="00DD5BA4">
              <w:rPr>
                <w:rFonts w:ascii="Times New Roman" w:hAnsi="Times New Roman" w:cs="Times New Roman"/>
              </w:rPr>
              <w:t>Ghana</w:t>
            </w:r>
            <w:r>
              <w:rPr>
                <w:rFonts w:ascii="Times New Roman" w:hAnsi="Times New Roman" w:cs="Times New Roman"/>
              </w:rPr>
              <w:t xml:space="preserve">, </w:t>
            </w:r>
            <w:r w:rsidRPr="00DD5BA4">
              <w:rPr>
                <w:rFonts w:ascii="Times New Roman" w:hAnsi="Times New Roman" w:cs="Times New Roman"/>
              </w:rPr>
              <w:t>Guinea</w:t>
            </w:r>
            <w:r>
              <w:rPr>
                <w:rFonts w:ascii="Times New Roman" w:hAnsi="Times New Roman" w:cs="Times New Roman"/>
              </w:rPr>
              <w:t xml:space="preserve">, </w:t>
            </w:r>
            <w:r w:rsidRPr="00DD5BA4">
              <w:rPr>
                <w:rFonts w:ascii="Times New Roman" w:hAnsi="Times New Roman" w:cs="Times New Roman"/>
              </w:rPr>
              <w:t>Guinea</w:t>
            </w:r>
            <w:r>
              <w:rPr>
                <w:rFonts w:ascii="Times New Roman" w:hAnsi="Times New Roman" w:cs="Times New Roman"/>
              </w:rPr>
              <w:t xml:space="preserve"> Bissau, </w:t>
            </w:r>
            <w:r w:rsidRPr="00DD5BA4">
              <w:rPr>
                <w:rFonts w:ascii="Times New Roman" w:hAnsi="Times New Roman" w:cs="Times New Roman"/>
              </w:rPr>
              <w:t>Guyana</w:t>
            </w:r>
            <w:r>
              <w:rPr>
                <w:rFonts w:ascii="Times New Roman" w:hAnsi="Times New Roman" w:cs="Times New Roman"/>
              </w:rPr>
              <w:t xml:space="preserve">, </w:t>
            </w:r>
            <w:r w:rsidRPr="00DD5BA4">
              <w:rPr>
                <w:rFonts w:ascii="Times New Roman" w:hAnsi="Times New Roman" w:cs="Times New Roman"/>
              </w:rPr>
              <w:t>Haiti</w:t>
            </w:r>
            <w:r>
              <w:rPr>
                <w:rFonts w:ascii="Times New Roman" w:hAnsi="Times New Roman" w:cs="Times New Roman"/>
              </w:rPr>
              <w:t xml:space="preserve">, </w:t>
            </w:r>
            <w:r w:rsidRPr="00DD5BA4">
              <w:rPr>
                <w:rFonts w:ascii="Times New Roman" w:hAnsi="Times New Roman" w:cs="Times New Roman"/>
              </w:rPr>
              <w:t>India</w:t>
            </w:r>
            <w:r>
              <w:rPr>
                <w:rFonts w:ascii="Times New Roman" w:hAnsi="Times New Roman" w:cs="Times New Roman"/>
              </w:rPr>
              <w:t xml:space="preserve">, </w:t>
            </w:r>
            <w:r w:rsidRPr="00DD5BA4">
              <w:rPr>
                <w:rFonts w:ascii="Times New Roman" w:hAnsi="Times New Roman" w:cs="Times New Roman"/>
              </w:rPr>
              <w:t>Indonesia</w:t>
            </w:r>
            <w:r>
              <w:rPr>
                <w:rFonts w:ascii="Times New Roman" w:hAnsi="Times New Roman" w:cs="Times New Roman"/>
              </w:rPr>
              <w:t xml:space="preserve">, </w:t>
            </w:r>
            <w:r w:rsidRPr="00DD5BA4">
              <w:rPr>
                <w:rFonts w:ascii="Times New Roman" w:hAnsi="Times New Roman" w:cs="Times New Roman"/>
              </w:rPr>
              <w:t>Kiribati</w:t>
            </w:r>
            <w:r>
              <w:rPr>
                <w:rFonts w:ascii="Times New Roman" w:hAnsi="Times New Roman" w:cs="Times New Roman"/>
              </w:rPr>
              <w:t xml:space="preserve">, </w:t>
            </w:r>
            <w:r w:rsidRPr="00DD5BA4">
              <w:rPr>
                <w:rFonts w:ascii="Times New Roman" w:hAnsi="Times New Roman" w:cs="Times New Roman"/>
              </w:rPr>
              <w:t>Lao</w:t>
            </w:r>
            <w:r>
              <w:rPr>
                <w:rFonts w:ascii="Times New Roman" w:hAnsi="Times New Roman" w:cs="Times New Roman"/>
              </w:rPr>
              <w:t xml:space="preserve"> P</w:t>
            </w:r>
            <w:r w:rsidRPr="00DD5BA4">
              <w:rPr>
                <w:rFonts w:ascii="Times New Roman" w:hAnsi="Times New Roman" w:cs="Times New Roman"/>
              </w:rPr>
              <w:t>eople</w:t>
            </w:r>
            <w:r>
              <w:rPr>
                <w:rFonts w:ascii="Times New Roman" w:hAnsi="Times New Roman" w:cs="Times New Roman"/>
              </w:rPr>
              <w:t>’</w:t>
            </w:r>
            <w:r w:rsidRPr="00DD5BA4">
              <w:rPr>
                <w:rFonts w:ascii="Times New Roman" w:hAnsi="Times New Roman" w:cs="Times New Roman"/>
              </w:rPr>
              <w:t>s</w:t>
            </w:r>
            <w:r>
              <w:rPr>
                <w:rFonts w:ascii="Times New Roman" w:hAnsi="Times New Roman" w:cs="Times New Roman"/>
              </w:rPr>
              <w:t xml:space="preserve"> D</w:t>
            </w:r>
            <w:r w:rsidRPr="00DD5BA4">
              <w:rPr>
                <w:rFonts w:ascii="Times New Roman" w:hAnsi="Times New Roman" w:cs="Times New Roman"/>
              </w:rPr>
              <w:t>emocratic</w:t>
            </w:r>
            <w:r>
              <w:rPr>
                <w:rFonts w:ascii="Times New Roman" w:hAnsi="Times New Roman" w:cs="Times New Roman"/>
              </w:rPr>
              <w:t xml:space="preserve"> R</w:t>
            </w:r>
            <w:r w:rsidRPr="00DD5BA4">
              <w:rPr>
                <w:rFonts w:ascii="Times New Roman" w:hAnsi="Times New Roman" w:cs="Times New Roman"/>
              </w:rPr>
              <w:t>epublic</w:t>
            </w:r>
            <w:r>
              <w:rPr>
                <w:rFonts w:ascii="Times New Roman" w:hAnsi="Times New Roman" w:cs="Times New Roman"/>
              </w:rPr>
              <w:t xml:space="preserve">, </w:t>
            </w:r>
            <w:r w:rsidRPr="00DD5BA4">
              <w:rPr>
                <w:rFonts w:ascii="Times New Roman" w:hAnsi="Times New Roman" w:cs="Times New Roman"/>
              </w:rPr>
              <w:t>Lesotho</w:t>
            </w:r>
            <w:r>
              <w:rPr>
                <w:rFonts w:ascii="Times New Roman" w:hAnsi="Times New Roman" w:cs="Times New Roman"/>
              </w:rPr>
              <w:t xml:space="preserve">, </w:t>
            </w:r>
            <w:r w:rsidRPr="00DD5BA4">
              <w:rPr>
                <w:rFonts w:ascii="Times New Roman" w:hAnsi="Times New Roman" w:cs="Times New Roman"/>
              </w:rPr>
              <w:t>Liberia</w:t>
            </w:r>
            <w:r>
              <w:rPr>
                <w:rFonts w:ascii="Times New Roman" w:hAnsi="Times New Roman" w:cs="Times New Roman"/>
              </w:rPr>
              <w:t xml:space="preserve">, </w:t>
            </w:r>
            <w:r w:rsidRPr="00DD5BA4">
              <w:rPr>
                <w:rFonts w:ascii="Times New Roman" w:hAnsi="Times New Roman" w:cs="Times New Roman"/>
              </w:rPr>
              <w:t>Madagascar</w:t>
            </w:r>
            <w:r>
              <w:rPr>
                <w:rFonts w:ascii="Times New Roman" w:hAnsi="Times New Roman" w:cs="Times New Roman"/>
              </w:rPr>
              <w:t xml:space="preserve">, </w:t>
            </w:r>
            <w:r w:rsidRPr="00DD5BA4">
              <w:rPr>
                <w:rFonts w:ascii="Times New Roman" w:hAnsi="Times New Roman" w:cs="Times New Roman"/>
              </w:rPr>
              <w:t>Mali</w:t>
            </w:r>
            <w:r>
              <w:rPr>
                <w:rFonts w:ascii="Times New Roman" w:hAnsi="Times New Roman" w:cs="Times New Roman"/>
              </w:rPr>
              <w:t>, F</w:t>
            </w:r>
            <w:r w:rsidRPr="00DD5BA4">
              <w:rPr>
                <w:rFonts w:ascii="Times New Roman" w:hAnsi="Times New Roman" w:cs="Times New Roman"/>
              </w:rPr>
              <w:t>ederated</w:t>
            </w:r>
            <w:r>
              <w:rPr>
                <w:rFonts w:ascii="Times New Roman" w:hAnsi="Times New Roman" w:cs="Times New Roman"/>
              </w:rPr>
              <w:t xml:space="preserve"> S</w:t>
            </w:r>
            <w:r w:rsidRPr="00DD5BA4">
              <w:rPr>
                <w:rFonts w:ascii="Times New Roman" w:hAnsi="Times New Roman" w:cs="Times New Roman"/>
              </w:rPr>
              <w:t>tates</w:t>
            </w:r>
            <w:r>
              <w:rPr>
                <w:rFonts w:ascii="Times New Roman" w:hAnsi="Times New Roman" w:cs="Times New Roman"/>
              </w:rPr>
              <w:t xml:space="preserve"> </w:t>
            </w:r>
            <w:r w:rsidRPr="00DD5BA4">
              <w:rPr>
                <w:rFonts w:ascii="Times New Roman" w:hAnsi="Times New Roman" w:cs="Times New Roman"/>
              </w:rPr>
              <w:t>of</w:t>
            </w:r>
            <w:r>
              <w:rPr>
                <w:rFonts w:ascii="Times New Roman" w:hAnsi="Times New Roman" w:cs="Times New Roman"/>
              </w:rPr>
              <w:t xml:space="preserve"> Micronesia, </w:t>
            </w:r>
            <w:r w:rsidRPr="00DD5BA4">
              <w:rPr>
                <w:rFonts w:ascii="Times New Roman" w:hAnsi="Times New Roman" w:cs="Times New Roman"/>
              </w:rPr>
              <w:t>Mongolia</w:t>
            </w:r>
            <w:r>
              <w:rPr>
                <w:rFonts w:ascii="Times New Roman" w:hAnsi="Times New Roman" w:cs="Times New Roman"/>
              </w:rPr>
              <w:t xml:space="preserve">, </w:t>
            </w:r>
            <w:r w:rsidRPr="00DD5BA4">
              <w:rPr>
                <w:rFonts w:ascii="Times New Roman" w:hAnsi="Times New Roman" w:cs="Times New Roman"/>
              </w:rPr>
              <w:t>Mozambique, Myanmar, Nepal</w:t>
            </w:r>
            <w:r>
              <w:rPr>
                <w:rFonts w:ascii="Times New Roman" w:hAnsi="Times New Roman" w:cs="Times New Roman"/>
              </w:rPr>
              <w:t xml:space="preserve">, </w:t>
            </w:r>
            <w:r w:rsidRPr="00DD5BA4">
              <w:rPr>
                <w:rFonts w:ascii="Times New Roman" w:hAnsi="Times New Roman" w:cs="Times New Roman"/>
              </w:rPr>
              <w:t>Niger, Nigeria, Pakistan</w:t>
            </w:r>
            <w:r>
              <w:rPr>
                <w:rFonts w:ascii="Times New Roman" w:hAnsi="Times New Roman" w:cs="Times New Roman"/>
              </w:rPr>
              <w:t>,</w:t>
            </w:r>
            <w:r w:rsidRPr="00DD5BA4">
              <w:rPr>
                <w:rFonts w:ascii="Times New Roman" w:hAnsi="Times New Roman" w:cs="Times New Roman"/>
              </w:rPr>
              <w:t xml:space="preserve"> </w:t>
            </w:r>
          </w:p>
          <w:p w14:paraId="7FD5DAF8" w14:textId="77777777" w:rsidR="00106A4E" w:rsidRPr="00314F1A" w:rsidRDefault="00106A4E" w:rsidP="00931ECF">
            <w:pPr>
              <w:spacing w:line="480" w:lineRule="auto"/>
              <w:rPr>
                <w:rFonts w:ascii="Times New Roman" w:hAnsi="Times New Roman" w:cs="Times New Roman"/>
              </w:rPr>
            </w:pPr>
            <w:r w:rsidRPr="00DD5BA4">
              <w:rPr>
                <w:rFonts w:ascii="Times New Roman" w:hAnsi="Times New Roman" w:cs="Times New Roman"/>
              </w:rPr>
              <w:t>Papua</w:t>
            </w:r>
            <w:r>
              <w:rPr>
                <w:rFonts w:ascii="Times New Roman" w:hAnsi="Times New Roman" w:cs="Times New Roman"/>
              </w:rPr>
              <w:t xml:space="preserve"> N</w:t>
            </w:r>
            <w:r w:rsidRPr="00DD5BA4">
              <w:rPr>
                <w:rFonts w:ascii="Times New Roman" w:hAnsi="Times New Roman" w:cs="Times New Roman"/>
              </w:rPr>
              <w:t>ew</w:t>
            </w:r>
            <w:r>
              <w:rPr>
                <w:rFonts w:ascii="Times New Roman" w:hAnsi="Times New Roman" w:cs="Times New Roman"/>
              </w:rPr>
              <w:t xml:space="preserve"> G</w:t>
            </w:r>
            <w:r w:rsidRPr="00DD5BA4">
              <w:rPr>
                <w:rFonts w:ascii="Times New Roman" w:hAnsi="Times New Roman" w:cs="Times New Roman"/>
              </w:rPr>
              <w:t>uinea</w:t>
            </w:r>
            <w:r>
              <w:rPr>
                <w:rFonts w:ascii="Times New Roman" w:hAnsi="Times New Roman" w:cs="Times New Roman"/>
              </w:rPr>
              <w:t>,</w:t>
            </w:r>
            <w:r w:rsidRPr="00DD5BA4">
              <w:rPr>
                <w:rFonts w:ascii="Times New Roman" w:hAnsi="Times New Roman" w:cs="Times New Roman"/>
              </w:rPr>
              <w:t xml:space="preserve"> Saint</w:t>
            </w:r>
            <w:r>
              <w:rPr>
                <w:rFonts w:ascii="Times New Roman" w:hAnsi="Times New Roman" w:cs="Times New Roman"/>
              </w:rPr>
              <w:t xml:space="preserve"> V</w:t>
            </w:r>
            <w:r w:rsidRPr="00DD5BA4">
              <w:rPr>
                <w:rFonts w:ascii="Times New Roman" w:hAnsi="Times New Roman" w:cs="Times New Roman"/>
              </w:rPr>
              <w:t>incent</w:t>
            </w:r>
            <w:r>
              <w:rPr>
                <w:rFonts w:ascii="Times New Roman" w:hAnsi="Times New Roman" w:cs="Times New Roman"/>
              </w:rPr>
              <w:t xml:space="preserve"> </w:t>
            </w:r>
            <w:r w:rsidRPr="00DD5BA4">
              <w:rPr>
                <w:rFonts w:ascii="Times New Roman" w:hAnsi="Times New Roman" w:cs="Times New Roman"/>
              </w:rPr>
              <w:t>and</w:t>
            </w:r>
            <w:r>
              <w:rPr>
                <w:rFonts w:ascii="Times New Roman" w:hAnsi="Times New Roman" w:cs="Times New Roman"/>
              </w:rPr>
              <w:t xml:space="preserve"> </w:t>
            </w:r>
            <w:r w:rsidRPr="00DD5BA4">
              <w:rPr>
                <w:rFonts w:ascii="Times New Roman" w:hAnsi="Times New Roman" w:cs="Times New Roman"/>
              </w:rPr>
              <w:t>the</w:t>
            </w:r>
            <w:r>
              <w:rPr>
                <w:rFonts w:ascii="Times New Roman" w:hAnsi="Times New Roman" w:cs="Times New Roman"/>
              </w:rPr>
              <w:t xml:space="preserve"> G</w:t>
            </w:r>
            <w:r w:rsidRPr="00DD5BA4">
              <w:rPr>
                <w:rFonts w:ascii="Times New Roman" w:hAnsi="Times New Roman" w:cs="Times New Roman"/>
              </w:rPr>
              <w:t>renadines</w:t>
            </w:r>
            <w:r>
              <w:rPr>
                <w:rFonts w:ascii="Times New Roman" w:hAnsi="Times New Roman" w:cs="Times New Roman"/>
              </w:rPr>
              <w:t xml:space="preserve">, </w:t>
            </w:r>
            <w:r w:rsidRPr="00DD5BA4">
              <w:rPr>
                <w:rFonts w:ascii="Times New Roman" w:hAnsi="Times New Roman" w:cs="Times New Roman"/>
              </w:rPr>
              <w:t>Samoa</w:t>
            </w:r>
            <w:r>
              <w:rPr>
                <w:rFonts w:ascii="Times New Roman" w:hAnsi="Times New Roman" w:cs="Times New Roman"/>
              </w:rPr>
              <w:t xml:space="preserve">, </w:t>
            </w:r>
            <w:r w:rsidRPr="00DD5BA4">
              <w:rPr>
                <w:rFonts w:ascii="Times New Roman" w:hAnsi="Times New Roman" w:cs="Times New Roman"/>
              </w:rPr>
              <w:t>Senegal</w:t>
            </w:r>
            <w:r>
              <w:rPr>
                <w:rFonts w:ascii="Times New Roman" w:hAnsi="Times New Roman" w:cs="Times New Roman"/>
              </w:rPr>
              <w:t xml:space="preserve">, </w:t>
            </w:r>
            <w:r w:rsidRPr="00DD5BA4">
              <w:rPr>
                <w:rFonts w:ascii="Times New Roman" w:hAnsi="Times New Roman" w:cs="Times New Roman"/>
              </w:rPr>
              <w:t>Sierra</w:t>
            </w:r>
            <w:r>
              <w:rPr>
                <w:rFonts w:ascii="Times New Roman" w:hAnsi="Times New Roman" w:cs="Times New Roman"/>
              </w:rPr>
              <w:t xml:space="preserve"> </w:t>
            </w:r>
            <w:r w:rsidRPr="00DD5BA4">
              <w:rPr>
                <w:rFonts w:ascii="Times New Roman" w:hAnsi="Times New Roman" w:cs="Times New Roman"/>
              </w:rPr>
              <w:t>leone</w:t>
            </w:r>
            <w:r>
              <w:rPr>
                <w:rFonts w:ascii="Times New Roman" w:hAnsi="Times New Roman" w:cs="Times New Roman"/>
              </w:rPr>
              <w:t xml:space="preserve">, </w:t>
            </w:r>
            <w:r w:rsidRPr="00DD5BA4">
              <w:rPr>
                <w:rFonts w:ascii="Times New Roman" w:hAnsi="Times New Roman" w:cs="Times New Roman"/>
              </w:rPr>
              <w:t>Solomon</w:t>
            </w:r>
            <w:r>
              <w:rPr>
                <w:rFonts w:ascii="Times New Roman" w:hAnsi="Times New Roman" w:cs="Times New Roman"/>
              </w:rPr>
              <w:t xml:space="preserve"> I</w:t>
            </w:r>
            <w:r w:rsidRPr="00DD5BA4">
              <w:rPr>
                <w:rFonts w:ascii="Times New Roman" w:hAnsi="Times New Roman" w:cs="Times New Roman"/>
              </w:rPr>
              <w:t>slands</w:t>
            </w:r>
            <w:r>
              <w:rPr>
                <w:rFonts w:ascii="Times New Roman" w:hAnsi="Times New Roman" w:cs="Times New Roman"/>
              </w:rPr>
              <w:t xml:space="preserve">, </w:t>
            </w:r>
            <w:r w:rsidRPr="00DD5BA4">
              <w:rPr>
                <w:rFonts w:ascii="Times New Roman" w:hAnsi="Times New Roman" w:cs="Times New Roman"/>
              </w:rPr>
              <w:t>Somalia</w:t>
            </w:r>
            <w:r>
              <w:rPr>
                <w:rFonts w:ascii="Times New Roman" w:hAnsi="Times New Roman" w:cs="Times New Roman"/>
              </w:rPr>
              <w:t xml:space="preserve">, </w:t>
            </w:r>
            <w:r w:rsidRPr="00DD5BA4">
              <w:rPr>
                <w:rFonts w:ascii="Times New Roman" w:hAnsi="Times New Roman" w:cs="Times New Roman"/>
              </w:rPr>
              <w:t>South</w:t>
            </w:r>
            <w:r>
              <w:rPr>
                <w:rFonts w:ascii="Times New Roman" w:hAnsi="Times New Roman" w:cs="Times New Roman"/>
              </w:rPr>
              <w:t xml:space="preserve"> S</w:t>
            </w:r>
            <w:r w:rsidRPr="00DD5BA4">
              <w:rPr>
                <w:rFonts w:ascii="Times New Roman" w:hAnsi="Times New Roman" w:cs="Times New Roman"/>
              </w:rPr>
              <w:t>udan</w:t>
            </w:r>
            <w:r>
              <w:rPr>
                <w:rFonts w:ascii="Times New Roman" w:hAnsi="Times New Roman" w:cs="Times New Roman"/>
              </w:rPr>
              <w:t xml:space="preserve">, </w:t>
            </w:r>
            <w:r w:rsidRPr="00DD5BA4">
              <w:rPr>
                <w:rFonts w:ascii="Times New Roman" w:hAnsi="Times New Roman" w:cs="Times New Roman"/>
              </w:rPr>
              <w:t>Tajikistan</w:t>
            </w:r>
            <w:r>
              <w:rPr>
                <w:rFonts w:ascii="Times New Roman" w:hAnsi="Times New Roman" w:cs="Times New Roman"/>
              </w:rPr>
              <w:t xml:space="preserve">, </w:t>
            </w:r>
            <w:r w:rsidRPr="00DD5BA4">
              <w:rPr>
                <w:rFonts w:ascii="Times New Roman" w:hAnsi="Times New Roman" w:cs="Times New Roman"/>
              </w:rPr>
              <w:t>Timor</w:t>
            </w:r>
            <w:r>
              <w:rPr>
                <w:rFonts w:ascii="Times New Roman" w:hAnsi="Times New Roman" w:cs="Times New Roman"/>
              </w:rPr>
              <w:t xml:space="preserve"> </w:t>
            </w:r>
            <w:proofErr w:type="spellStart"/>
            <w:r>
              <w:rPr>
                <w:rFonts w:ascii="Times New Roman" w:hAnsi="Times New Roman" w:cs="Times New Roman"/>
              </w:rPr>
              <w:t>L</w:t>
            </w:r>
            <w:r w:rsidRPr="00DD5BA4">
              <w:rPr>
                <w:rFonts w:ascii="Times New Roman" w:hAnsi="Times New Roman" w:cs="Times New Roman"/>
              </w:rPr>
              <w:t>este</w:t>
            </w:r>
            <w:proofErr w:type="spellEnd"/>
            <w:r>
              <w:rPr>
                <w:rFonts w:ascii="Times New Roman" w:hAnsi="Times New Roman" w:cs="Times New Roman"/>
              </w:rPr>
              <w:t xml:space="preserve">, </w:t>
            </w:r>
            <w:r w:rsidRPr="00DD5BA4">
              <w:rPr>
                <w:rFonts w:ascii="Times New Roman" w:hAnsi="Times New Roman" w:cs="Times New Roman"/>
              </w:rPr>
              <w:t>Togo</w:t>
            </w:r>
            <w:r>
              <w:rPr>
                <w:rFonts w:ascii="Times New Roman" w:hAnsi="Times New Roman" w:cs="Times New Roman"/>
              </w:rPr>
              <w:t xml:space="preserve">, </w:t>
            </w:r>
            <w:r w:rsidRPr="00DD5BA4">
              <w:rPr>
                <w:rFonts w:ascii="Times New Roman" w:hAnsi="Times New Roman" w:cs="Times New Roman"/>
              </w:rPr>
              <w:t>Turkmenistan</w:t>
            </w:r>
            <w:r>
              <w:rPr>
                <w:rFonts w:ascii="Times New Roman" w:hAnsi="Times New Roman" w:cs="Times New Roman"/>
              </w:rPr>
              <w:t xml:space="preserve">, </w:t>
            </w:r>
            <w:r w:rsidRPr="00DD5BA4">
              <w:rPr>
                <w:rFonts w:ascii="Times New Roman" w:hAnsi="Times New Roman" w:cs="Times New Roman"/>
              </w:rPr>
              <w:t>Uzbekistan</w:t>
            </w:r>
            <w:r>
              <w:rPr>
                <w:rFonts w:ascii="Times New Roman" w:hAnsi="Times New Roman" w:cs="Times New Roman"/>
              </w:rPr>
              <w:t xml:space="preserve">, </w:t>
            </w:r>
            <w:r w:rsidRPr="00DD5BA4">
              <w:rPr>
                <w:rFonts w:ascii="Times New Roman" w:hAnsi="Times New Roman" w:cs="Times New Roman"/>
              </w:rPr>
              <w:t>Vanuatu</w:t>
            </w:r>
            <w:r>
              <w:rPr>
                <w:rFonts w:ascii="Times New Roman" w:hAnsi="Times New Roman" w:cs="Times New Roman"/>
              </w:rPr>
              <w:t xml:space="preserve">, </w:t>
            </w:r>
            <w:r w:rsidRPr="00DD5BA4">
              <w:rPr>
                <w:rFonts w:ascii="Times New Roman" w:hAnsi="Times New Roman" w:cs="Times New Roman"/>
              </w:rPr>
              <w:t>Yemen</w:t>
            </w:r>
          </w:p>
        </w:tc>
      </w:tr>
    </w:tbl>
    <w:p w14:paraId="368E2BAE" w14:textId="77777777" w:rsidR="00106A4E" w:rsidRPr="00110FA1" w:rsidRDefault="00106A4E" w:rsidP="00110FA1">
      <w:pPr>
        <w:spacing w:line="480" w:lineRule="auto"/>
        <w:ind w:firstLine="720"/>
        <w:rPr>
          <w:rFonts w:ascii="Times New Roman" w:hAnsi="Times New Roman" w:cs="Times New Roman"/>
        </w:rPr>
      </w:pPr>
    </w:p>
    <w:p w14:paraId="63AFA912" w14:textId="78334A8C" w:rsidR="001364A7" w:rsidRPr="00110FA1" w:rsidRDefault="00B46F4C" w:rsidP="00110FA1">
      <w:pPr>
        <w:spacing w:line="480" w:lineRule="auto"/>
        <w:ind w:firstLine="720"/>
        <w:rPr>
          <w:rFonts w:ascii="Times New Roman" w:hAnsi="Times New Roman" w:cs="Times New Roman"/>
        </w:rPr>
      </w:pPr>
      <w:r w:rsidRPr="00110FA1">
        <w:rPr>
          <w:rFonts w:ascii="Times New Roman" w:hAnsi="Times New Roman" w:cs="Times New Roman"/>
        </w:rPr>
        <w:t xml:space="preserve">In our analysis, we used the COVID-19 pandemic </w:t>
      </w:r>
      <w:r w:rsidR="008F2FEA">
        <w:rPr>
          <w:rFonts w:ascii="Times New Roman" w:hAnsi="Times New Roman" w:cs="Times New Roman"/>
        </w:rPr>
        <w:t>to</w:t>
      </w:r>
      <w:r w:rsidRPr="00110FA1">
        <w:rPr>
          <w:rFonts w:ascii="Times New Roman" w:hAnsi="Times New Roman" w:cs="Times New Roman"/>
        </w:rPr>
        <w:t xml:space="preserve"> introduce a </w:t>
      </w:r>
      <w:r w:rsidR="002F1A1A" w:rsidRPr="00110FA1">
        <w:rPr>
          <w:rFonts w:ascii="Times New Roman" w:hAnsi="Times New Roman" w:cs="Times New Roman"/>
        </w:rPr>
        <w:t>“</w:t>
      </w:r>
      <w:proofErr w:type="spellStart"/>
      <w:r w:rsidR="002F1A1A" w:rsidRPr="00110FA1">
        <w:rPr>
          <w:rFonts w:ascii="Times New Roman" w:hAnsi="Times New Roman" w:cs="Times New Roman"/>
        </w:rPr>
        <w:t>P</w:t>
      </w:r>
      <w:r w:rsidRPr="00110FA1">
        <w:rPr>
          <w:rFonts w:ascii="Times New Roman" w:hAnsi="Times New Roman" w:cs="Times New Roman"/>
        </w:rPr>
        <w:t>repost</w:t>
      </w:r>
      <w:proofErr w:type="spellEnd"/>
      <w:r w:rsidR="002F1A1A" w:rsidRPr="00110FA1">
        <w:rPr>
          <w:rFonts w:ascii="Times New Roman" w:hAnsi="Times New Roman" w:cs="Times New Roman"/>
        </w:rPr>
        <w:t>”</w:t>
      </w:r>
      <w:r w:rsidRPr="00110FA1">
        <w:rPr>
          <w:rFonts w:ascii="Times New Roman" w:hAnsi="Times New Roman" w:cs="Times New Roman"/>
        </w:rPr>
        <w:t xml:space="preserve"> variable where the years prior to 2020 was defined as pre- (0) and the year of 2020 was defined as post- (0). </w:t>
      </w:r>
      <w:r w:rsidR="00BB2E9A" w:rsidRPr="00110FA1">
        <w:rPr>
          <w:rFonts w:ascii="Times New Roman" w:hAnsi="Times New Roman" w:cs="Times New Roman"/>
        </w:rPr>
        <w:t xml:space="preserve">Unlike typical </w:t>
      </w:r>
      <w:proofErr w:type="spellStart"/>
      <w:r w:rsidR="00BB2E9A" w:rsidRPr="00110FA1">
        <w:rPr>
          <w:rFonts w:ascii="Times New Roman" w:hAnsi="Times New Roman" w:cs="Times New Roman"/>
        </w:rPr>
        <w:t>DiD</w:t>
      </w:r>
      <w:proofErr w:type="spellEnd"/>
      <w:r w:rsidR="00BB2E9A" w:rsidRPr="00110FA1">
        <w:rPr>
          <w:rFonts w:ascii="Times New Roman" w:hAnsi="Times New Roman" w:cs="Times New Roman"/>
        </w:rPr>
        <w:t xml:space="preserve"> design, the COVID-19 pandemic happened across the globe, thus to countries in both UHC and non-UHC countries. </w:t>
      </w:r>
      <w:r w:rsidR="001364A7" w:rsidRPr="00110FA1">
        <w:rPr>
          <w:rFonts w:ascii="Times New Roman" w:hAnsi="Times New Roman" w:cs="Times New Roman"/>
        </w:rPr>
        <w:t xml:space="preserve">However, we assumed that the ‘resiliency </w:t>
      </w:r>
      <w:r w:rsidR="001364A7" w:rsidRPr="00110FA1">
        <w:rPr>
          <w:rFonts w:ascii="Times New Roman" w:hAnsi="Times New Roman" w:cs="Times New Roman"/>
        </w:rPr>
        <w:lastRenderedPageBreak/>
        <w:t xml:space="preserve">against COVID-19’, which is an intervention effect of interest, is only present in the group with higher level UHC and only kicked into effect when COVID-19 pandemic happened. Therefore, although seems unusual, our study design falls into the definition of </w:t>
      </w:r>
      <w:proofErr w:type="spellStart"/>
      <w:r w:rsidR="001364A7" w:rsidRPr="00110FA1">
        <w:rPr>
          <w:rFonts w:ascii="Times New Roman" w:hAnsi="Times New Roman" w:cs="Times New Roman"/>
        </w:rPr>
        <w:t>DiD</w:t>
      </w:r>
      <w:proofErr w:type="spellEnd"/>
      <w:r w:rsidR="001364A7" w:rsidRPr="00110FA1">
        <w:rPr>
          <w:rFonts w:ascii="Times New Roman" w:hAnsi="Times New Roman" w:cs="Times New Roman"/>
        </w:rPr>
        <w:t xml:space="preserve">. </w:t>
      </w:r>
    </w:p>
    <w:p w14:paraId="1F5B7B33" w14:textId="14619AA8" w:rsidR="00B46F4C" w:rsidRPr="00110FA1" w:rsidRDefault="00B46F4C" w:rsidP="00980FF4">
      <w:pPr>
        <w:spacing w:line="480" w:lineRule="auto"/>
        <w:ind w:firstLine="720"/>
        <w:rPr>
          <w:rFonts w:ascii="Times New Roman" w:hAnsi="Times New Roman" w:cs="Times New Roman"/>
        </w:rPr>
      </w:pPr>
      <w:r w:rsidRPr="00110FA1">
        <w:rPr>
          <w:rFonts w:ascii="Times New Roman" w:hAnsi="Times New Roman" w:cs="Times New Roman"/>
        </w:rPr>
        <w:t>We used country’s immunization coverage as an outcome and conducted the analysis for overall immunization coverage and for specific types of vaccine</w:t>
      </w:r>
      <w:r w:rsidR="00EE2EB8">
        <w:rPr>
          <w:rFonts w:ascii="Times New Roman" w:hAnsi="Times New Roman" w:cs="Times New Roman"/>
        </w:rPr>
        <w:t xml:space="preserve">. We excluded yellow fever vaccine (YFV) and the first dose of </w:t>
      </w:r>
      <w:proofErr w:type="spellStart"/>
      <w:r w:rsidR="00EE2EB8">
        <w:rPr>
          <w:rFonts w:ascii="Times New Roman" w:hAnsi="Times New Roman" w:cs="Times New Roman"/>
        </w:rPr>
        <w:t>inactived</w:t>
      </w:r>
      <w:proofErr w:type="spellEnd"/>
      <w:r w:rsidR="00EE2EB8">
        <w:rPr>
          <w:rFonts w:ascii="Times New Roman" w:hAnsi="Times New Roman" w:cs="Times New Roman"/>
        </w:rPr>
        <w:t xml:space="preserve"> polio vaccine (IPV-1) from the analysis due to the following reason: yellow fever vaccine is only administered in a limited number of high-risk </w:t>
      </w:r>
      <w:proofErr w:type="gramStart"/>
      <w:r w:rsidR="00EE2EB8">
        <w:rPr>
          <w:rFonts w:ascii="Times New Roman" w:hAnsi="Times New Roman" w:cs="Times New Roman"/>
        </w:rPr>
        <w:t>country</w:t>
      </w:r>
      <w:proofErr w:type="gramEnd"/>
      <w:r w:rsidR="00EE2EB8">
        <w:rPr>
          <w:rFonts w:ascii="Times New Roman" w:hAnsi="Times New Roman" w:cs="Times New Roman"/>
        </w:rPr>
        <w:t xml:space="preserve">, therefore does not have a balanced number of coverage data in stratified UHC categories; IPV-1 was only introduced into the dataset after 2015 and the data was </w:t>
      </w:r>
      <w:r w:rsidR="000240AD">
        <w:rPr>
          <w:rFonts w:ascii="Times New Roman" w:hAnsi="Times New Roman" w:cs="Times New Roman"/>
        </w:rPr>
        <w:t>irregularly collected. As a result, the analysis included 12 types of vaccines</w:t>
      </w:r>
      <w:r w:rsidR="00980FF4">
        <w:rPr>
          <w:rFonts w:ascii="Times New Roman" w:hAnsi="Times New Roman" w:cs="Times New Roman"/>
        </w:rPr>
        <w:t xml:space="preserve">, namely </w:t>
      </w:r>
      <w:proofErr w:type="spellStart"/>
      <w:r w:rsidR="00980FF4">
        <w:rPr>
          <w:rFonts w:ascii="Times New Roman" w:hAnsi="Times New Roman" w:cs="Times New Roman"/>
        </w:rPr>
        <w:t>B</w:t>
      </w:r>
      <w:r w:rsidR="00980FF4" w:rsidRPr="00980FF4">
        <w:rPr>
          <w:rFonts w:ascii="Times New Roman" w:hAnsi="Times New Roman" w:cs="Times New Roman"/>
        </w:rPr>
        <w:t>acille</w:t>
      </w:r>
      <w:proofErr w:type="spellEnd"/>
      <w:r w:rsidR="00980FF4" w:rsidRPr="00980FF4">
        <w:rPr>
          <w:rFonts w:ascii="Times New Roman" w:hAnsi="Times New Roman" w:cs="Times New Roman"/>
        </w:rPr>
        <w:t xml:space="preserve"> Calmette-</w:t>
      </w:r>
      <w:proofErr w:type="spellStart"/>
      <w:r w:rsidR="00980FF4" w:rsidRPr="00980FF4">
        <w:rPr>
          <w:rFonts w:ascii="Times New Roman" w:hAnsi="Times New Roman" w:cs="Times New Roman"/>
        </w:rPr>
        <w:t>Guérin</w:t>
      </w:r>
      <w:proofErr w:type="spellEnd"/>
      <w:r w:rsidR="00980FF4" w:rsidRPr="00980FF4">
        <w:rPr>
          <w:rFonts w:ascii="Times New Roman" w:hAnsi="Times New Roman" w:cs="Times New Roman"/>
        </w:rPr>
        <w:t xml:space="preserve"> (BCG);</w:t>
      </w:r>
      <w:r w:rsidR="00980FF4">
        <w:rPr>
          <w:rFonts w:ascii="Times New Roman" w:hAnsi="Times New Roman" w:cs="Times New Roman"/>
        </w:rPr>
        <w:t xml:space="preserve"> f</w:t>
      </w:r>
      <w:r w:rsidR="00980FF4" w:rsidRPr="00980FF4">
        <w:rPr>
          <w:rFonts w:ascii="Times New Roman" w:hAnsi="Times New Roman" w:cs="Times New Roman"/>
        </w:rPr>
        <w:t>irst and third dose of diphtheria and tetanus toxoid and pertussis containing vaccine (DTP1, DTP3);</w:t>
      </w:r>
      <w:r w:rsidR="00980FF4">
        <w:rPr>
          <w:rFonts w:ascii="Times New Roman" w:hAnsi="Times New Roman" w:cs="Times New Roman"/>
        </w:rPr>
        <w:t xml:space="preserve"> b</w:t>
      </w:r>
      <w:r w:rsidR="00980FF4" w:rsidRPr="00980FF4">
        <w:rPr>
          <w:rFonts w:ascii="Times New Roman" w:hAnsi="Times New Roman" w:cs="Times New Roman"/>
        </w:rPr>
        <w:t>irth dose of hepatitis B vaccine (HEP</w:t>
      </w:r>
      <w:r w:rsidR="00871242">
        <w:rPr>
          <w:rFonts w:ascii="Times New Roman" w:hAnsi="Times New Roman" w:cs="Times New Roman"/>
        </w:rPr>
        <w:t>B-3</w:t>
      </w:r>
      <w:r w:rsidR="00980FF4" w:rsidRPr="00980FF4">
        <w:rPr>
          <w:rFonts w:ascii="Times New Roman" w:hAnsi="Times New Roman" w:cs="Times New Roman"/>
        </w:rPr>
        <w:t>);</w:t>
      </w:r>
      <w:r w:rsidR="00980FF4">
        <w:rPr>
          <w:rFonts w:ascii="Times New Roman" w:hAnsi="Times New Roman" w:cs="Times New Roman"/>
        </w:rPr>
        <w:t xml:space="preserve"> t</w:t>
      </w:r>
      <w:r w:rsidR="00980FF4" w:rsidRPr="00980FF4">
        <w:rPr>
          <w:rFonts w:ascii="Times New Roman" w:hAnsi="Times New Roman" w:cs="Times New Roman"/>
        </w:rPr>
        <w:t>hird dose of hepatitis B containing vaccine (HEPBB);</w:t>
      </w:r>
      <w:r w:rsidR="00980FF4">
        <w:rPr>
          <w:rFonts w:ascii="Times New Roman" w:hAnsi="Times New Roman" w:cs="Times New Roman"/>
        </w:rPr>
        <w:t xml:space="preserve"> t</w:t>
      </w:r>
      <w:r w:rsidR="00980FF4" w:rsidRPr="00980FF4">
        <w:rPr>
          <w:rFonts w:ascii="Times New Roman" w:hAnsi="Times New Roman" w:cs="Times New Roman"/>
        </w:rPr>
        <w:t xml:space="preserve">hird dose of </w:t>
      </w:r>
      <w:proofErr w:type="spellStart"/>
      <w:r w:rsidR="00980FF4" w:rsidRPr="00871242">
        <w:rPr>
          <w:rFonts w:ascii="Times New Roman" w:hAnsi="Times New Roman" w:cs="Times New Roman"/>
          <w:i/>
          <w:iCs/>
        </w:rPr>
        <w:t>Haemophilus</w:t>
      </w:r>
      <w:proofErr w:type="spellEnd"/>
      <w:r w:rsidR="00980FF4" w:rsidRPr="00871242">
        <w:rPr>
          <w:rFonts w:ascii="Times New Roman" w:hAnsi="Times New Roman" w:cs="Times New Roman"/>
          <w:i/>
          <w:iCs/>
        </w:rPr>
        <w:t xml:space="preserve"> influenzae</w:t>
      </w:r>
      <w:r w:rsidR="00980FF4" w:rsidRPr="00980FF4">
        <w:rPr>
          <w:rFonts w:ascii="Times New Roman" w:hAnsi="Times New Roman" w:cs="Times New Roman"/>
        </w:rPr>
        <w:t xml:space="preserve"> type </w:t>
      </w:r>
      <w:r w:rsidR="00871242">
        <w:rPr>
          <w:rFonts w:ascii="Times New Roman" w:hAnsi="Times New Roman" w:cs="Times New Roman"/>
        </w:rPr>
        <w:t>B</w:t>
      </w:r>
      <w:r w:rsidR="00980FF4" w:rsidRPr="00980FF4">
        <w:rPr>
          <w:rFonts w:ascii="Times New Roman" w:hAnsi="Times New Roman" w:cs="Times New Roman"/>
        </w:rPr>
        <w:t xml:space="preserve"> containing vaccine (HIB3);</w:t>
      </w:r>
      <w:r w:rsidR="00980FF4">
        <w:rPr>
          <w:rFonts w:ascii="Times New Roman" w:hAnsi="Times New Roman" w:cs="Times New Roman"/>
        </w:rPr>
        <w:t xml:space="preserve"> f</w:t>
      </w:r>
      <w:r w:rsidR="00980FF4" w:rsidRPr="00980FF4">
        <w:rPr>
          <w:rFonts w:ascii="Times New Roman" w:hAnsi="Times New Roman" w:cs="Times New Roman"/>
        </w:rPr>
        <w:t>irst and second doses of measles containing vaccine (MCV1, MCV2);</w:t>
      </w:r>
      <w:r w:rsidR="00980FF4">
        <w:rPr>
          <w:rFonts w:ascii="Times New Roman" w:hAnsi="Times New Roman" w:cs="Times New Roman"/>
        </w:rPr>
        <w:t xml:space="preserve"> t</w:t>
      </w:r>
      <w:r w:rsidR="00980FF4" w:rsidRPr="00980FF4">
        <w:rPr>
          <w:rFonts w:ascii="Times New Roman" w:hAnsi="Times New Roman" w:cs="Times New Roman"/>
        </w:rPr>
        <w:t>hird dose of pneumococcal conjugate vaccine (PCV3);</w:t>
      </w:r>
      <w:r w:rsidR="00980FF4">
        <w:rPr>
          <w:rFonts w:ascii="Times New Roman" w:hAnsi="Times New Roman" w:cs="Times New Roman"/>
        </w:rPr>
        <w:t xml:space="preserve"> t</w:t>
      </w:r>
      <w:r w:rsidR="00980FF4" w:rsidRPr="00980FF4">
        <w:rPr>
          <w:rFonts w:ascii="Times New Roman" w:hAnsi="Times New Roman" w:cs="Times New Roman"/>
        </w:rPr>
        <w:t>hird dose of polio containing vaccine (POL3);</w:t>
      </w:r>
      <w:r w:rsidR="00980FF4">
        <w:rPr>
          <w:rFonts w:ascii="Times New Roman" w:hAnsi="Times New Roman" w:cs="Times New Roman"/>
        </w:rPr>
        <w:t xml:space="preserve"> s</w:t>
      </w:r>
      <w:r w:rsidR="00980FF4" w:rsidRPr="00980FF4">
        <w:rPr>
          <w:rFonts w:ascii="Times New Roman" w:hAnsi="Times New Roman" w:cs="Times New Roman"/>
        </w:rPr>
        <w:t xml:space="preserve">econd or third dose of rotavirus vaccine (ROTAC); </w:t>
      </w:r>
      <w:r w:rsidR="00980FF4">
        <w:rPr>
          <w:rFonts w:ascii="Times New Roman" w:hAnsi="Times New Roman" w:cs="Times New Roman"/>
        </w:rPr>
        <w:t>and the f</w:t>
      </w:r>
      <w:r w:rsidR="00980FF4" w:rsidRPr="00980FF4">
        <w:rPr>
          <w:rFonts w:ascii="Times New Roman" w:hAnsi="Times New Roman" w:cs="Times New Roman"/>
        </w:rPr>
        <w:t>irst dose of rubella containing vaccine (RCV1)</w:t>
      </w:r>
      <w:r w:rsidR="00980FF4">
        <w:rPr>
          <w:rFonts w:ascii="Times New Roman" w:hAnsi="Times New Roman" w:cs="Times New Roman"/>
        </w:rPr>
        <w:t>.</w:t>
      </w:r>
    </w:p>
    <w:p w14:paraId="1CD5E9E7" w14:textId="24E6AD78" w:rsidR="002F1A1A" w:rsidRDefault="002F1A1A" w:rsidP="00110FA1">
      <w:pPr>
        <w:spacing w:line="480" w:lineRule="auto"/>
        <w:ind w:firstLine="720"/>
        <w:rPr>
          <w:rFonts w:ascii="Times New Roman" w:hAnsi="Times New Roman" w:cs="Times New Roman"/>
        </w:rPr>
      </w:pPr>
      <w:r w:rsidRPr="00110FA1">
        <w:rPr>
          <w:rFonts w:ascii="Times New Roman" w:hAnsi="Times New Roman" w:cs="Times New Roman"/>
        </w:rPr>
        <w:t>For all analyses performed, we adjusted for year, country’s WB income group, country’s geographical region according to WHO classification</w:t>
      </w:r>
      <w:r w:rsidRPr="00110FA1">
        <w:rPr>
          <w:rFonts w:ascii="Times New Roman" w:hAnsi="Times New Roman" w:cs="Times New Roman"/>
        </w:rPr>
        <w:t xml:space="preserve">, </w:t>
      </w:r>
      <w:r w:rsidR="00C810A4">
        <w:rPr>
          <w:rFonts w:ascii="Times New Roman" w:hAnsi="Times New Roman" w:cs="Times New Roman"/>
        </w:rPr>
        <w:t xml:space="preserve">and type of vaccine </w:t>
      </w:r>
      <w:r w:rsidRPr="00110FA1">
        <w:rPr>
          <w:rFonts w:ascii="Times New Roman" w:hAnsi="Times New Roman" w:cs="Times New Roman"/>
        </w:rPr>
        <w:t xml:space="preserve">as presented </w:t>
      </w:r>
      <w:r w:rsidR="00CC653C" w:rsidRPr="00110FA1">
        <w:rPr>
          <w:rFonts w:ascii="Times New Roman" w:hAnsi="Times New Roman" w:cs="Times New Roman"/>
        </w:rPr>
        <w:t xml:space="preserve">as </w:t>
      </w:r>
      <w:r w:rsidRPr="00110FA1">
        <w:rPr>
          <w:rFonts w:ascii="Times New Roman" w:hAnsi="Times New Roman" w:cs="Times New Roman"/>
        </w:rPr>
        <w:t>a vector Z in the equation</w:t>
      </w:r>
      <w:r w:rsidRPr="00110FA1">
        <w:rPr>
          <w:rFonts w:ascii="Times New Roman" w:hAnsi="Times New Roman" w:cs="Times New Roman"/>
        </w:rPr>
        <w:t>.</w:t>
      </w:r>
    </w:p>
    <w:p w14:paraId="79CF152D" w14:textId="77777777" w:rsidR="00110FA1" w:rsidRPr="00110FA1" w:rsidRDefault="00110FA1" w:rsidP="00110FA1">
      <w:pPr>
        <w:spacing w:line="480" w:lineRule="auto"/>
        <w:ind w:firstLine="720"/>
        <w:rPr>
          <w:rFonts w:ascii="Times New Roman" w:hAnsi="Times New Roman" w:cs="Times New Roman"/>
        </w:rPr>
      </w:pPr>
    </w:p>
    <w:p w14:paraId="771A6F48" w14:textId="77777777" w:rsidR="002F1A1A" w:rsidRPr="00110FA1" w:rsidRDefault="002F1A1A" w:rsidP="00110FA1">
      <w:pPr>
        <w:spacing w:line="480" w:lineRule="auto"/>
        <w:rPr>
          <w:rFonts w:ascii="Times New Roman" w:hAnsi="Times New Roman" w:cs="Times New Roman"/>
          <w:sz w:val="21"/>
          <w:szCs w:val="21"/>
        </w:rPr>
      </w:pPr>
      <m:oMathPara>
        <m:oMath>
          <m:d>
            <m:dPr>
              <m:ctrlPr>
                <w:rPr>
                  <w:rFonts w:ascii="Cambria Math" w:hAnsi="Cambria Math" w:cs="Times New Roman"/>
                  <w:i/>
                  <w:sz w:val="21"/>
                  <w:szCs w:val="21"/>
                </w:rPr>
              </m:ctrlPr>
            </m:dPr>
            <m:e>
              <m:r>
                <w:rPr>
                  <w:rFonts w:ascii="Cambria Math" w:hAnsi="Cambria Math" w:cs="Times New Roman"/>
                  <w:sz w:val="21"/>
                  <w:szCs w:val="21"/>
                </w:rPr>
                <m:t>Immunization Coverage</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2</m:t>
              </m:r>
            </m:sub>
          </m:sSub>
          <m:r>
            <w:rPr>
              <w:rFonts w:ascii="Cambria Math" w:hAnsi="Cambria Math" w:cs="Times New Roman"/>
              <w:sz w:val="21"/>
              <w:szCs w:val="21"/>
            </w:rPr>
            <m:t>*prepost+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3</m:t>
              </m:r>
            </m:sub>
          </m:sSub>
          <m:r>
            <w:rPr>
              <w:rFonts w:ascii="Cambria Math" w:hAnsi="Cambria Math" w:cs="Times New Roman"/>
              <w:sz w:val="21"/>
              <w:szCs w:val="21"/>
            </w:rPr>
            <m:t>*UHC category+</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4</m:t>
              </m:r>
            </m:sub>
          </m:sSub>
          <m:r>
            <w:rPr>
              <w:rFonts w:ascii="Cambria Math" w:hAnsi="Cambria Math" w:cs="Times New Roman"/>
              <w:sz w:val="21"/>
              <w:szCs w:val="21"/>
            </w:rPr>
            <m:t>*prepost*UHC category +Z+ϵ</m:t>
          </m:r>
        </m:oMath>
      </m:oMathPara>
    </w:p>
    <w:p w14:paraId="4C2C242D" w14:textId="77777777" w:rsidR="002F1A1A" w:rsidRPr="00110FA1" w:rsidRDefault="002F1A1A" w:rsidP="00110FA1">
      <w:pPr>
        <w:spacing w:line="480" w:lineRule="auto"/>
        <w:rPr>
          <w:rFonts w:ascii="Times New Roman" w:hAnsi="Times New Roman" w:cs="Times New Roman"/>
        </w:rPr>
      </w:pPr>
    </w:p>
    <w:p w14:paraId="5ED0FC38" w14:textId="69A5B642" w:rsidR="001364A7" w:rsidRPr="00110FA1" w:rsidRDefault="001364A7" w:rsidP="00110FA1">
      <w:pPr>
        <w:spacing w:line="480" w:lineRule="auto"/>
        <w:rPr>
          <w:rFonts w:ascii="Times New Roman" w:hAnsi="Times New Roman" w:cs="Times New Roman"/>
        </w:rPr>
      </w:pPr>
      <w:r w:rsidRPr="00110FA1">
        <w:rPr>
          <w:rFonts w:ascii="Times New Roman" w:hAnsi="Times New Roman" w:cs="Times New Roman"/>
        </w:rPr>
        <w:lastRenderedPageBreak/>
        <w:tab/>
      </w:r>
    </w:p>
    <w:p w14:paraId="69D2479B" w14:textId="2B732566" w:rsidR="000F7C71" w:rsidRDefault="000F7C71" w:rsidP="00110FA1">
      <w:pPr>
        <w:spacing w:line="480" w:lineRule="auto"/>
        <w:rPr>
          <w:rFonts w:ascii="Times New Roman" w:hAnsi="Times New Roman" w:cs="Times New Roman"/>
          <w:b/>
          <w:bCs/>
        </w:rPr>
      </w:pPr>
      <w:r w:rsidRPr="00110FA1">
        <w:rPr>
          <w:rFonts w:ascii="Times New Roman" w:hAnsi="Times New Roman" w:cs="Times New Roman"/>
          <w:b/>
          <w:bCs/>
        </w:rPr>
        <w:t>Results</w:t>
      </w:r>
    </w:p>
    <w:p w14:paraId="7B6E75B2" w14:textId="5B38E45F" w:rsidR="00CA33BC" w:rsidRPr="00110FA1" w:rsidRDefault="009300A9" w:rsidP="00110FA1">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309DE927" wp14:editId="58BD6245">
            <wp:extent cx="5943600" cy="6686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6686550"/>
                    </a:xfrm>
                    <a:prstGeom prst="rect">
                      <a:avLst/>
                    </a:prstGeom>
                  </pic:spPr>
                </pic:pic>
              </a:graphicData>
            </a:graphic>
          </wp:inline>
        </w:drawing>
      </w:r>
    </w:p>
    <w:p w14:paraId="5D5EB17F" w14:textId="701047DE" w:rsidR="000F7C71" w:rsidRDefault="000F7C71" w:rsidP="00110FA1">
      <w:pPr>
        <w:spacing w:line="480" w:lineRule="auto"/>
        <w:rPr>
          <w:rFonts w:ascii="Times New Roman" w:hAnsi="Times New Roman" w:cs="Times New Roman"/>
        </w:rPr>
      </w:pPr>
    </w:p>
    <w:p w14:paraId="3A5F94AF" w14:textId="744BF6A9" w:rsidR="00CC653C" w:rsidRPr="00110FA1" w:rsidRDefault="009C0505" w:rsidP="00110FA1">
      <w:pPr>
        <w:spacing w:line="480" w:lineRule="auto"/>
        <w:rPr>
          <w:rFonts w:ascii="Times New Roman" w:hAnsi="Times New Roman" w:cs="Times New Roman"/>
        </w:rPr>
      </w:pPr>
      <w:r>
        <w:rPr>
          <w:rFonts w:ascii="Times New Roman" w:hAnsi="Times New Roman" w:cs="Times New Roman"/>
        </w:rPr>
        <w:lastRenderedPageBreak/>
        <w:t xml:space="preserve">Figure 1. </w:t>
      </w:r>
      <w:r w:rsidR="00076D5F">
        <w:rPr>
          <w:rFonts w:ascii="Times New Roman" w:hAnsi="Times New Roman" w:cs="Times New Roman"/>
        </w:rPr>
        <w:t>Change in immunization coverage over time by UHC SCI 2019 category (&gt;=80 vs. the rest)</w:t>
      </w:r>
      <w:r w:rsidR="00CC653C" w:rsidRPr="00CC653C">
        <w:rPr>
          <w:rFonts w:ascii="Times New Roman" w:eastAsia="Times New Roman" w:hAnsi="Times New Roman" w:cs="Times New Roman"/>
        </w:rPr>
        <w:fldChar w:fldCharType="begin"/>
      </w:r>
      <w:r w:rsidR="00CC653C" w:rsidRPr="00CC653C">
        <w:rPr>
          <w:rFonts w:ascii="Times New Roman" w:eastAsia="Times New Roman" w:hAnsi="Times New Roman" w:cs="Times New Roman"/>
        </w:rPr>
        <w:instrText xml:space="preserve"> INCLUDEPICTURE "http://127.0.0.1:29434/graphics/plot_zoom_png?width=729&amp;height=716" \* MERGEFORMATINET </w:instrText>
      </w:r>
      <w:r w:rsidR="00CC653C" w:rsidRPr="00CC653C">
        <w:rPr>
          <w:rFonts w:ascii="Times New Roman" w:eastAsia="Times New Roman" w:hAnsi="Times New Roman" w:cs="Times New Roman"/>
        </w:rPr>
        <w:fldChar w:fldCharType="separate"/>
      </w:r>
      <w:r w:rsidR="00CC653C" w:rsidRPr="00CC653C">
        <w:rPr>
          <w:rFonts w:ascii="Times New Roman" w:eastAsia="Times New Roman" w:hAnsi="Times New Roman" w:cs="Times New Roman"/>
        </w:rPr>
        <w:fldChar w:fldCharType="end"/>
      </w:r>
    </w:p>
    <w:p w14:paraId="350FBB0B" w14:textId="1ABFB565" w:rsidR="00CC653C" w:rsidRPr="00110FA1" w:rsidRDefault="00CC653C" w:rsidP="00110FA1">
      <w:pPr>
        <w:spacing w:line="480" w:lineRule="auto"/>
        <w:rPr>
          <w:rFonts w:ascii="Times New Roman" w:hAnsi="Times New Roman" w:cs="Times New Roman"/>
        </w:rPr>
      </w:pPr>
    </w:p>
    <w:p w14:paraId="479EACE5" w14:textId="6BC6784B" w:rsidR="00CC653C" w:rsidRDefault="00110FA1" w:rsidP="00110FA1">
      <w:pPr>
        <w:spacing w:line="480" w:lineRule="auto"/>
        <w:rPr>
          <w:rFonts w:ascii="Times New Roman" w:hAnsi="Times New Roman" w:cs="Times New Roman"/>
        </w:rPr>
      </w:pPr>
      <w:r>
        <w:rPr>
          <w:rFonts w:ascii="Times New Roman" w:hAnsi="Times New Roman" w:cs="Times New Roman"/>
        </w:rPr>
        <w:t xml:space="preserve">Figure 1 shows the mean immunization coverage by year for two groups. </w:t>
      </w:r>
      <w:r w:rsidR="00CC653C" w:rsidRPr="00110FA1">
        <w:rPr>
          <w:rFonts w:ascii="Times New Roman" w:hAnsi="Times New Roman" w:cs="Times New Roman"/>
        </w:rPr>
        <w:t>We noticed that before 20</w:t>
      </w:r>
      <w:r w:rsidR="009C0505">
        <w:rPr>
          <w:rFonts w:ascii="Times New Roman" w:hAnsi="Times New Roman" w:cs="Times New Roman"/>
        </w:rPr>
        <w:t>10</w:t>
      </w:r>
      <w:r w:rsidR="00CC653C" w:rsidRPr="00110FA1">
        <w:rPr>
          <w:rFonts w:ascii="Times New Roman" w:hAnsi="Times New Roman" w:cs="Times New Roman"/>
        </w:rPr>
        <w:t xml:space="preserve">, a lot of countries, especially with lower UHC Index, showed rapid improvement in immunization coverage each year. </w:t>
      </w:r>
      <w:r>
        <w:rPr>
          <w:rFonts w:ascii="Times New Roman" w:hAnsi="Times New Roman" w:cs="Times New Roman"/>
        </w:rPr>
        <w:t>T</w:t>
      </w:r>
      <w:r w:rsidR="00CC653C" w:rsidRPr="00110FA1">
        <w:rPr>
          <w:rFonts w:ascii="Times New Roman" w:hAnsi="Times New Roman" w:cs="Times New Roman"/>
        </w:rPr>
        <w:t xml:space="preserve">o withhold the parallel pre-trend assumption, we performed </w:t>
      </w:r>
      <w:proofErr w:type="spellStart"/>
      <w:r w:rsidR="00CC653C" w:rsidRPr="00110FA1">
        <w:rPr>
          <w:rFonts w:ascii="Times New Roman" w:hAnsi="Times New Roman" w:cs="Times New Roman"/>
        </w:rPr>
        <w:t>DiD</w:t>
      </w:r>
      <w:proofErr w:type="spellEnd"/>
      <w:r w:rsidR="00CC653C" w:rsidRPr="00110FA1">
        <w:rPr>
          <w:rFonts w:ascii="Times New Roman" w:hAnsi="Times New Roman" w:cs="Times New Roman"/>
        </w:rPr>
        <w:t xml:space="preserve"> on the data from 20</w:t>
      </w:r>
      <w:r w:rsidR="009C0505">
        <w:rPr>
          <w:rFonts w:ascii="Times New Roman" w:hAnsi="Times New Roman" w:cs="Times New Roman"/>
        </w:rPr>
        <w:t>10</w:t>
      </w:r>
      <w:r w:rsidR="00CC653C" w:rsidRPr="00110FA1">
        <w:rPr>
          <w:rFonts w:ascii="Times New Roman" w:hAnsi="Times New Roman" w:cs="Times New Roman"/>
        </w:rPr>
        <w:t xml:space="preserve"> and onwards.</w:t>
      </w:r>
    </w:p>
    <w:p w14:paraId="19DE2551" w14:textId="7A4A52D6" w:rsidR="002A397D" w:rsidRDefault="002A397D" w:rsidP="00110FA1">
      <w:pPr>
        <w:spacing w:line="480" w:lineRule="auto"/>
        <w:rPr>
          <w:rFonts w:ascii="Times New Roman" w:hAnsi="Times New Roman" w:cs="Times New Roman"/>
        </w:rPr>
      </w:pPr>
    </w:p>
    <w:p w14:paraId="2DAF7330" w14:textId="16CF4376" w:rsidR="00A235E4" w:rsidRDefault="002A397D" w:rsidP="000F776B">
      <w:pPr>
        <w:spacing w:line="480" w:lineRule="auto"/>
        <w:ind w:firstLine="720"/>
        <w:rPr>
          <w:rFonts w:ascii="Times New Roman" w:hAnsi="Times New Roman" w:cs="Times New Roman"/>
        </w:rPr>
      </w:pPr>
      <w:r>
        <w:rPr>
          <w:rFonts w:ascii="Times New Roman" w:hAnsi="Times New Roman" w:cs="Times New Roman"/>
        </w:rPr>
        <w:t>Table 2 shows the result of the regression analysis without difference-in-difference</w:t>
      </w:r>
      <w:r w:rsidR="00931814">
        <w:rPr>
          <w:rFonts w:ascii="Times New Roman" w:hAnsi="Times New Roman" w:cs="Times New Roman"/>
        </w:rPr>
        <w:t xml:space="preserve"> interaction term (base model) and with </w:t>
      </w:r>
      <w:proofErr w:type="spellStart"/>
      <w:r w:rsidR="00931814">
        <w:rPr>
          <w:rFonts w:ascii="Times New Roman" w:hAnsi="Times New Roman" w:cs="Times New Roman"/>
        </w:rPr>
        <w:t>DiD</w:t>
      </w:r>
      <w:proofErr w:type="spellEnd"/>
      <w:r w:rsidR="00931814">
        <w:rPr>
          <w:rFonts w:ascii="Times New Roman" w:hAnsi="Times New Roman" w:cs="Times New Roman"/>
        </w:rPr>
        <w:t xml:space="preserve"> interaction term (</w:t>
      </w:r>
      <w:proofErr w:type="spellStart"/>
      <w:r w:rsidR="00931814">
        <w:rPr>
          <w:rFonts w:ascii="Times New Roman" w:hAnsi="Times New Roman" w:cs="Times New Roman"/>
        </w:rPr>
        <w:t>DiD</w:t>
      </w:r>
      <w:proofErr w:type="spellEnd"/>
      <w:r w:rsidR="00931814">
        <w:rPr>
          <w:rFonts w:ascii="Times New Roman" w:hAnsi="Times New Roman" w:cs="Times New Roman"/>
        </w:rPr>
        <w:t xml:space="preserve"> model)</w:t>
      </w:r>
      <w:r w:rsidR="00D430F9">
        <w:rPr>
          <w:rFonts w:ascii="Times New Roman" w:hAnsi="Times New Roman" w:cs="Times New Roman"/>
        </w:rPr>
        <w:t xml:space="preserve"> comparing the countries with </w:t>
      </w:r>
      <w:r w:rsidR="002608C4">
        <w:rPr>
          <w:rFonts w:ascii="Times New Roman" w:hAnsi="Times New Roman" w:cs="Times New Roman"/>
        </w:rPr>
        <w:t xml:space="preserve">high level of </w:t>
      </w:r>
      <w:r w:rsidR="00D430F9">
        <w:rPr>
          <w:rFonts w:ascii="Times New Roman" w:hAnsi="Times New Roman" w:cs="Times New Roman"/>
        </w:rPr>
        <w:t xml:space="preserve">UHC </w:t>
      </w:r>
      <w:r w:rsidR="002608C4">
        <w:rPr>
          <w:rFonts w:ascii="Times New Roman" w:hAnsi="Times New Roman" w:cs="Times New Roman"/>
        </w:rPr>
        <w:t xml:space="preserve">(UHC </w:t>
      </w:r>
      <w:r w:rsidR="00D430F9">
        <w:rPr>
          <w:rFonts w:ascii="Times New Roman" w:hAnsi="Times New Roman" w:cs="Times New Roman"/>
        </w:rPr>
        <w:t>SCI 2019</w:t>
      </w:r>
      <w:r w:rsidR="002608C4">
        <w:rPr>
          <w:rFonts w:ascii="Times New Roman" w:hAnsi="Times New Roman" w:cs="Times New Roman"/>
        </w:rPr>
        <w:t xml:space="preserve"> &gt;=</w:t>
      </w:r>
      <w:r w:rsidR="00D430F9">
        <w:rPr>
          <w:rFonts w:ascii="Times New Roman" w:hAnsi="Times New Roman" w:cs="Times New Roman"/>
        </w:rPr>
        <w:t>80</w:t>
      </w:r>
      <w:r w:rsidR="002608C4">
        <w:rPr>
          <w:rFonts w:ascii="Times New Roman" w:hAnsi="Times New Roman" w:cs="Times New Roman"/>
        </w:rPr>
        <w:t>)</w:t>
      </w:r>
      <w:r w:rsidR="00D430F9">
        <w:rPr>
          <w:rFonts w:ascii="Times New Roman" w:hAnsi="Times New Roman" w:cs="Times New Roman"/>
        </w:rPr>
        <w:t xml:space="preserve"> with the rest</w:t>
      </w:r>
      <w:r w:rsidR="00931814">
        <w:rPr>
          <w:rFonts w:ascii="Times New Roman" w:hAnsi="Times New Roman" w:cs="Times New Roman"/>
        </w:rPr>
        <w:t>.</w:t>
      </w:r>
      <w:r w:rsidR="00A235E4">
        <w:rPr>
          <w:rFonts w:ascii="Times New Roman" w:hAnsi="Times New Roman" w:cs="Times New Roman"/>
        </w:rPr>
        <w:t xml:space="preserve"> In both models, immunization coverage </w:t>
      </w:r>
      <w:r w:rsidR="00DE4936">
        <w:rPr>
          <w:rFonts w:ascii="Times New Roman" w:hAnsi="Times New Roman" w:cs="Times New Roman"/>
        </w:rPr>
        <w:t>did not change significantly over years</w:t>
      </w:r>
      <w:r w:rsidR="00A235E4">
        <w:rPr>
          <w:rFonts w:ascii="Times New Roman" w:hAnsi="Times New Roman" w:cs="Times New Roman"/>
        </w:rPr>
        <w:t xml:space="preserve"> (</w:t>
      </w:r>
      <w:r w:rsidR="00DE4936">
        <w:rPr>
          <w:rFonts w:ascii="Times New Roman" w:hAnsi="Times New Roman" w:cs="Times New Roman"/>
        </w:rPr>
        <w:t xml:space="preserve">coefficient 0.01, </w:t>
      </w:r>
      <w:r w:rsidR="00A235E4">
        <w:rPr>
          <w:rFonts w:ascii="Times New Roman" w:hAnsi="Times New Roman" w:cs="Times New Roman"/>
        </w:rPr>
        <w:t xml:space="preserve">p-value </w:t>
      </w:r>
      <w:r w:rsidR="00DE4936">
        <w:rPr>
          <w:rFonts w:ascii="Times New Roman" w:hAnsi="Times New Roman" w:cs="Times New Roman"/>
        </w:rPr>
        <w:t xml:space="preserve">= 0.84 for base model; 0.82 for </w:t>
      </w:r>
      <w:proofErr w:type="spellStart"/>
      <w:r w:rsidR="00DE4936">
        <w:rPr>
          <w:rFonts w:ascii="Times New Roman" w:hAnsi="Times New Roman" w:cs="Times New Roman"/>
        </w:rPr>
        <w:t>DiD</w:t>
      </w:r>
      <w:proofErr w:type="spellEnd"/>
      <w:r w:rsidR="00DE4936">
        <w:rPr>
          <w:rFonts w:ascii="Times New Roman" w:hAnsi="Times New Roman" w:cs="Times New Roman"/>
        </w:rPr>
        <w:t xml:space="preserve"> model</w:t>
      </w:r>
      <w:r w:rsidR="00A235E4">
        <w:rPr>
          <w:rFonts w:ascii="Times New Roman" w:hAnsi="Times New Roman" w:cs="Times New Roman"/>
        </w:rPr>
        <w:t xml:space="preserve">). Compared to high income countries, countries in upper-middle-, lower-middle-, and </w:t>
      </w:r>
      <w:proofErr w:type="gramStart"/>
      <w:r w:rsidR="00A235E4">
        <w:rPr>
          <w:rFonts w:ascii="Times New Roman" w:hAnsi="Times New Roman" w:cs="Times New Roman"/>
        </w:rPr>
        <w:t>low income</w:t>
      </w:r>
      <w:proofErr w:type="gramEnd"/>
      <w:r w:rsidR="00A235E4">
        <w:rPr>
          <w:rFonts w:ascii="Times New Roman" w:hAnsi="Times New Roman" w:cs="Times New Roman"/>
        </w:rPr>
        <w:t xml:space="preserve"> country resulted in significantly higher immunization coverage when controlled for all covariates (coefficient 17.</w:t>
      </w:r>
      <w:r w:rsidR="00DE4936">
        <w:rPr>
          <w:rFonts w:ascii="Times New Roman" w:hAnsi="Times New Roman" w:cs="Times New Roman"/>
        </w:rPr>
        <w:t>41</w:t>
      </w:r>
      <w:r w:rsidR="00A235E4">
        <w:rPr>
          <w:rFonts w:ascii="Times New Roman" w:hAnsi="Times New Roman" w:cs="Times New Roman"/>
        </w:rPr>
        <w:t>, 11.</w:t>
      </w:r>
      <w:r w:rsidR="00DE4936">
        <w:rPr>
          <w:rFonts w:ascii="Times New Roman" w:hAnsi="Times New Roman" w:cs="Times New Roman"/>
        </w:rPr>
        <w:t>99</w:t>
      </w:r>
      <w:r w:rsidR="00A235E4">
        <w:rPr>
          <w:rFonts w:ascii="Times New Roman" w:hAnsi="Times New Roman" w:cs="Times New Roman"/>
        </w:rPr>
        <w:t>, 7.</w:t>
      </w:r>
      <w:r w:rsidR="00DE4936">
        <w:rPr>
          <w:rFonts w:ascii="Times New Roman" w:hAnsi="Times New Roman" w:cs="Times New Roman"/>
        </w:rPr>
        <w:t>63</w:t>
      </w:r>
      <w:r w:rsidR="00A235E4">
        <w:rPr>
          <w:rFonts w:ascii="Times New Roman" w:hAnsi="Times New Roman" w:cs="Times New Roman"/>
        </w:rPr>
        <w:t xml:space="preserve"> respectively, p-value &lt;0.01 for all coefficients).</w:t>
      </w:r>
      <w:r w:rsidR="00931814">
        <w:rPr>
          <w:rFonts w:ascii="Times New Roman" w:hAnsi="Times New Roman" w:cs="Times New Roman"/>
        </w:rPr>
        <w:t xml:space="preserve"> </w:t>
      </w:r>
      <w:r w:rsidR="00A235E4">
        <w:rPr>
          <w:rFonts w:ascii="Times New Roman" w:hAnsi="Times New Roman" w:cs="Times New Roman"/>
        </w:rPr>
        <w:t xml:space="preserve">Countries in the Southeast Asian region and European region showed significantly higher coverage than countries in </w:t>
      </w:r>
      <w:proofErr w:type="gramStart"/>
      <w:r w:rsidR="00A235E4">
        <w:rPr>
          <w:rFonts w:ascii="Times New Roman" w:hAnsi="Times New Roman" w:cs="Times New Roman"/>
        </w:rPr>
        <w:t>Americas</w:t>
      </w:r>
      <w:proofErr w:type="gramEnd"/>
      <w:r w:rsidR="00A235E4">
        <w:rPr>
          <w:rFonts w:ascii="Times New Roman" w:hAnsi="Times New Roman" w:cs="Times New Roman"/>
        </w:rPr>
        <w:t xml:space="preserve"> region by </w:t>
      </w:r>
      <w:r w:rsidR="00DE4936">
        <w:rPr>
          <w:rFonts w:ascii="Times New Roman" w:hAnsi="Times New Roman" w:cs="Times New Roman"/>
        </w:rPr>
        <w:t>4.12</w:t>
      </w:r>
      <w:r w:rsidR="00A235E4">
        <w:rPr>
          <w:rFonts w:ascii="Times New Roman" w:hAnsi="Times New Roman" w:cs="Times New Roman"/>
        </w:rPr>
        <w:t xml:space="preserve">% and </w:t>
      </w:r>
      <w:r w:rsidR="00DE4936">
        <w:rPr>
          <w:rFonts w:ascii="Times New Roman" w:hAnsi="Times New Roman" w:cs="Times New Roman"/>
        </w:rPr>
        <w:t>2.98</w:t>
      </w:r>
      <w:r w:rsidR="00A235E4">
        <w:rPr>
          <w:rFonts w:ascii="Times New Roman" w:hAnsi="Times New Roman" w:cs="Times New Roman"/>
        </w:rPr>
        <w:t xml:space="preserve">% respectively (p-value &lt;0.01 for both coefficients) when controlled for other covariates. </w:t>
      </w:r>
    </w:p>
    <w:p w14:paraId="0F25525D" w14:textId="6BDB7D13" w:rsidR="002608C4" w:rsidRDefault="002608C4" w:rsidP="000F776B">
      <w:pPr>
        <w:spacing w:line="480" w:lineRule="auto"/>
        <w:ind w:firstLine="720"/>
        <w:rPr>
          <w:rFonts w:ascii="Times New Roman" w:hAnsi="Times New Roman" w:cs="Times New Roman"/>
        </w:rPr>
      </w:pPr>
      <w:r>
        <w:rPr>
          <w:rFonts w:ascii="Times New Roman" w:hAnsi="Times New Roman" w:cs="Times New Roman"/>
        </w:rPr>
        <w:t xml:space="preserve">In the base model, when controlled for year, WB income group, and the geographical region, countries with high level of UHC resulted in lower immunization coverage compared to those with the UHC index score below 80 (coefficient </w:t>
      </w:r>
      <w:r w:rsidRPr="002608C4">
        <w:rPr>
          <w:rFonts w:ascii="Times New Roman" w:hAnsi="Times New Roman" w:cs="Times New Roman"/>
        </w:rPr>
        <w:t>-2.</w:t>
      </w:r>
      <w:r w:rsidR="00DE4936">
        <w:rPr>
          <w:rFonts w:ascii="Times New Roman" w:hAnsi="Times New Roman" w:cs="Times New Roman"/>
        </w:rPr>
        <w:t>39</w:t>
      </w:r>
      <w:r>
        <w:rPr>
          <w:rFonts w:ascii="Times New Roman" w:hAnsi="Times New Roman" w:cs="Times New Roman"/>
        </w:rPr>
        <w:t>, p-value &lt;0.01). Post-pandemic immunization coverage was also significantly lower by 2.</w:t>
      </w:r>
      <w:r w:rsidR="00A777AA">
        <w:rPr>
          <w:rFonts w:ascii="Times New Roman" w:hAnsi="Times New Roman" w:cs="Times New Roman"/>
        </w:rPr>
        <w:t>78</w:t>
      </w:r>
      <w:r>
        <w:rPr>
          <w:rFonts w:ascii="Times New Roman" w:hAnsi="Times New Roman" w:cs="Times New Roman"/>
        </w:rPr>
        <w:t>% compared to pre-pandemic years (p-value &lt;0.01)</w:t>
      </w:r>
      <w:r w:rsidR="00931814">
        <w:rPr>
          <w:rFonts w:ascii="Times New Roman" w:hAnsi="Times New Roman" w:cs="Times New Roman"/>
        </w:rPr>
        <w:t>.</w:t>
      </w:r>
      <w:r>
        <w:rPr>
          <w:rFonts w:ascii="Times New Roman" w:hAnsi="Times New Roman" w:cs="Times New Roman"/>
        </w:rPr>
        <w:t xml:space="preserve"> In the difference-in-difference model, coefficient for the </w:t>
      </w:r>
      <w:proofErr w:type="spellStart"/>
      <w:r>
        <w:rPr>
          <w:rFonts w:ascii="Times New Roman" w:hAnsi="Times New Roman" w:cs="Times New Roman"/>
        </w:rPr>
        <w:t>DiD</w:t>
      </w:r>
      <w:proofErr w:type="spellEnd"/>
      <w:r>
        <w:rPr>
          <w:rFonts w:ascii="Times New Roman" w:hAnsi="Times New Roman" w:cs="Times New Roman"/>
        </w:rPr>
        <w:t xml:space="preserve"> term was positive </w:t>
      </w:r>
      <w:r>
        <w:rPr>
          <w:rFonts w:ascii="Times New Roman" w:hAnsi="Times New Roman" w:cs="Times New Roman"/>
        </w:rPr>
        <w:lastRenderedPageBreak/>
        <w:t>with significant p-value (coefficient 2.</w:t>
      </w:r>
      <w:r w:rsidR="00DE4936">
        <w:rPr>
          <w:rFonts w:ascii="Times New Roman" w:hAnsi="Times New Roman" w:cs="Times New Roman"/>
        </w:rPr>
        <w:t>8</w:t>
      </w:r>
      <w:r w:rsidR="00A777AA">
        <w:rPr>
          <w:rFonts w:ascii="Times New Roman" w:hAnsi="Times New Roman" w:cs="Times New Roman"/>
        </w:rPr>
        <w:t>7</w:t>
      </w:r>
      <w:r>
        <w:rPr>
          <w:rFonts w:ascii="Times New Roman" w:hAnsi="Times New Roman" w:cs="Times New Roman"/>
        </w:rPr>
        <w:t>, p-value = 0.0</w:t>
      </w:r>
      <w:r w:rsidR="00A777AA">
        <w:rPr>
          <w:rFonts w:ascii="Times New Roman" w:hAnsi="Times New Roman" w:cs="Times New Roman"/>
        </w:rPr>
        <w:t>1</w:t>
      </w:r>
      <w:r>
        <w:rPr>
          <w:rFonts w:ascii="Times New Roman" w:hAnsi="Times New Roman" w:cs="Times New Roman"/>
        </w:rPr>
        <w:t>), suggesting that the health system resilience due to UHC was able to avert immunization coverage drop by 2.</w:t>
      </w:r>
      <w:r w:rsidR="00DE4936">
        <w:rPr>
          <w:rFonts w:ascii="Times New Roman" w:hAnsi="Times New Roman" w:cs="Times New Roman"/>
        </w:rPr>
        <w:t>8</w:t>
      </w:r>
      <w:r w:rsidR="00A777AA">
        <w:rPr>
          <w:rFonts w:ascii="Times New Roman" w:hAnsi="Times New Roman" w:cs="Times New Roman"/>
        </w:rPr>
        <w:t>7</w:t>
      </w:r>
      <w:r>
        <w:rPr>
          <w:rFonts w:ascii="Times New Roman" w:hAnsi="Times New Roman" w:cs="Times New Roman"/>
        </w:rPr>
        <w:t xml:space="preserve">% against the pandemic shock. </w:t>
      </w:r>
    </w:p>
    <w:p w14:paraId="1058E7B6" w14:textId="2D6A56BA" w:rsidR="002A397D" w:rsidRPr="00110FA1" w:rsidRDefault="00D430F9" w:rsidP="002608C4">
      <w:pPr>
        <w:spacing w:line="480" w:lineRule="auto"/>
        <w:ind w:firstLine="720"/>
        <w:rPr>
          <w:rFonts w:ascii="Times New Roman" w:hAnsi="Times New Roman" w:cs="Times New Roman"/>
        </w:rPr>
      </w:pPr>
      <w:r>
        <w:rPr>
          <w:rFonts w:ascii="Times New Roman" w:hAnsi="Times New Roman" w:cs="Times New Roman"/>
        </w:rPr>
        <w:t xml:space="preserve">The same analysis comparing the countries with </w:t>
      </w:r>
      <w:r w:rsidR="002608C4">
        <w:rPr>
          <w:rFonts w:ascii="Times New Roman" w:hAnsi="Times New Roman" w:cs="Times New Roman"/>
        </w:rPr>
        <w:t>lower level of UHC (</w:t>
      </w:r>
      <w:r>
        <w:rPr>
          <w:rFonts w:ascii="Times New Roman" w:hAnsi="Times New Roman" w:cs="Times New Roman"/>
        </w:rPr>
        <w:t>UHC SCI 2019</w:t>
      </w:r>
      <w:r w:rsidR="002608C4">
        <w:rPr>
          <w:rFonts w:ascii="Times New Roman" w:hAnsi="Times New Roman" w:cs="Times New Roman"/>
        </w:rPr>
        <w:t xml:space="preserve"> &lt;50)</w:t>
      </w:r>
      <w:r>
        <w:rPr>
          <w:rFonts w:ascii="Times New Roman" w:hAnsi="Times New Roman" w:cs="Times New Roman"/>
        </w:rPr>
        <w:t xml:space="preserve"> with the rest is available in the supplementary material</w:t>
      </w:r>
      <w:r w:rsidR="00A777AA">
        <w:rPr>
          <w:rFonts w:ascii="Times New Roman" w:hAnsi="Times New Roman" w:cs="Times New Roman"/>
        </w:rPr>
        <w:t xml:space="preserve"> (Table S2-13)</w:t>
      </w:r>
      <w:r>
        <w:rPr>
          <w:rFonts w:ascii="Times New Roman" w:hAnsi="Times New Roman" w:cs="Times New Roman"/>
        </w:rPr>
        <w:t>.</w:t>
      </w:r>
      <w:r>
        <w:rPr>
          <w:rFonts w:ascii="Times New Roman" w:hAnsi="Times New Roman" w:cs="Times New Roman"/>
        </w:rPr>
        <w:t xml:space="preserve"> In brief, </w:t>
      </w:r>
      <w:r w:rsidR="00A777AA">
        <w:rPr>
          <w:rFonts w:ascii="Times New Roman" w:hAnsi="Times New Roman" w:cs="Times New Roman"/>
        </w:rPr>
        <w:t>countries with lower level of progress towards UHC had significantly higher immunization coverage than the rest, when controlled for all covariates (coefficient 8.</w:t>
      </w:r>
      <w:r w:rsidR="00DE4936">
        <w:rPr>
          <w:rFonts w:ascii="Times New Roman" w:hAnsi="Times New Roman" w:cs="Times New Roman"/>
        </w:rPr>
        <w:t>26</w:t>
      </w:r>
      <w:r w:rsidR="00A777AA">
        <w:rPr>
          <w:rFonts w:ascii="Times New Roman" w:hAnsi="Times New Roman" w:cs="Times New Roman"/>
        </w:rPr>
        <w:t xml:space="preserve">, p-value &lt;0.01). the </w:t>
      </w:r>
      <w:proofErr w:type="spellStart"/>
      <w:r w:rsidR="00A777AA">
        <w:rPr>
          <w:rFonts w:ascii="Times New Roman" w:hAnsi="Times New Roman" w:cs="Times New Roman"/>
        </w:rPr>
        <w:t>DiD</w:t>
      </w:r>
      <w:proofErr w:type="spellEnd"/>
      <w:r w:rsidR="00A777AA">
        <w:rPr>
          <w:rFonts w:ascii="Times New Roman" w:hAnsi="Times New Roman" w:cs="Times New Roman"/>
        </w:rPr>
        <w:t xml:space="preserve"> coefficient was not significant (coefficient -0.</w:t>
      </w:r>
      <w:r w:rsidR="00DE4936">
        <w:rPr>
          <w:rFonts w:ascii="Times New Roman" w:hAnsi="Times New Roman" w:cs="Times New Roman"/>
        </w:rPr>
        <w:t>5</w:t>
      </w:r>
      <w:r w:rsidR="00A777AA">
        <w:rPr>
          <w:rFonts w:ascii="Times New Roman" w:hAnsi="Times New Roman" w:cs="Times New Roman"/>
        </w:rPr>
        <w:t xml:space="preserve">9, p-value </w:t>
      </w:r>
      <w:r w:rsidR="00DE4936">
        <w:rPr>
          <w:rFonts w:ascii="Times New Roman" w:hAnsi="Times New Roman" w:cs="Times New Roman"/>
        </w:rPr>
        <w:t xml:space="preserve">= </w:t>
      </w:r>
      <w:r w:rsidR="00A777AA">
        <w:rPr>
          <w:rFonts w:ascii="Times New Roman" w:hAnsi="Times New Roman" w:cs="Times New Roman"/>
        </w:rPr>
        <w:t>0.</w:t>
      </w:r>
      <w:r w:rsidR="00DE4936">
        <w:rPr>
          <w:rFonts w:ascii="Times New Roman" w:hAnsi="Times New Roman" w:cs="Times New Roman"/>
        </w:rPr>
        <w:t>44</w:t>
      </w:r>
      <w:r w:rsidR="00A777AA">
        <w:rPr>
          <w:rFonts w:ascii="Times New Roman" w:hAnsi="Times New Roman" w:cs="Times New Roman"/>
        </w:rPr>
        <w:t>), suggesting the difference in system resilience due to UHC was not significantly different between two groups.</w:t>
      </w:r>
      <w:r>
        <w:rPr>
          <w:rFonts w:ascii="Times New Roman" w:hAnsi="Times New Roman" w:cs="Times New Roman"/>
        </w:rPr>
        <w:t xml:space="preserve"> </w:t>
      </w:r>
    </w:p>
    <w:p w14:paraId="5A392EC2" w14:textId="4DE031A4" w:rsidR="00CC653C" w:rsidRDefault="00CC653C" w:rsidP="00110FA1">
      <w:pPr>
        <w:spacing w:line="480" w:lineRule="auto"/>
        <w:rPr>
          <w:rFonts w:ascii="Times New Roman" w:hAnsi="Times New Roman" w:cs="Times New Roman"/>
        </w:rPr>
      </w:pPr>
    </w:p>
    <w:p w14:paraId="2CDD4E6D" w14:textId="65E075D0" w:rsidR="00404FA5" w:rsidRDefault="00404FA5" w:rsidP="00110FA1">
      <w:pPr>
        <w:spacing w:line="480" w:lineRule="auto"/>
        <w:rPr>
          <w:rFonts w:ascii="Times New Roman" w:hAnsi="Times New Roman" w:cs="Times New Roman"/>
        </w:rPr>
      </w:pPr>
      <w:r>
        <w:rPr>
          <w:rFonts w:ascii="Times New Roman" w:hAnsi="Times New Roman" w:cs="Times New Roman"/>
        </w:rPr>
        <w:t>Table 2. Difference-in-difference regression analysis of overall immunization coverage after COVID-19 pandemic by UHC SCI 2019 (&gt;=80 vs. the rest)</w:t>
      </w:r>
    </w:p>
    <w:tbl>
      <w:tblPr>
        <w:tblStyle w:val="TableGrid"/>
        <w:tblW w:w="0" w:type="auto"/>
        <w:tblLayout w:type="fixed"/>
        <w:tblLook w:val="04A0" w:firstRow="1" w:lastRow="0" w:firstColumn="1" w:lastColumn="0" w:noHBand="0" w:noVBand="1"/>
      </w:tblPr>
      <w:tblGrid>
        <w:gridCol w:w="1616"/>
        <w:gridCol w:w="1289"/>
        <w:gridCol w:w="1289"/>
        <w:gridCol w:w="1289"/>
        <w:gridCol w:w="1289"/>
        <w:gridCol w:w="1289"/>
        <w:gridCol w:w="1289"/>
      </w:tblGrid>
      <w:tr w:rsidR="00404FA5" w14:paraId="026DC0F7" w14:textId="77777777" w:rsidTr="00404FA5">
        <w:tc>
          <w:tcPr>
            <w:tcW w:w="1616" w:type="dxa"/>
          </w:tcPr>
          <w:p w14:paraId="5733D279" w14:textId="77777777" w:rsidR="00404FA5" w:rsidRDefault="00404FA5" w:rsidP="00404FA5">
            <w:pPr>
              <w:spacing w:line="480" w:lineRule="auto"/>
              <w:rPr>
                <w:rFonts w:ascii="Times New Roman" w:hAnsi="Times New Roman" w:cs="Times New Roman"/>
              </w:rPr>
            </w:pPr>
          </w:p>
        </w:tc>
        <w:tc>
          <w:tcPr>
            <w:tcW w:w="3867" w:type="dxa"/>
            <w:gridSpan w:val="3"/>
          </w:tcPr>
          <w:p w14:paraId="58F22954" w14:textId="28D93195" w:rsidR="00404FA5" w:rsidRDefault="00404FA5" w:rsidP="00404FA5">
            <w:pPr>
              <w:spacing w:line="480" w:lineRule="auto"/>
              <w:rPr>
                <w:rFonts w:ascii="Times New Roman" w:hAnsi="Times New Roman" w:cs="Times New Roman"/>
              </w:rPr>
            </w:pPr>
            <w:r>
              <w:rPr>
                <w:rFonts w:ascii="Times New Roman" w:hAnsi="Times New Roman" w:cs="Times New Roman"/>
              </w:rPr>
              <w:t>Base model</w:t>
            </w:r>
          </w:p>
        </w:tc>
        <w:tc>
          <w:tcPr>
            <w:tcW w:w="3867" w:type="dxa"/>
            <w:gridSpan w:val="3"/>
          </w:tcPr>
          <w:p w14:paraId="01A06C77" w14:textId="48148508" w:rsidR="00404FA5" w:rsidRDefault="00404FA5" w:rsidP="00404FA5">
            <w:pPr>
              <w:spacing w:line="480" w:lineRule="auto"/>
              <w:rPr>
                <w:rFonts w:ascii="Times New Roman" w:hAnsi="Times New Roman" w:cs="Times New Roman"/>
              </w:rPr>
            </w:pPr>
            <w:r>
              <w:rPr>
                <w:rFonts w:ascii="Times New Roman" w:hAnsi="Times New Roman" w:cs="Times New Roman"/>
              </w:rPr>
              <w:t>Difference-in-difference model</w:t>
            </w:r>
          </w:p>
        </w:tc>
      </w:tr>
      <w:tr w:rsidR="00404FA5" w14:paraId="2157E74D" w14:textId="3F631CCF" w:rsidTr="00404FA5">
        <w:tc>
          <w:tcPr>
            <w:tcW w:w="1616" w:type="dxa"/>
          </w:tcPr>
          <w:p w14:paraId="6F70DE0F" w14:textId="2963F85F" w:rsidR="00404FA5" w:rsidRDefault="00404FA5" w:rsidP="00404FA5">
            <w:pPr>
              <w:spacing w:line="480" w:lineRule="auto"/>
              <w:rPr>
                <w:rFonts w:ascii="Times New Roman" w:hAnsi="Times New Roman" w:cs="Times New Roman"/>
              </w:rPr>
            </w:pPr>
            <w:r>
              <w:rPr>
                <w:rFonts w:ascii="Times New Roman" w:hAnsi="Times New Roman" w:cs="Times New Roman"/>
              </w:rPr>
              <w:t>Variable</w:t>
            </w:r>
          </w:p>
        </w:tc>
        <w:tc>
          <w:tcPr>
            <w:tcW w:w="1289" w:type="dxa"/>
          </w:tcPr>
          <w:p w14:paraId="5803E08E" w14:textId="1E41920B" w:rsidR="00404FA5" w:rsidRDefault="00404FA5" w:rsidP="00404FA5">
            <w:pPr>
              <w:spacing w:line="480" w:lineRule="auto"/>
              <w:rPr>
                <w:rFonts w:ascii="Times New Roman" w:hAnsi="Times New Roman" w:cs="Times New Roman"/>
              </w:rPr>
            </w:pPr>
            <w:r>
              <w:rPr>
                <w:rFonts w:ascii="Times New Roman" w:hAnsi="Times New Roman" w:cs="Times New Roman"/>
              </w:rPr>
              <w:t>Coefficient</w:t>
            </w:r>
          </w:p>
        </w:tc>
        <w:tc>
          <w:tcPr>
            <w:tcW w:w="1289" w:type="dxa"/>
          </w:tcPr>
          <w:p w14:paraId="27CA9236" w14:textId="53371BBC" w:rsidR="00404FA5" w:rsidRDefault="00404FA5" w:rsidP="00404FA5">
            <w:pPr>
              <w:spacing w:line="480" w:lineRule="auto"/>
              <w:rPr>
                <w:rFonts w:ascii="Times New Roman" w:hAnsi="Times New Roman" w:cs="Times New Roman"/>
              </w:rPr>
            </w:pPr>
            <w:r>
              <w:rPr>
                <w:rFonts w:ascii="Times New Roman" w:hAnsi="Times New Roman" w:cs="Times New Roman"/>
              </w:rPr>
              <w:t xml:space="preserve">Standard Error </w:t>
            </w:r>
          </w:p>
        </w:tc>
        <w:tc>
          <w:tcPr>
            <w:tcW w:w="1289" w:type="dxa"/>
          </w:tcPr>
          <w:p w14:paraId="3C179CD6" w14:textId="340C61FA" w:rsidR="00404FA5" w:rsidRDefault="00404FA5" w:rsidP="00404FA5">
            <w:pPr>
              <w:spacing w:line="480" w:lineRule="auto"/>
              <w:rPr>
                <w:rFonts w:ascii="Times New Roman" w:hAnsi="Times New Roman" w:cs="Times New Roman"/>
              </w:rPr>
            </w:pPr>
            <w:r>
              <w:rPr>
                <w:rFonts w:ascii="Times New Roman" w:hAnsi="Times New Roman" w:cs="Times New Roman"/>
              </w:rPr>
              <w:t>p-value</w:t>
            </w:r>
          </w:p>
        </w:tc>
        <w:tc>
          <w:tcPr>
            <w:tcW w:w="1289" w:type="dxa"/>
          </w:tcPr>
          <w:p w14:paraId="58550558" w14:textId="2F62C8FA" w:rsidR="00404FA5" w:rsidRDefault="00404FA5" w:rsidP="00404FA5">
            <w:pPr>
              <w:spacing w:line="480" w:lineRule="auto"/>
              <w:rPr>
                <w:rFonts w:ascii="Times New Roman" w:hAnsi="Times New Roman" w:cs="Times New Roman"/>
              </w:rPr>
            </w:pPr>
            <w:r>
              <w:rPr>
                <w:rFonts w:ascii="Times New Roman" w:hAnsi="Times New Roman" w:cs="Times New Roman"/>
              </w:rPr>
              <w:t>Coefficient</w:t>
            </w:r>
          </w:p>
        </w:tc>
        <w:tc>
          <w:tcPr>
            <w:tcW w:w="1289" w:type="dxa"/>
          </w:tcPr>
          <w:p w14:paraId="50BADA22" w14:textId="7BC4EB18" w:rsidR="00404FA5" w:rsidRDefault="00404FA5" w:rsidP="00404FA5">
            <w:pPr>
              <w:spacing w:line="480" w:lineRule="auto"/>
              <w:rPr>
                <w:rFonts w:ascii="Times New Roman" w:hAnsi="Times New Roman" w:cs="Times New Roman"/>
              </w:rPr>
            </w:pPr>
            <w:r>
              <w:rPr>
                <w:rFonts w:ascii="Times New Roman" w:hAnsi="Times New Roman" w:cs="Times New Roman"/>
              </w:rPr>
              <w:t xml:space="preserve">Standard Error </w:t>
            </w:r>
          </w:p>
        </w:tc>
        <w:tc>
          <w:tcPr>
            <w:tcW w:w="1289" w:type="dxa"/>
          </w:tcPr>
          <w:p w14:paraId="2B4F2A09" w14:textId="4C7BF479" w:rsidR="00404FA5" w:rsidRDefault="00404FA5" w:rsidP="00404FA5">
            <w:pPr>
              <w:spacing w:line="480" w:lineRule="auto"/>
              <w:rPr>
                <w:rFonts w:ascii="Times New Roman" w:hAnsi="Times New Roman" w:cs="Times New Roman"/>
              </w:rPr>
            </w:pPr>
            <w:r>
              <w:rPr>
                <w:rFonts w:ascii="Times New Roman" w:hAnsi="Times New Roman" w:cs="Times New Roman"/>
              </w:rPr>
              <w:t>p-value</w:t>
            </w:r>
          </w:p>
        </w:tc>
      </w:tr>
      <w:tr w:rsidR="00A524BB" w14:paraId="69725E08" w14:textId="170C7363" w:rsidTr="00A524BB">
        <w:tc>
          <w:tcPr>
            <w:tcW w:w="1616" w:type="dxa"/>
          </w:tcPr>
          <w:p w14:paraId="44514BF7" w14:textId="3BB9FD8B" w:rsidR="00A524BB" w:rsidRDefault="00A524BB" w:rsidP="00A524BB">
            <w:pPr>
              <w:spacing w:line="480" w:lineRule="auto"/>
              <w:rPr>
                <w:rFonts w:ascii="Times New Roman" w:hAnsi="Times New Roman" w:cs="Times New Roman"/>
              </w:rPr>
            </w:pPr>
            <w:r>
              <w:rPr>
                <w:rFonts w:ascii="Times New Roman" w:hAnsi="Times New Roman" w:cs="Times New Roman"/>
              </w:rPr>
              <w:t>Intercept</w:t>
            </w:r>
          </w:p>
        </w:tc>
        <w:tc>
          <w:tcPr>
            <w:tcW w:w="1289" w:type="dxa"/>
          </w:tcPr>
          <w:p w14:paraId="7DDC1825" w14:textId="198D9EA1"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63.28</w:t>
            </w:r>
          </w:p>
        </w:tc>
        <w:tc>
          <w:tcPr>
            <w:tcW w:w="1289" w:type="dxa"/>
          </w:tcPr>
          <w:p w14:paraId="7F974656" w14:textId="6DE9B3D7"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74.62</w:t>
            </w:r>
          </w:p>
        </w:tc>
        <w:tc>
          <w:tcPr>
            <w:tcW w:w="1289" w:type="dxa"/>
          </w:tcPr>
          <w:p w14:paraId="23939D41" w14:textId="128076A0"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0.40</w:t>
            </w:r>
          </w:p>
        </w:tc>
        <w:tc>
          <w:tcPr>
            <w:tcW w:w="1289" w:type="dxa"/>
          </w:tcPr>
          <w:p w14:paraId="53B367D1" w14:textId="530AEE80"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64.08</w:t>
            </w:r>
          </w:p>
        </w:tc>
        <w:tc>
          <w:tcPr>
            <w:tcW w:w="1289" w:type="dxa"/>
          </w:tcPr>
          <w:p w14:paraId="24A2A860" w14:textId="11C6D849"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74.61</w:t>
            </w:r>
          </w:p>
        </w:tc>
        <w:tc>
          <w:tcPr>
            <w:tcW w:w="1289" w:type="dxa"/>
          </w:tcPr>
          <w:p w14:paraId="0F22307D" w14:textId="5F33FB93"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0.39</w:t>
            </w:r>
          </w:p>
        </w:tc>
      </w:tr>
      <w:tr w:rsidR="00A524BB" w14:paraId="298750F7" w14:textId="2DAAD512" w:rsidTr="00152B41">
        <w:tc>
          <w:tcPr>
            <w:tcW w:w="1616" w:type="dxa"/>
          </w:tcPr>
          <w:p w14:paraId="638E3E6F" w14:textId="3B26FB1A" w:rsidR="00A524BB" w:rsidRDefault="00A524BB" w:rsidP="00A524BB">
            <w:pPr>
              <w:spacing w:line="480" w:lineRule="auto"/>
              <w:rPr>
                <w:rFonts w:ascii="Times New Roman" w:hAnsi="Times New Roman" w:cs="Times New Roman"/>
              </w:rPr>
            </w:pPr>
            <w:r>
              <w:rPr>
                <w:rFonts w:ascii="Times New Roman" w:hAnsi="Times New Roman" w:cs="Times New Roman"/>
              </w:rPr>
              <w:t>Year</w:t>
            </w:r>
          </w:p>
        </w:tc>
        <w:tc>
          <w:tcPr>
            <w:tcW w:w="1289" w:type="dxa"/>
            <w:vAlign w:val="bottom"/>
          </w:tcPr>
          <w:p w14:paraId="62FE06E2" w14:textId="0C57A8E5" w:rsidR="00A524BB" w:rsidRP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0.01</w:t>
            </w:r>
          </w:p>
        </w:tc>
        <w:tc>
          <w:tcPr>
            <w:tcW w:w="1289" w:type="dxa"/>
            <w:vAlign w:val="bottom"/>
          </w:tcPr>
          <w:p w14:paraId="465AEEC8" w14:textId="33BC842B"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0.04</w:t>
            </w:r>
          </w:p>
        </w:tc>
        <w:tc>
          <w:tcPr>
            <w:tcW w:w="1289" w:type="dxa"/>
            <w:vAlign w:val="bottom"/>
          </w:tcPr>
          <w:p w14:paraId="57646CA4" w14:textId="1444DFDD"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0.81</w:t>
            </w:r>
          </w:p>
        </w:tc>
        <w:tc>
          <w:tcPr>
            <w:tcW w:w="1289" w:type="dxa"/>
            <w:vAlign w:val="bottom"/>
          </w:tcPr>
          <w:p w14:paraId="0DBCED15" w14:textId="6E7F0C7F"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0.01</w:t>
            </w:r>
          </w:p>
        </w:tc>
        <w:tc>
          <w:tcPr>
            <w:tcW w:w="1289" w:type="dxa"/>
            <w:vAlign w:val="bottom"/>
          </w:tcPr>
          <w:p w14:paraId="23DFF46E" w14:textId="370520BD"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0.04</w:t>
            </w:r>
          </w:p>
        </w:tc>
        <w:tc>
          <w:tcPr>
            <w:tcW w:w="1289" w:type="dxa"/>
            <w:vAlign w:val="bottom"/>
          </w:tcPr>
          <w:p w14:paraId="61B0E378" w14:textId="6E54DDEC"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0.82</w:t>
            </w:r>
          </w:p>
        </w:tc>
      </w:tr>
      <w:tr w:rsidR="00F43435" w14:paraId="237F0FDA" w14:textId="728D0019" w:rsidTr="00F43435">
        <w:tc>
          <w:tcPr>
            <w:tcW w:w="9350" w:type="dxa"/>
            <w:gridSpan w:val="7"/>
          </w:tcPr>
          <w:p w14:paraId="5F2F3F5A" w14:textId="57830C45" w:rsidR="00F43435" w:rsidRDefault="00F43435" w:rsidP="00F43435">
            <w:pPr>
              <w:spacing w:line="480" w:lineRule="auto"/>
              <w:rPr>
                <w:rFonts w:ascii="Times New Roman" w:hAnsi="Times New Roman" w:cs="Times New Roman"/>
              </w:rPr>
            </w:pPr>
            <w:r>
              <w:rPr>
                <w:rFonts w:ascii="Times New Roman" w:hAnsi="Times New Roman" w:cs="Times New Roman"/>
              </w:rPr>
              <w:t>World Bank Income Group (Reference category: High)</w:t>
            </w:r>
          </w:p>
        </w:tc>
      </w:tr>
      <w:tr w:rsidR="00A524BB" w14:paraId="25659FBE" w14:textId="329E49B8" w:rsidTr="004479E3">
        <w:tc>
          <w:tcPr>
            <w:tcW w:w="1616" w:type="dxa"/>
          </w:tcPr>
          <w:p w14:paraId="5C8FDBEF" w14:textId="2C3E4041" w:rsidR="00A524BB" w:rsidRDefault="00A524BB" w:rsidP="00A524BB">
            <w:pPr>
              <w:spacing w:line="480" w:lineRule="auto"/>
              <w:rPr>
                <w:rFonts w:ascii="Times New Roman" w:hAnsi="Times New Roman" w:cs="Times New Roman"/>
              </w:rPr>
            </w:pPr>
            <w:r>
              <w:rPr>
                <w:rFonts w:ascii="Times New Roman" w:hAnsi="Times New Roman" w:cs="Times New Roman"/>
              </w:rPr>
              <w:t>Low</w:t>
            </w:r>
          </w:p>
        </w:tc>
        <w:tc>
          <w:tcPr>
            <w:tcW w:w="1289" w:type="dxa"/>
            <w:vAlign w:val="bottom"/>
          </w:tcPr>
          <w:p w14:paraId="15F55371" w14:textId="7725EBFC"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7.63</w:t>
            </w:r>
          </w:p>
        </w:tc>
        <w:tc>
          <w:tcPr>
            <w:tcW w:w="1289" w:type="dxa"/>
            <w:vAlign w:val="bottom"/>
          </w:tcPr>
          <w:p w14:paraId="7F8ED3F0" w14:textId="665DCB15"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0.35</w:t>
            </w:r>
          </w:p>
        </w:tc>
        <w:tc>
          <w:tcPr>
            <w:tcW w:w="1289" w:type="dxa"/>
            <w:vAlign w:val="bottom"/>
          </w:tcPr>
          <w:p w14:paraId="5DE79762" w14:textId="01687AD9"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7D7EF281" w14:textId="03D2EF2D"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7.62</w:t>
            </w:r>
          </w:p>
        </w:tc>
        <w:tc>
          <w:tcPr>
            <w:tcW w:w="1289" w:type="dxa"/>
            <w:vAlign w:val="bottom"/>
          </w:tcPr>
          <w:p w14:paraId="0A2A36D4" w14:textId="5DA36063"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0.35</w:t>
            </w:r>
          </w:p>
        </w:tc>
        <w:tc>
          <w:tcPr>
            <w:tcW w:w="1289" w:type="dxa"/>
            <w:vAlign w:val="bottom"/>
          </w:tcPr>
          <w:p w14:paraId="10860F27" w14:textId="73577139"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64204F2E" w14:textId="01FFFE20" w:rsidTr="004479E3">
        <w:tc>
          <w:tcPr>
            <w:tcW w:w="1616" w:type="dxa"/>
          </w:tcPr>
          <w:p w14:paraId="46ADF1BF" w14:textId="5C245634" w:rsidR="00A524BB" w:rsidRDefault="00A524BB" w:rsidP="00A524BB">
            <w:pPr>
              <w:spacing w:line="480" w:lineRule="auto"/>
              <w:rPr>
                <w:rFonts w:ascii="Times New Roman" w:hAnsi="Times New Roman" w:cs="Times New Roman"/>
              </w:rPr>
            </w:pPr>
            <w:r>
              <w:rPr>
                <w:rFonts w:ascii="Times New Roman" w:hAnsi="Times New Roman" w:cs="Times New Roman"/>
              </w:rPr>
              <w:t>Lower-middle</w:t>
            </w:r>
          </w:p>
        </w:tc>
        <w:tc>
          <w:tcPr>
            <w:tcW w:w="1289" w:type="dxa"/>
            <w:vAlign w:val="bottom"/>
          </w:tcPr>
          <w:p w14:paraId="1A200F4B" w14:textId="3477E9A6"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11.99</w:t>
            </w:r>
          </w:p>
        </w:tc>
        <w:tc>
          <w:tcPr>
            <w:tcW w:w="1289" w:type="dxa"/>
            <w:vAlign w:val="bottom"/>
          </w:tcPr>
          <w:p w14:paraId="5AF78118" w14:textId="1F2F5B67"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0.38</w:t>
            </w:r>
          </w:p>
        </w:tc>
        <w:tc>
          <w:tcPr>
            <w:tcW w:w="1289" w:type="dxa"/>
            <w:vAlign w:val="bottom"/>
          </w:tcPr>
          <w:p w14:paraId="6C73EA4D" w14:textId="11784896"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54C4B285" w14:textId="0F312106"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11.99</w:t>
            </w:r>
          </w:p>
        </w:tc>
        <w:tc>
          <w:tcPr>
            <w:tcW w:w="1289" w:type="dxa"/>
            <w:vAlign w:val="bottom"/>
          </w:tcPr>
          <w:p w14:paraId="19016832" w14:textId="44552CDE"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0.38</w:t>
            </w:r>
          </w:p>
        </w:tc>
        <w:tc>
          <w:tcPr>
            <w:tcW w:w="1289" w:type="dxa"/>
            <w:vAlign w:val="bottom"/>
          </w:tcPr>
          <w:p w14:paraId="66070268" w14:textId="6CD5560A"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1EF5B6CC" w14:textId="77777777" w:rsidTr="004479E3">
        <w:tc>
          <w:tcPr>
            <w:tcW w:w="1616" w:type="dxa"/>
          </w:tcPr>
          <w:p w14:paraId="7974C433" w14:textId="46338A4D" w:rsidR="00A524BB" w:rsidRDefault="00A524BB" w:rsidP="00A524BB">
            <w:pPr>
              <w:spacing w:line="480" w:lineRule="auto"/>
              <w:rPr>
                <w:rFonts w:ascii="Times New Roman" w:hAnsi="Times New Roman" w:cs="Times New Roman"/>
              </w:rPr>
            </w:pPr>
            <w:r>
              <w:rPr>
                <w:rFonts w:ascii="Times New Roman" w:hAnsi="Times New Roman" w:cs="Times New Roman"/>
              </w:rPr>
              <w:t>Upper-middle</w:t>
            </w:r>
          </w:p>
        </w:tc>
        <w:tc>
          <w:tcPr>
            <w:tcW w:w="1289" w:type="dxa"/>
            <w:vAlign w:val="bottom"/>
          </w:tcPr>
          <w:p w14:paraId="0F97C387" w14:textId="32F4736F"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17.41</w:t>
            </w:r>
          </w:p>
        </w:tc>
        <w:tc>
          <w:tcPr>
            <w:tcW w:w="1289" w:type="dxa"/>
            <w:vAlign w:val="bottom"/>
          </w:tcPr>
          <w:p w14:paraId="4C34D434" w14:textId="1CF534B5"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0.44</w:t>
            </w:r>
          </w:p>
        </w:tc>
        <w:tc>
          <w:tcPr>
            <w:tcW w:w="1289" w:type="dxa"/>
            <w:vAlign w:val="bottom"/>
          </w:tcPr>
          <w:p w14:paraId="21BDB7A4" w14:textId="30D9F410"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063AE5E0" w14:textId="514C6986"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17.40</w:t>
            </w:r>
          </w:p>
        </w:tc>
        <w:tc>
          <w:tcPr>
            <w:tcW w:w="1289" w:type="dxa"/>
            <w:vAlign w:val="bottom"/>
          </w:tcPr>
          <w:p w14:paraId="1C9166F1" w14:textId="6F590233"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0.44</w:t>
            </w:r>
          </w:p>
        </w:tc>
        <w:tc>
          <w:tcPr>
            <w:tcW w:w="1289" w:type="dxa"/>
            <w:vAlign w:val="bottom"/>
          </w:tcPr>
          <w:p w14:paraId="1126F79B" w14:textId="038AACA1"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F43435" w14:paraId="77750BEA" w14:textId="77777777" w:rsidTr="00F43435">
        <w:tc>
          <w:tcPr>
            <w:tcW w:w="9350" w:type="dxa"/>
            <w:gridSpan w:val="7"/>
            <w:vAlign w:val="center"/>
          </w:tcPr>
          <w:p w14:paraId="0FBA41A5" w14:textId="0EA34336" w:rsidR="00F43435" w:rsidRDefault="00F43435" w:rsidP="00F43435">
            <w:pPr>
              <w:spacing w:line="480" w:lineRule="auto"/>
              <w:rPr>
                <w:rFonts w:ascii="Times New Roman" w:hAnsi="Times New Roman" w:cs="Times New Roman"/>
              </w:rPr>
            </w:pPr>
            <w:r>
              <w:rPr>
                <w:rFonts w:ascii="Times New Roman" w:hAnsi="Times New Roman" w:cs="Times New Roman"/>
              </w:rPr>
              <w:t>WHO Region (Reference category: Americas)</w:t>
            </w:r>
          </w:p>
        </w:tc>
      </w:tr>
      <w:tr w:rsidR="00A524BB" w14:paraId="2DF0F204" w14:textId="77777777" w:rsidTr="00387AA9">
        <w:tc>
          <w:tcPr>
            <w:tcW w:w="1616" w:type="dxa"/>
          </w:tcPr>
          <w:p w14:paraId="3CA23199" w14:textId="6558472A" w:rsidR="00A524BB" w:rsidRDefault="00A524BB" w:rsidP="00A524BB">
            <w:pPr>
              <w:spacing w:line="480" w:lineRule="auto"/>
              <w:rPr>
                <w:rFonts w:ascii="Times New Roman" w:hAnsi="Times New Roman" w:cs="Times New Roman"/>
              </w:rPr>
            </w:pPr>
            <w:r>
              <w:rPr>
                <w:rFonts w:ascii="Times New Roman" w:hAnsi="Times New Roman" w:cs="Times New Roman"/>
              </w:rPr>
              <w:t>Europe</w:t>
            </w:r>
          </w:p>
        </w:tc>
        <w:tc>
          <w:tcPr>
            <w:tcW w:w="1289" w:type="dxa"/>
            <w:vAlign w:val="bottom"/>
          </w:tcPr>
          <w:p w14:paraId="35558A4F" w14:textId="5585A752"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2.98</w:t>
            </w:r>
          </w:p>
        </w:tc>
        <w:tc>
          <w:tcPr>
            <w:tcW w:w="1289" w:type="dxa"/>
            <w:vAlign w:val="bottom"/>
          </w:tcPr>
          <w:p w14:paraId="2DA7B65E" w14:textId="19BF47A5"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0.32</w:t>
            </w:r>
          </w:p>
        </w:tc>
        <w:tc>
          <w:tcPr>
            <w:tcW w:w="1289" w:type="dxa"/>
            <w:vAlign w:val="bottom"/>
          </w:tcPr>
          <w:p w14:paraId="160BFA6F" w14:textId="6A37BA1E"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64933656" w14:textId="589087C1"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2.98</w:t>
            </w:r>
          </w:p>
        </w:tc>
        <w:tc>
          <w:tcPr>
            <w:tcW w:w="1289" w:type="dxa"/>
            <w:vAlign w:val="bottom"/>
          </w:tcPr>
          <w:p w14:paraId="7E985C0D" w14:textId="25F9ED33"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0.32</w:t>
            </w:r>
          </w:p>
        </w:tc>
        <w:tc>
          <w:tcPr>
            <w:tcW w:w="1289" w:type="dxa"/>
            <w:vAlign w:val="bottom"/>
          </w:tcPr>
          <w:p w14:paraId="3610649F" w14:textId="57A9B784"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108EE450" w14:textId="77777777" w:rsidTr="00387AA9">
        <w:tc>
          <w:tcPr>
            <w:tcW w:w="1616" w:type="dxa"/>
          </w:tcPr>
          <w:p w14:paraId="15060055" w14:textId="2A8BCA9B" w:rsidR="00A524BB" w:rsidRDefault="00A524BB" w:rsidP="00A524BB">
            <w:pPr>
              <w:spacing w:line="480" w:lineRule="auto"/>
              <w:rPr>
                <w:rFonts w:ascii="Times New Roman" w:hAnsi="Times New Roman" w:cs="Times New Roman"/>
              </w:rPr>
            </w:pPr>
            <w:r>
              <w:rPr>
                <w:rFonts w:ascii="Times New Roman" w:hAnsi="Times New Roman" w:cs="Times New Roman"/>
              </w:rPr>
              <w:lastRenderedPageBreak/>
              <w:t>Western Pacific</w:t>
            </w:r>
          </w:p>
        </w:tc>
        <w:tc>
          <w:tcPr>
            <w:tcW w:w="1289" w:type="dxa"/>
            <w:vAlign w:val="bottom"/>
          </w:tcPr>
          <w:p w14:paraId="22476A10" w14:textId="11B1A6AF"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-0.17</w:t>
            </w:r>
          </w:p>
        </w:tc>
        <w:tc>
          <w:tcPr>
            <w:tcW w:w="1289" w:type="dxa"/>
            <w:vAlign w:val="bottom"/>
          </w:tcPr>
          <w:p w14:paraId="28BCAF98" w14:textId="26E2C274"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0.39</w:t>
            </w:r>
          </w:p>
        </w:tc>
        <w:tc>
          <w:tcPr>
            <w:tcW w:w="1289" w:type="dxa"/>
            <w:vAlign w:val="bottom"/>
          </w:tcPr>
          <w:p w14:paraId="69A93481" w14:textId="20B8956B"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0.66</w:t>
            </w:r>
          </w:p>
        </w:tc>
        <w:tc>
          <w:tcPr>
            <w:tcW w:w="1289" w:type="dxa"/>
            <w:vAlign w:val="bottom"/>
          </w:tcPr>
          <w:p w14:paraId="1B503459" w14:textId="5DDE68C8"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-0.16</w:t>
            </w:r>
          </w:p>
        </w:tc>
        <w:tc>
          <w:tcPr>
            <w:tcW w:w="1289" w:type="dxa"/>
            <w:vAlign w:val="bottom"/>
          </w:tcPr>
          <w:p w14:paraId="6EF4FAFE" w14:textId="56978566"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0.39</w:t>
            </w:r>
          </w:p>
        </w:tc>
        <w:tc>
          <w:tcPr>
            <w:tcW w:w="1289" w:type="dxa"/>
            <w:vAlign w:val="bottom"/>
          </w:tcPr>
          <w:p w14:paraId="474DD91C" w14:textId="3717844E"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0.68</w:t>
            </w:r>
          </w:p>
        </w:tc>
      </w:tr>
      <w:tr w:rsidR="00A524BB" w14:paraId="0506D836" w14:textId="77777777" w:rsidTr="00387AA9">
        <w:tc>
          <w:tcPr>
            <w:tcW w:w="1616" w:type="dxa"/>
          </w:tcPr>
          <w:p w14:paraId="300F9E9F" w14:textId="4C33E61D" w:rsidR="00A524BB" w:rsidRDefault="00A524BB" w:rsidP="00A524BB">
            <w:pPr>
              <w:spacing w:line="480" w:lineRule="auto"/>
              <w:rPr>
                <w:rFonts w:ascii="Times New Roman" w:hAnsi="Times New Roman" w:cs="Times New Roman"/>
              </w:rPr>
            </w:pPr>
            <w:r>
              <w:rPr>
                <w:rFonts w:ascii="Times New Roman" w:hAnsi="Times New Roman" w:cs="Times New Roman"/>
              </w:rPr>
              <w:t>Eastern Mediterranean</w:t>
            </w:r>
          </w:p>
        </w:tc>
        <w:tc>
          <w:tcPr>
            <w:tcW w:w="1289" w:type="dxa"/>
            <w:vAlign w:val="bottom"/>
          </w:tcPr>
          <w:p w14:paraId="6244F76D" w14:textId="2DC3DFCB"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-0.46</w:t>
            </w:r>
          </w:p>
        </w:tc>
        <w:tc>
          <w:tcPr>
            <w:tcW w:w="1289" w:type="dxa"/>
            <w:vAlign w:val="bottom"/>
          </w:tcPr>
          <w:p w14:paraId="0AD4FD3F" w14:textId="4FB7A8FC"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0.38</w:t>
            </w:r>
          </w:p>
        </w:tc>
        <w:tc>
          <w:tcPr>
            <w:tcW w:w="1289" w:type="dxa"/>
            <w:vAlign w:val="bottom"/>
          </w:tcPr>
          <w:p w14:paraId="28041BE6" w14:textId="07A865E3"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0.22</w:t>
            </w:r>
          </w:p>
        </w:tc>
        <w:tc>
          <w:tcPr>
            <w:tcW w:w="1289" w:type="dxa"/>
            <w:vAlign w:val="bottom"/>
          </w:tcPr>
          <w:p w14:paraId="40AF215E" w14:textId="1D7A3BF0"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-0.45</w:t>
            </w:r>
          </w:p>
        </w:tc>
        <w:tc>
          <w:tcPr>
            <w:tcW w:w="1289" w:type="dxa"/>
            <w:vAlign w:val="bottom"/>
          </w:tcPr>
          <w:p w14:paraId="199FF2AF" w14:textId="1E71AB18"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0.38</w:t>
            </w:r>
          </w:p>
        </w:tc>
        <w:tc>
          <w:tcPr>
            <w:tcW w:w="1289" w:type="dxa"/>
            <w:vAlign w:val="bottom"/>
          </w:tcPr>
          <w:p w14:paraId="282DEDC1" w14:textId="444D1D3F"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0.23</w:t>
            </w:r>
          </w:p>
        </w:tc>
      </w:tr>
      <w:tr w:rsidR="00A524BB" w14:paraId="19438715" w14:textId="77777777" w:rsidTr="00387AA9">
        <w:tc>
          <w:tcPr>
            <w:tcW w:w="1616" w:type="dxa"/>
          </w:tcPr>
          <w:p w14:paraId="2A0C54FB" w14:textId="57D43E3F" w:rsidR="00A524BB" w:rsidRDefault="00A524BB" w:rsidP="00A524BB">
            <w:pPr>
              <w:spacing w:line="480" w:lineRule="auto"/>
              <w:rPr>
                <w:rFonts w:ascii="Times New Roman" w:hAnsi="Times New Roman" w:cs="Times New Roman"/>
              </w:rPr>
            </w:pPr>
            <w:r>
              <w:rPr>
                <w:rFonts w:ascii="Times New Roman" w:hAnsi="Times New Roman" w:cs="Times New Roman"/>
              </w:rPr>
              <w:t>Southeast Asia</w:t>
            </w:r>
          </w:p>
        </w:tc>
        <w:tc>
          <w:tcPr>
            <w:tcW w:w="1289" w:type="dxa"/>
            <w:vAlign w:val="bottom"/>
          </w:tcPr>
          <w:p w14:paraId="3624EF2F" w14:textId="755FFF26"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4.12</w:t>
            </w:r>
          </w:p>
        </w:tc>
        <w:tc>
          <w:tcPr>
            <w:tcW w:w="1289" w:type="dxa"/>
            <w:vAlign w:val="bottom"/>
          </w:tcPr>
          <w:p w14:paraId="41F8BB49" w14:textId="00C075A6"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0.50</w:t>
            </w:r>
          </w:p>
        </w:tc>
        <w:tc>
          <w:tcPr>
            <w:tcW w:w="1289" w:type="dxa"/>
            <w:vAlign w:val="bottom"/>
          </w:tcPr>
          <w:p w14:paraId="7E35B7DB" w14:textId="77DCE2B1"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6DDB52AE" w14:textId="2253D067"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4.13</w:t>
            </w:r>
          </w:p>
        </w:tc>
        <w:tc>
          <w:tcPr>
            <w:tcW w:w="1289" w:type="dxa"/>
            <w:vAlign w:val="bottom"/>
          </w:tcPr>
          <w:p w14:paraId="11FFBC73" w14:textId="29F95D04"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0.50</w:t>
            </w:r>
          </w:p>
        </w:tc>
        <w:tc>
          <w:tcPr>
            <w:tcW w:w="1289" w:type="dxa"/>
            <w:vAlign w:val="bottom"/>
          </w:tcPr>
          <w:p w14:paraId="1AED3629" w14:textId="2037AE30"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0C2C6F67" w14:textId="77777777" w:rsidTr="00387AA9">
        <w:tc>
          <w:tcPr>
            <w:tcW w:w="1616" w:type="dxa"/>
          </w:tcPr>
          <w:p w14:paraId="24E9EB3C" w14:textId="747B0295" w:rsidR="00A524BB" w:rsidRDefault="00A524BB" w:rsidP="00A524BB">
            <w:pPr>
              <w:spacing w:line="480" w:lineRule="auto"/>
              <w:rPr>
                <w:rFonts w:ascii="Times New Roman" w:hAnsi="Times New Roman" w:cs="Times New Roman"/>
              </w:rPr>
            </w:pPr>
            <w:r>
              <w:rPr>
                <w:rFonts w:ascii="Times New Roman" w:hAnsi="Times New Roman" w:cs="Times New Roman"/>
              </w:rPr>
              <w:t>Africa</w:t>
            </w:r>
          </w:p>
        </w:tc>
        <w:tc>
          <w:tcPr>
            <w:tcW w:w="1289" w:type="dxa"/>
            <w:vAlign w:val="bottom"/>
          </w:tcPr>
          <w:p w14:paraId="3CF22999" w14:textId="23AA7265"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-0.69</w:t>
            </w:r>
          </w:p>
        </w:tc>
        <w:tc>
          <w:tcPr>
            <w:tcW w:w="1289" w:type="dxa"/>
            <w:vAlign w:val="bottom"/>
          </w:tcPr>
          <w:p w14:paraId="3132B364" w14:textId="7C6172BC"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0.37</w:t>
            </w:r>
          </w:p>
        </w:tc>
        <w:tc>
          <w:tcPr>
            <w:tcW w:w="1289" w:type="dxa"/>
            <w:vAlign w:val="bottom"/>
          </w:tcPr>
          <w:p w14:paraId="0118D0E2" w14:textId="3EA82E78"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0.06</w:t>
            </w:r>
          </w:p>
        </w:tc>
        <w:tc>
          <w:tcPr>
            <w:tcW w:w="1289" w:type="dxa"/>
            <w:vAlign w:val="bottom"/>
          </w:tcPr>
          <w:p w14:paraId="30122181" w14:textId="374FCEBB"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-0.69</w:t>
            </w:r>
          </w:p>
        </w:tc>
        <w:tc>
          <w:tcPr>
            <w:tcW w:w="1289" w:type="dxa"/>
            <w:vAlign w:val="bottom"/>
          </w:tcPr>
          <w:p w14:paraId="429C1C91" w14:textId="11A90376"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0.37</w:t>
            </w:r>
          </w:p>
        </w:tc>
        <w:tc>
          <w:tcPr>
            <w:tcW w:w="1289" w:type="dxa"/>
            <w:vAlign w:val="bottom"/>
          </w:tcPr>
          <w:p w14:paraId="7A00CFAF" w14:textId="5D122EAD"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0.06</w:t>
            </w:r>
          </w:p>
        </w:tc>
      </w:tr>
      <w:tr w:rsidR="00A524BB" w14:paraId="631BE045" w14:textId="77777777" w:rsidTr="00A524BB">
        <w:tc>
          <w:tcPr>
            <w:tcW w:w="9350" w:type="dxa"/>
            <w:gridSpan w:val="7"/>
          </w:tcPr>
          <w:p w14:paraId="0B44A288" w14:textId="203F43C1" w:rsidR="00A524BB" w:rsidRPr="00A777AA" w:rsidRDefault="00A524BB" w:rsidP="00A524BB">
            <w:pPr>
              <w:spacing w:line="480" w:lineRule="auto"/>
              <w:rPr>
                <w:rFonts w:ascii="Times New Roman" w:hAnsi="Times New Roman" w:cs="Times New Roman"/>
              </w:rPr>
            </w:pPr>
            <w:r>
              <w:rPr>
                <w:rFonts w:ascii="Times New Roman" w:hAnsi="Times New Roman" w:cs="Times New Roman"/>
              </w:rPr>
              <w:t>Vaccine type (Reference category: BCG)</w:t>
            </w:r>
          </w:p>
        </w:tc>
      </w:tr>
      <w:tr w:rsidR="00A524BB" w14:paraId="4B48FC9D" w14:textId="77777777" w:rsidTr="003F43E2">
        <w:tc>
          <w:tcPr>
            <w:tcW w:w="1616" w:type="dxa"/>
          </w:tcPr>
          <w:p w14:paraId="369A7D80" w14:textId="75D18579" w:rsidR="00A524BB" w:rsidRDefault="00A524BB" w:rsidP="00A524BB">
            <w:pPr>
              <w:spacing w:line="480" w:lineRule="auto"/>
              <w:rPr>
                <w:rFonts w:ascii="Times New Roman" w:hAnsi="Times New Roman" w:cs="Times New Roman"/>
              </w:rPr>
            </w:pPr>
            <w:r>
              <w:rPr>
                <w:rFonts w:ascii="Times New Roman" w:hAnsi="Times New Roman" w:cs="Times New Roman"/>
              </w:rPr>
              <w:t>DTP1</w:t>
            </w:r>
          </w:p>
        </w:tc>
        <w:tc>
          <w:tcPr>
            <w:tcW w:w="1289" w:type="dxa"/>
            <w:vAlign w:val="bottom"/>
          </w:tcPr>
          <w:p w14:paraId="5FCD6AF8" w14:textId="4BCA4834"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0.57</w:t>
            </w:r>
          </w:p>
        </w:tc>
        <w:tc>
          <w:tcPr>
            <w:tcW w:w="1289" w:type="dxa"/>
            <w:vAlign w:val="bottom"/>
          </w:tcPr>
          <w:p w14:paraId="668D9345" w14:textId="2A40C444"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60579C79" w14:textId="11B62239"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0.22</w:t>
            </w:r>
          </w:p>
        </w:tc>
        <w:tc>
          <w:tcPr>
            <w:tcW w:w="1289" w:type="dxa"/>
            <w:vAlign w:val="bottom"/>
          </w:tcPr>
          <w:p w14:paraId="1C1AC911" w14:textId="134B9D0E"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0.57</w:t>
            </w:r>
          </w:p>
        </w:tc>
        <w:tc>
          <w:tcPr>
            <w:tcW w:w="1289" w:type="dxa"/>
            <w:vAlign w:val="bottom"/>
          </w:tcPr>
          <w:p w14:paraId="4AA0555C" w14:textId="56D4EC57"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03F78F81" w14:textId="417B9FAB"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0.22</w:t>
            </w:r>
          </w:p>
        </w:tc>
      </w:tr>
      <w:tr w:rsidR="00A524BB" w14:paraId="61AA069F" w14:textId="77777777" w:rsidTr="003F43E2">
        <w:tc>
          <w:tcPr>
            <w:tcW w:w="1616" w:type="dxa"/>
          </w:tcPr>
          <w:p w14:paraId="636C80B3" w14:textId="02C665BF" w:rsidR="00A524BB" w:rsidRDefault="00A524BB" w:rsidP="00A524BB">
            <w:pPr>
              <w:spacing w:line="480" w:lineRule="auto"/>
              <w:rPr>
                <w:rFonts w:ascii="Times New Roman" w:hAnsi="Times New Roman" w:cs="Times New Roman"/>
              </w:rPr>
            </w:pPr>
            <w:r>
              <w:rPr>
                <w:rFonts w:ascii="Times New Roman" w:hAnsi="Times New Roman" w:cs="Times New Roman"/>
              </w:rPr>
              <w:t>DTP3</w:t>
            </w:r>
          </w:p>
        </w:tc>
        <w:tc>
          <w:tcPr>
            <w:tcW w:w="1289" w:type="dxa"/>
            <w:vAlign w:val="bottom"/>
          </w:tcPr>
          <w:p w14:paraId="54924A3D" w14:textId="3EA949B3"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-3.85</w:t>
            </w:r>
          </w:p>
        </w:tc>
        <w:tc>
          <w:tcPr>
            <w:tcW w:w="1289" w:type="dxa"/>
            <w:vAlign w:val="bottom"/>
          </w:tcPr>
          <w:p w14:paraId="0B36DFA1" w14:textId="7F7D250D"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532DD251" w14:textId="1EAE91D6"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1FEA5B6C" w14:textId="3E8ADEF3"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-3.85</w:t>
            </w:r>
          </w:p>
        </w:tc>
        <w:tc>
          <w:tcPr>
            <w:tcW w:w="1289" w:type="dxa"/>
            <w:vAlign w:val="bottom"/>
          </w:tcPr>
          <w:p w14:paraId="7CC20A95" w14:textId="7097F235"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3B1CF9DA" w14:textId="4A4B76A2"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3702D07C" w14:textId="77777777" w:rsidTr="003F43E2">
        <w:tc>
          <w:tcPr>
            <w:tcW w:w="1616" w:type="dxa"/>
          </w:tcPr>
          <w:p w14:paraId="46006A1F" w14:textId="1B0ECEBC" w:rsidR="00A524BB" w:rsidRDefault="00A524BB" w:rsidP="00A524BB">
            <w:pPr>
              <w:spacing w:line="480" w:lineRule="auto"/>
              <w:rPr>
                <w:rFonts w:ascii="Times New Roman" w:hAnsi="Times New Roman" w:cs="Times New Roman"/>
              </w:rPr>
            </w:pPr>
            <w:r>
              <w:rPr>
                <w:rFonts w:ascii="Times New Roman" w:hAnsi="Times New Roman" w:cs="Times New Roman"/>
              </w:rPr>
              <w:t>HEPB3</w:t>
            </w:r>
          </w:p>
        </w:tc>
        <w:tc>
          <w:tcPr>
            <w:tcW w:w="1289" w:type="dxa"/>
            <w:vAlign w:val="bottom"/>
          </w:tcPr>
          <w:p w14:paraId="18F3F2F1" w14:textId="2D0A30C5"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-4.71</w:t>
            </w:r>
          </w:p>
        </w:tc>
        <w:tc>
          <w:tcPr>
            <w:tcW w:w="1289" w:type="dxa"/>
            <w:vAlign w:val="bottom"/>
          </w:tcPr>
          <w:p w14:paraId="61BBCC8F" w14:textId="7AFDD3D3"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7CA36EF3" w14:textId="0D887795"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24E45AC9" w14:textId="7A0E9527"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-4.71</w:t>
            </w:r>
          </w:p>
        </w:tc>
        <w:tc>
          <w:tcPr>
            <w:tcW w:w="1289" w:type="dxa"/>
            <w:vAlign w:val="bottom"/>
          </w:tcPr>
          <w:p w14:paraId="677BAA42" w14:textId="1C7CE48B"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0E3F8CA2" w14:textId="546374E9"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4F8DEECF" w14:textId="77777777" w:rsidTr="003F43E2">
        <w:tc>
          <w:tcPr>
            <w:tcW w:w="1616" w:type="dxa"/>
          </w:tcPr>
          <w:p w14:paraId="0FB91B33" w14:textId="4392ADA3" w:rsidR="00A524BB" w:rsidRDefault="00A524BB" w:rsidP="00A524BB">
            <w:pPr>
              <w:spacing w:line="480" w:lineRule="auto"/>
              <w:rPr>
                <w:rFonts w:ascii="Times New Roman" w:hAnsi="Times New Roman" w:cs="Times New Roman"/>
              </w:rPr>
            </w:pPr>
            <w:r>
              <w:rPr>
                <w:rFonts w:ascii="Times New Roman" w:hAnsi="Times New Roman" w:cs="Times New Roman"/>
              </w:rPr>
              <w:t>HEPBB</w:t>
            </w:r>
          </w:p>
        </w:tc>
        <w:tc>
          <w:tcPr>
            <w:tcW w:w="1289" w:type="dxa"/>
            <w:vAlign w:val="bottom"/>
          </w:tcPr>
          <w:p w14:paraId="4B551B2A" w14:textId="207C5DBB"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-11.58</w:t>
            </w:r>
          </w:p>
        </w:tc>
        <w:tc>
          <w:tcPr>
            <w:tcW w:w="1289" w:type="dxa"/>
            <w:vAlign w:val="bottom"/>
          </w:tcPr>
          <w:p w14:paraId="1AFFF779" w14:textId="5E24A3FA"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0.61</w:t>
            </w:r>
          </w:p>
        </w:tc>
        <w:tc>
          <w:tcPr>
            <w:tcW w:w="1289" w:type="dxa"/>
            <w:vAlign w:val="bottom"/>
          </w:tcPr>
          <w:p w14:paraId="68C58EEF" w14:textId="4C31FB64"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7E094694" w14:textId="0956C556"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-11.57</w:t>
            </w:r>
          </w:p>
        </w:tc>
        <w:tc>
          <w:tcPr>
            <w:tcW w:w="1289" w:type="dxa"/>
            <w:vAlign w:val="bottom"/>
          </w:tcPr>
          <w:p w14:paraId="44E5A137" w14:textId="60DD2A7D"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0.61</w:t>
            </w:r>
          </w:p>
        </w:tc>
        <w:tc>
          <w:tcPr>
            <w:tcW w:w="1289" w:type="dxa"/>
            <w:vAlign w:val="bottom"/>
          </w:tcPr>
          <w:p w14:paraId="386681CA" w14:textId="1777F227"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4B67FFDD" w14:textId="77777777" w:rsidTr="003F43E2">
        <w:tc>
          <w:tcPr>
            <w:tcW w:w="1616" w:type="dxa"/>
          </w:tcPr>
          <w:p w14:paraId="5102CE76" w14:textId="67B0AD7B" w:rsidR="00A524BB" w:rsidRDefault="00A524BB" w:rsidP="00A524BB">
            <w:pPr>
              <w:spacing w:line="480" w:lineRule="auto"/>
              <w:rPr>
                <w:rFonts w:ascii="Times New Roman" w:hAnsi="Times New Roman" w:cs="Times New Roman"/>
              </w:rPr>
            </w:pPr>
            <w:r>
              <w:rPr>
                <w:rFonts w:ascii="Times New Roman" w:hAnsi="Times New Roman" w:cs="Times New Roman"/>
              </w:rPr>
              <w:t>HIB3</w:t>
            </w:r>
          </w:p>
        </w:tc>
        <w:tc>
          <w:tcPr>
            <w:tcW w:w="1289" w:type="dxa"/>
            <w:vAlign w:val="bottom"/>
          </w:tcPr>
          <w:p w14:paraId="73B75B68" w14:textId="5440E24C"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-4.96</w:t>
            </w:r>
          </w:p>
        </w:tc>
        <w:tc>
          <w:tcPr>
            <w:tcW w:w="1289" w:type="dxa"/>
            <w:vAlign w:val="bottom"/>
          </w:tcPr>
          <w:p w14:paraId="5C3A9D1D" w14:textId="583659B2"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4FAA56F2" w14:textId="3DF8A2F9"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54D673F4" w14:textId="211C85E4"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-4.96</w:t>
            </w:r>
          </w:p>
        </w:tc>
        <w:tc>
          <w:tcPr>
            <w:tcW w:w="1289" w:type="dxa"/>
            <w:vAlign w:val="bottom"/>
          </w:tcPr>
          <w:p w14:paraId="422B4303" w14:textId="5E492EED"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10B6AF19" w14:textId="00E9511E"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0DE7A894" w14:textId="77777777" w:rsidTr="003F43E2">
        <w:tc>
          <w:tcPr>
            <w:tcW w:w="1616" w:type="dxa"/>
          </w:tcPr>
          <w:p w14:paraId="59F65F85" w14:textId="21E0B0F8" w:rsidR="00A524BB" w:rsidRDefault="00A524BB" w:rsidP="00A524BB">
            <w:pPr>
              <w:spacing w:line="480" w:lineRule="auto"/>
              <w:rPr>
                <w:rFonts w:ascii="Times New Roman" w:hAnsi="Times New Roman" w:cs="Times New Roman"/>
              </w:rPr>
            </w:pPr>
            <w:r>
              <w:rPr>
                <w:rFonts w:ascii="Times New Roman" w:hAnsi="Times New Roman" w:cs="Times New Roman"/>
              </w:rPr>
              <w:t>MCV1</w:t>
            </w:r>
          </w:p>
        </w:tc>
        <w:tc>
          <w:tcPr>
            <w:tcW w:w="1289" w:type="dxa"/>
            <w:vAlign w:val="bottom"/>
          </w:tcPr>
          <w:p w14:paraId="5BBB4FBA" w14:textId="0F0935AA"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-4.51</w:t>
            </w:r>
          </w:p>
        </w:tc>
        <w:tc>
          <w:tcPr>
            <w:tcW w:w="1289" w:type="dxa"/>
            <w:vAlign w:val="bottom"/>
          </w:tcPr>
          <w:p w14:paraId="3BEE6751" w14:textId="6F5C871B"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43FE529C" w14:textId="653132A2"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0EB40FC1" w14:textId="70DEB9D5"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-4.51</w:t>
            </w:r>
          </w:p>
        </w:tc>
        <w:tc>
          <w:tcPr>
            <w:tcW w:w="1289" w:type="dxa"/>
            <w:vAlign w:val="bottom"/>
          </w:tcPr>
          <w:p w14:paraId="2CCD13DD" w14:textId="2B8C05D5"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527FDA54" w14:textId="0F1D7C5F"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180C37F7" w14:textId="77777777" w:rsidTr="003F43E2">
        <w:tc>
          <w:tcPr>
            <w:tcW w:w="1616" w:type="dxa"/>
          </w:tcPr>
          <w:p w14:paraId="0117003F" w14:textId="56D3C5D4" w:rsidR="00A524BB" w:rsidRDefault="00A524BB" w:rsidP="00A524BB">
            <w:pPr>
              <w:spacing w:line="480" w:lineRule="auto"/>
              <w:rPr>
                <w:rFonts w:ascii="Times New Roman" w:hAnsi="Times New Roman" w:cs="Times New Roman"/>
              </w:rPr>
            </w:pPr>
            <w:r>
              <w:rPr>
                <w:rFonts w:ascii="Times New Roman" w:hAnsi="Times New Roman" w:cs="Times New Roman"/>
              </w:rPr>
              <w:t>MCV2</w:t>
            </w:r>
          </w:p>
        </w:tc>
        <w:tc>
          <w:tcPr>
            <w:tcW w:w="1289" w:type="dxa"/>
            <w:vAlign w:val="bottom"/>
          </w:tcPr>
          <w:p w14:paraId="6A713179" w14:textId="6AE737A2"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-10.80</w:t>
            </w:r>
          </w:p>
        </w:tc>
        <w:tc>
          <w:tcPr>
            <w:tcW w:w="1289" w:type="dxa"/>
            <w:vAlign w:val="bottom"/>
          </w:tcPr>
          <w:p w14:paraId="1383DED4" w14:textId="434E41E7"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0.50</w:t>
            </w:r>
          </w:p>
        </w:tc>
        <w:tc>
          <w:tcPr>
            <w:tcW w:w="1289" w:type="dxa"/>
            <w:vAlign w:val="bottom"/>
          </w:tcPr>
          <w:p w14:paraId="45083139" w14:textId="18B23B66"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6655391D" w14:textId="26F2CBF5"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-10.79</w:t>
            </w:r>
          </w:p>
        </w:tc>
        <w:tc>
          <w:tcPr>
            <w:tcW w:w="1289" w:type="dxa"/>
            <w:vAlign w:val="bottom"/>
          </w:tcPr>
          <w:p w14:paraId="6E7CEC77" w14:textId="4B873F5C"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0.50</w:t>
            </w:r>
          </w:p>
        </w:tc>
        <w:tc>
          <w:tcPr>
            <w:tcW w:w="1289" w:type="dxa"/>
            <w:vAlign w:val="bottom"/>
          </w:tcPr>
          <w:p w14:paraId="498896C1" w14:textId="19EE152F"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641E81F7" w14:textId="77777777" w:rsidTr="003F43E2">
        <w:tc>
          <w:tcPr>
            <w:tcW w:w="1616" w:type="dxa"/>
          </w:tcPr>
          <w:p w14:paraId="58DBC139" w14:textId="24E47A08" w:rsidR="00A524BB" w:rsidRDefault="00A524BB" w:rsidP="00A524BB">
            <w:pPr>
              <w:spacing w:line="480" w:lineRule="auto"/>
              <w:rPr>
                <w:rFonts w:ascii="Times New Roman" w:hAnsi="Times New Roman" w:cs="Times New Roman"/>
              </w:rPr>
            </w:pPr>
            <w:r>
              <w:rPr>
                <w:rFonts w:ascii="Times New Roman" w:hAnsi="Times New Roman" w:cs="Times New Roman"/>
              </w:rPr>
              <w:t>PCV3</w:t>
            </w:r>
          </w:p>
        </w:tc>
        <w:tc>
          <w:tcPr>
            <w:tcW w:w="1289" w:type="dxa"/>
            <w:vAlign w:val="bottom"/>
          </w:tcPr>
          <w:p w14:paraId="019096C1" w14:textId="0EA9B586"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-11.09</w:t>
            </w:r>
          </w:p>
        </w:tc>
        <w:tc>
          <w:tcPr>
            <w:tcW w:w="1289" w:type="dxa"/>
            <w:vAlign w:val="bottom"/>
          </w:tcPr>
          <w:p w14:paraId="22F424EF" w14:textId="1FA59E36"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0.54</w:t>
            </w:r>
          </w:p>
        </w:tc>
        <w:tc>
          <w:tcPr>
            <w:tcW w:w="1289" w:type="dxa"/>
            <w:vAlign w:val="bottom"/>
          </w:tcPr>
          <w:p w14:paraId="0B39AEDC" w14:textId="2F331064"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3EF5D838" w14:textId="0D32008F"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-11.09</w:t>
            </w:r>
          </w:p>
        </w:tc>
        <w:tc>
          <w:tcPr>
            <w:tcW w:w="1289" w:type="dxa"/>
            <w:vAlign w:val="bottom"/>
          </w:tcPr>
          <w:p w14:paraId="7874B791" w14:textId="524C325C"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0.54</w:t>
            </w:r>
          </w:p>
        </w:tc>
        <w:tc>
          <w:tcPr>
            <w:tcW w:w="1289" w:type="dxa"/>
            <w:vAlign w:val="bottom"/>
          </w:tcPr>
          <w:p w14:paraId="30B32851" w14:textId="46EA1C28"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3BD0895D" w14:textId="77777777" w:rsidTr="003F43E2">
        <w:tc>
          <w:tcPr>
            <w:tcW w:w="1616" w:type="dxa"/>
          </w:tcPr>
          <w:p w14:paraId="7C7B2C9D" w14:textId="61332A32" w:rsidR="00A524BB" w:rsidRDefault="00A524BB" w:rsidP="00A524BB">
            <w:pPr>
              <w:spacing w:line="480" w:lineRule="auto"/>
              <w:rPr>
                <w:rFonts w:ascii="Times New Roman" w:hAnsi="Times New Roman" w:cs="Times New Roman"/>
              </w:rPr>
            </w:pPr>
            <w:r>
              <w:rPr>
                <w:rFonts w:ascii="Times New Roman" w:hAnsi="Times New Roman" w:cs="Times New Roman"/>
              </w:rPr>
              <w:t>POL3</w:t>
            </w:r>
          </w:p>
        </w:tc>
        <w:tc>
          <w:tcPr>
            <w:tcW w:w="1289" w:type="dxa"/>
            <w:vAlign w:val="bottom"/>
          </w:tcPr>
          <w:p w14:paraId="1C6B7E85" w14:textId="13C4BFC0"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-3.93</w:t>
            </w:r>
          </w:p>
        </w:tc>
        <w:tc>
          <w:tcPr>
            <w:tcW w:w="1289" w:type="dxa"/>
            <w:vAlign w:val="bottom"/>
          </w:tcPr>
          <w:p w14:paraId="62E174FA" w14:textId="7DFCD88D"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7E5191A7" w14:textId="2590C169"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1A4DB705" w14:textId="45C003D8"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-3.93</w:t>
            </w:r>
          </w:p>
        </w:tc>
        <w:tc>
          <w:tcPr>
            <w:tcW w:w="1289" w:type="dxa"/>
            <w:vAlign w:val="bottom"/>
          </w:tcPr>
          <w:p w14:paraId="3272FE54" w14:textId="72605EAA"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0.47</w:t>
            </w:r>
          </w:p>
        </w:tc>
        <w:tc>
          <w:tcPr>
            <w:tcW w:w="1289" w:type="dxa"/>
            <w:vAlign w:val="bottom"/>
          </w:tcPr>
          <w:p w14:paraId="0093A93F" w14:textId="0B116AAD"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5063C6A4" w14:textId="77777777" w:rsidTr="003F43E2">
        <w:tc>
          <w:tcPr>
            <w:tcW w:w="1616" w:type="dxa"/>
          </w:tcPr>
          <w:p w14:paraId="524473FA" w14:textId="656B521D" w:rsidR="00A524BB" w:rsidRDefault="00A524BB" w:rsidP="00A524BB">
            <w:pPr>
              <w:spacing w:line="480" w:lineRule="auto"/>
              <w:rPr>
                <w:rFonts w:ascii="Times New Roman" w:hAnsi="Times New Roman" w:cs="Times New Roman"/>
              </w:rPr>
            </w:pPr>
            <w:r>
              <w:rPr>
                <w:rFonts w:ascii="Times New Roman" w:hAnsi="Times New Roman" w:cs="Times New Roman"/>
              </w:rPr>
              <w:t>RCV1</w:t>
            </w:r>
          </w:p>
        </w:tc>
        <w:tc>
          <w:tcPr>
            <w:tcW w:w="1289" w:type="dxa"/>
            <w:vAlign w:val="bottom"/>
          </w:tcPr>
          <w:p w14:paraId="272226A6" w14:textId="4353F090"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-2.99</w:t>
            </w:r>
          </w:p>
        </w:tc>
        <w:tc>
          <w:tcPr>
            <w:tcW w:w="1289" w:type="dxa"/>
            <w:vAlign w:val="bottom"/>
          </w:tcPr>
          <w:p w14:paraId="64316633" w14:textId="064099A9"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0.50</w:t>
            </w:r>
          </w:p>
        </w:tc>
        <w:tc>
          <w:tcPr>
            <w:tcW w:w="1289" w:type="dxa"/>
            <w:vAlign w:val="bottom"/>
          </w:tcPr>
          <w:p w14:paraId="562A9FB2" w14:textId="56485664"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3C3D6274" w14:textId="5CEBB30E"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-2.99</w:t>
            </w:r>
          </w:p>
        </w:tc>
        <w:tc>
          <w:tcPr>
            <w:tcW w:w="1289" w:type="dxa"/>
            <w:vAlign w:val="bottom"/>
          </w:tcPr>
          <w:p w14:paraId="19F6E079" w14:textId="5940FE45"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0.50</w:t>
            </w:r>
          </w:p>
        </w:tc>
        <w:tc>
          <w:tcPr>
            <w:tcW w:w="1289" w:type="dxa"/>
            <w:vAlign w:val="bottom"/>
          </w:tcPr>
          <w:p w14:paraId="2F0E3DC0" w14:textId="68FAE7BC"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7B4EA4B9" w14:textId="77777777" w:rsidTr="003F43E2">
        <w:tc>
          <w:tcPr>
            <w:tcW w:w="1616" w:type="dxa"/>
          </w:tcPr>
          <w:p w14:paraId="3D674CD9" w14:textId="6C15B16B" w:rsidR="00A524BB" w:rsidRDefault="00A524BB" w:rsidP="00A524BB">
            <w:pPr>
              <w:spacing w:line="480" w:lineRule="auto"/>
              <w:rPr>
                <w:rFonts w:ascii="Times New Roman" w:hAnsi="Times New Roman" w:cs="Times New Roman"/>
              </w:rPr>
            </w:pPr>
            <w:r>
              <w:rPr>
                <w:rFonts w:ascii="Times New Roman" w:hAnsi="Times New Roman" w:cs="Times New Roman"/>
              </w:rPr>
              <w:t>ROTAC</w:t>
            </w:r>
          </w:p>
        </w:tc>
        <w:tc>
          <w:tcPr>
            <w:tcW w:w="1289" w:type="dxa"/>
            <w:vAlign w:val="bottom"/>
          </w:tcPr>
          <w:p w14:paraId="3EFC016A" w14:textId="7723BE9C"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-14.15</w:t>
            </w:r>
          </w:p>
        </w:tc>
        <w:tc>
          <w:tcPr>
            <w:tcW w:w="1289" w:type="dxa"/>
            <w:vAlign w:val="bottom"/>
          </w:tcPr>
          <w:p w14:paraId="64CF1E84" w14:textId="315470FE"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0.63</w:t>
            </w:r>
          </w:p>
        </w:tc>
        <w:tc>
          <w:tcPr>
            <w:tcW w:w="1289" w:type="dxa"/>
            <w:vAlign w:val="bottom"/>
          </w:tcPr>
          <w:p w14:paraId="78D29414" w14:textId="16DFA9EB"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vAlign w:val="bottom"/>
          </w:tcPr>
          <w:p w14:paraId="4187B335" w14:textId="295449BB"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-14.16</w:t>
            </w:r>
          </w:p>
        </w:tc>
        <w:tc>
          <w:tcPr>
            <w:tcW w:w="1289" w:type="dxa"/>
            <w:vAlign w:val="bottom"/>
          </w:tcPr>
          <w:p w14:paraId="0DF2E07C" w14:textId="219D5D22" w:rsidR="00A524BB" w:rsidRPr="00A777AA"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0.63</w:t>
            </w:r>
          </w:p>
        </w:tc>
        <w:tc>
          <w:tcPr>
            <w:tcW w:w="1289" w:type="dxa"/>
            <w:vAlign w:val="bottom"/>
          </w:tcPr>
          <w:p w14:paraId="399A9B90" w14:textId="460AF9FC" w:rsidR="00A524BB" w:rsidRPr="00A777AA"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447D36F2" w14:textId="77777777" w:rsidTr="00A524BB">
        <w:tc>
          <w:tcPr>
            <w:tcW w:w="9350" w:type="dxa"/>
            <w:gridSpan w:val="7"/>
          </w:tcPr>
          <w:p w14:paraId="648459FD" w14:textId="5CA5F2AE" w:rsidR="00A524BB" w:rsidRDefault="00A524BB" w:rsidP="00A524BB">
            <w:pPr>
              <w:spacing w:line="480" w:lineRule="auto"/>
              <w:rPr>
                <w:rFonts w:ascii="Times New Roman" w:hAnsi="Times New Roman" w:cs="Times New Roman"/>
              </w:rPr>
            </w:pPr>
            <w:r>
              <w:rPr>
                <w:rFonts w:ascii="Times New Roman" w:hAnsi="Times New Roman" w:cs="Times New Roman"/>
              </w:rPr>
              <w:t>Difference-in-difference variables</w:t>
            </w:r>
          </w:p>
        </w:tc>
      </w:tr>
      <w:tr w:rsidR="00A524BB" w14:paraId="0FC754FF" w14:textId="77777777" w:rsidTr="00A524BB">
        <w:tc>
          <w:tcPr>
            <w:tcW w:w="1616" w:type="dxa"/>
          </w:tcPr>
          <w:p w14:paraId="02009A86" w14:textId="57C5FA4C" w:rsidR="00A524BB" w:rsidRDefault="00A524BB" w:rsidP="00A524BB">
            <w:pPr>
              <w:spacing w:line="480" w:lineRule="auto"/>
              <w:rPr>
                <w:rFonts w:ascii="Times New Roman" w:hAnsi="Times New Roman" w:cs="Times New Roman"/>
              </w:rPr>
            </w:pPr>
            <w:r>
              <w:rPr>
                <w:rFonts w:ascii="Times New Roman" w:hAnsi="Times New Roman" w:cs="Times New Roman"/>
              </w:rPr>
              <w:t>Pre/Post</w:t>
            </w:r>
          </w:p>
        </w:tc>
        <w:tc>
          <w:tcPr>
            <w:tcW w:w="1289" w:type="dxa"/>
          </w:tcPr>
          <w:p w14:paraId="6C34C611" w14:textId="5049731B"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-2.94</w:t>
            </w:r>
          </w:p>
        </w:tc>
        <w:tc>
          <w:tcPr>
            <w:tcW w:w="1289" w:type="dxa"/>
          </w:tcPr>
          <w:p w14:paraId="3F9F6DA5" w14:textId="0282F1DC"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0.41</w:t>
            </w:r>
          </w:p>
        </w:tc>
        <w:tc>
          <w:tcPr>
            <w:tcW w:w="1289" w:type="dxa"/>
          </w:tcPr>
          <w:p w14:paraId="623E19E6" w14:textId="0F6F28FA"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tcPr>
          <w:p w14:paraId="037466EC" w14:textId="5C9033A8"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-3.32</w:t>
            </w:r>
          </w:p>
        </w:tc>
        <w:tc>
          <w:tcPr>
            <w:tcW w:w="1289" w:type="dxa"/>
          </w:tcPr>
          <w:p w14:paraId="239D2176" w14:textId="5064CBC8"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0.44</w:t>
            </w:r>
          </w:p>
        </w:tc>
        <w:tc>
          <w:tcPr>
            <w:tcW w:w="1289" w:type="dxa"/>
          </w:tcPr>
          <w:p w14:paraId="5E196868" w14:textId="76E5AD8F"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568477FE" w14:textId="77777777" w:rsidTr="00A524BB">
        <w:tc>
          <w:tcPr>
            <w:tcW w:w="1616" w:type="dxa"/>
          </w:tcPr>
          <w:p w14:paraId="2A415672" w14:textId="61202B2C" w:rsidR="00A524BB" w:rsidRDefault="00A524BB" w:rsidP="00A524BB">
            <w:pPr>
              <w:spacing w:line="480" w:lineRule="auto"/>
              <w:rPr>
                <w:rFonts w:ascii="Times New Roman" w:hAnsi="Times New Roman" w:cs="Times New Roman"/>
              </w:rPr>
            </w:pPr>
            <w:r>
              <w:rPr>
                <w:rFonts w:ascii="Times New Roman" w:hAnsi="Times New Roman" w:cs="Times New Roman"/>
              </w:rPr>
              <w:t>UHC SCI 2019 &gt;=80</w:t>
            </w:r>
          </w:p>
        </w:tc>
        <w:tc>
          <w:tcPr>
            <w:tcW w:w="1289" w:type="dxa"/>
          </w:tcPr>
          <w:p w14:paraId="279E1FC5" w14:textId="0B1FBE25"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-2.39</w:t>
            </w:r>
          </w:p>
        </w:tc>
        <w:tc>
          <w:tcPr>
            <w:tcW w:w="1289" w:type="dxa"/>
          </w:tcPr>
          <w:p w14:paraId="78357F90" w14:textId="13423C87"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0.39</w:t>
            </w:r>
          </w:p>
        </w:tc>
        <w:tc>
          <w:tcPr>
            <w:tcW w:w="1289" w:type="dxa"/>
          </w:tcPr>
          <w:p w14:paraId="376B9D97" w14:textId="12860304"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c>
          <w:tcPr>
            <w:tcW w:w="1289" w:type="dxa"/>
          </w:tcPr>
          <w:p w14:paraId="36898173" w14:textId="7A416230"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-2.58</w:t>
            </w:r>
          </w:p>
        </w:tc>
        <w:tc>
          <w:tcPr>
            <w:tcW w:w="1289" w:type="dxa"/>
          </w:tcPr>
          <w:p w14:paraId="5437D937" w14:textId="4DDF0D73"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0.40</w:t>
            </w:r>
          </w:p>
        </w:tc>
        <w:tc>
          <w:tcPr>
            <w:tcW w:w="1289" w:type="dxa"/>
          </w:tcPr>
          <w:p w14:paraId="7D94F4E9" w14:textId="23267754" w:rsidR="00A524BB" w:rsidRDefault="00A524BB" w:rsidP="00A524BB">
            <w:pPr>
              <w:spacing w:line="480" w:lineRule="auto"/>
              <w:jc w:val="center"/>
              <w:rPr>
                <w:rFonts w:ascii="Times New Roman" w:hAnsi="Times New Roman" w:cs="Times New Roman"/>
              </w:rPr>
            </w:pPr>
            <w:r>
              <w:rPr>
                <w:rFonts w:ascii="Times New Roman" w:hAnsi="Times New Roman" w:cs="Times New Roman"/>
              </w:rPr>
              <w:t>&lt;0.01</w:t>
            </w:r>
          </w:p>
        </w:tc>
      </w:tr>
      <w:tr w:rsidR="00A524BB" w14:paraId="15C56DB1" w14:textId="77777777" w:rsidTr="00A524BB">
        <w:tc>
          <w:tcPr>
            <w:tcW w:w="1616" w:type="dxa"/>
          </w:tcPr>
          <w:p w14:paraId="2FD24468" w14:textId="2A25109A" w:rsidR="00A524BB" w:rsidRDefault="00A524BB" w:rsidP="00A524BB">
            <w:pPr>
              <w:spacing w:line="480" w:lineRule="auto"/>
              <w:rPr>
                <w:rFonts w:ascii="Times New Roman" w:hAnsi="Times New Roman" w:cs="Times New Roman"/>
              </w:rPr>
            </w:pPr>
            <w:r>
              <w:rPr>
                <w:rFonts w:ascii="Times New Roman" w:hAnsi="Times New Roman" w:cs="Times New Roman"/>
              </w:rPr>
              <w:lastRenderedPageBreak/>
              <w:t>Pre/Post * UHC SCI &gt;=80</w:t>
            </w:r>
          </w:p>
        </w:tc>
        <w:tc>
          <w:tcPr>
            <w:tcW w:w="1289" w:type="dxa"/>
          </w:tcPr>
          <w:p w14:paraId="30971B3B" w14:textId="0550FE7E" w:rsidR="00A524BB" w:rsidRDefault="00A524BB" w:rsidP="00A524BB">
            <w:pPr>
              <w:spacing w:line="480" w:lineRule="auto"/>
              <w:jc w:val="center"/>
              <w:rPr>
                <w:rFonts w:ascii="Times New Roman" w:hAnsi="Times New Roman" w:cs="Times New Roman"/>
              </w:rPr>
            </w:pPr>
          </w:p>
        </w:tc>
        <w:tc>
          <w:tcPr>
            <w:tcW w:w="1289" w:type="dxa"/>
          </w:tcPr>
          <w:p w14:paraId="2FFC6AEB" w14:textId="6FD624DC" w:rsidR="00A524BB" w:rsidRDefault="00A524BB" w:rsidP="00A524BB">
            <w:pPr>
              <w:spacing w:line="480" w:lineRule="auto"/>
              <w:jc w:val="center"/>
              <w:rPr>
                <w:rFonts w:ascii="Times New Roman" w:hAnsi="Times New Roman" w:cs="Times New Roman"/>
              </w:rPr>
            </w:pPr>
          </w:p>
        </w:tc>
        <w:tc>
          <w:tcPr>
            <w:tcW w:w="1289" w:type="dxa"/>
          </w:tcPr>
          <w:p w14:paraId="019E93F7" w14:textId="45B94699" w:rsidR="00A524BB" w:rsidRDefault="00A524BB" w:rsidP="00A524BB">
            <w:pPr>
              <w:spacing w:line="480" w:lineRule="auto"/>
              <w:jc w:val="center"/>
              <w:rPr>
                <w:rFonts w:ascii="Times New Roman" w:hAnsi="Times New Roman" w:cs="Times New Roman"/>
              </w:rPr>
            </w:pPr>
          </w:p>
        </w:tc>
        <w:tc>
          <w:tcPr>
            <w:tcW w:w="1289" w:type="dxa"/>
          </w:tcPr>
          <w:p w14:paraId="3B9F0EFF" w14:textId="543347F3"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2.87</w:t>
            </w:r>
          </w:p>
        </w:tc>
        <w:tc>
          <w:tcPr>
            <w:tcW w:w="1289" w:type="dxa"/>
          </w:tcPr>
          <w:p w14:paraId="600F232E" w14:textId="40E453B8"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1.07</w:t>
            </w:r>
          </w:p>
        </w:tc>
        <w:tc>
          <w:tcPr>
            <w:tcW w:w="1289" w:type="dxa"/>
          </w:tcPr>
          <w:p w14:paraId="3FC57926" w14:textId="6BCEE235" w:rsidR="00A524BB" w:rsidRDefault="00A524BB" w:rsidP="00A524BB">
            <w:pPr>
              <w:spacing w:line="480" w:lineRule="auto"/>
              <w:jc w:val="center"/>
              <w:rPr>
                <w:rFonts w:ascii="Times New Roman" w:hAnsi="Times New Roman" w:cs="Times New Roman"/>
              </w:rPr>
            </w:pPr>
            <w:r w:rsidRPr="00A524BB">
              <w:rPr>
                <w:rFonts w:ascii="Times New Roman" w:hAnsi="Times New Roman" w:cs="Times New Roman"/>
              </w:rPr>
              <w:t>0.01</w:t>
            </w:r>
          </w:p>
        </w:tc>
      </w:tr>
    </w:tbl>
    <w:p w14:paraId="5741B91D" w14:textId="7BCBFC31" w:rsidR="00106A4E" w:rsidRDefault="008F2FEA" w:rsidP="00110FA1">
      <w:pPr>
        <w:spacing w:line="480" w:lineRule="auto"/>
        <w:rPr>
          <w:rFonts w:ascii="Times New Roman" w:hAnsi="Times New Roman" w:cs="Times New Roman"/>
        </w:rPr>
      </w:pPr>
      <w:r>
        <w:rPr>
          <w:rFonts w:ascii="Times New Roman" w:hAnsi="Times New Roman" w:cs="Times New Roman"/>
        </w:rPr>
        <w:t>*: p-value &lt;0.05</w:t>
      </w:r>
      <w:r w:rsidR="00F43435">
        <w:rPr>
          <w:rFonts w:ascii="Times New Roman" w:hAnsi="Times New Roman" w:cs="Times New Roman"/>
        </w:rPr>
        <w:t>, **: p-value&lt;0.01</w:t>
      </w:r>
    </w:p>
    <w:p w14:paraId="5F444164" w14:textId="77777777" w:rsidR="006C0847" w:rsidRDefault="006C0847" w:rsidP="00110FA1">
      <w:pPr>
        <w:spacing w:line="480" w:lineRule="auto"/>
        <w:rPr>
          <w:rFonts w:ascii="Times New Roman" w:hAnsi="Times New Roman" w:cs="Times New Roman"/>
        </w:rPr>
      </w:pPr>
    </w:p>
    <w:p w14:paraId="1462D75E" w14:textId="036A0BB6" w:rsidR="00931814" w:rsidRDefault="00931814" w:rsidP="000F776B">
      <w:pPr>
        <w:spacing w:line="480" w:lineRule="auto"/>
        <w:ind w:firstLine="720"/>
        <w:rPr>
          <w:rFonts w:ascii="Times New Roman" w:hAnsi="Times New Roman" w:cs="Times New Roman"/>
        </w:rPr>
      </w:pPr>
      <w:r>
        <w:rPr>
          <w:rFonts w:ascii="Times New Roman" w:hAnsi="Times New Roman" w:cs="Times New Roman"/>
        </w:rPr>
        <w:t xml:space="preserve">Table 3 shows </w:t>
      </w:r>
      <w:proofErr w:type="spellStart"/>
      <w:r>
        <w:rPr>
          <w:rFonts w:ascii="Times New Roman" w:hAnsi="Times New Roman" w:cs="Times New Roman"/>
        </w:rPr>
        <w:t>DiD</w:t>
      </w:r>
      <w:proofErr w:type="spellEnd"/>
      <w:r>
        <w:rPr>
          <w:rFonts w:ascii="Times New Roman" w:hAnsi="Times New Roman" w:cs="Times New Roman"/>
        </w:rPr>
        <w:t xml:space="preserve"> coefficient from each regression analysis performed for individual types of vaccine</w:t>
      </w:r>
      <w:r w:rsidR="00172D46">
        <w:rPr>
          <w:rFonts w:ascii="Times New Roman" w:hAnsi="Times New Roman" w:cs="Times New Roman"/>
        </w:rPr>
        <w:t xml:space="preserve">, comparing countries with high level progress towards UHC (UHC SCI 2019 &gt;=80) and the rest. </w:t>
      </w:r>
      <w:r w:rsidR="00A015E8">
        <w:rPr>
          <w:rFonts w:ascii="Times New Roman" w:hAnsi="Times New Roman" w:cs="Times New Roman"/>
        </w:rPr>
        <w:t xml:space="preserve">None of the </w:t>
      </w:r>
      <w:proofErr w:type="spellStart"/>
      <w:r w:rsidR="00A015E8">
        <w:rPr>
          <w:rFonts w:ascii="Times New Roman" w:hAnsi="Times New Roman" w:cs="Times New Roman"/>
        </w:rPr>
        <w:t>DiD</w:t>
      </w:r>
      <w:proofErr w:type="spellEnd"/>
      <w:r w:rsidR="00A015E8">
        <w:rPr>
          <w:rFonts w:ascii="Times New Roman" w:hAnsi="Times New Roman" w:cs="Times New Roman"/>
        </w:rPr>
        <w:t xml:space="preserve"> coefficient for individual type of vaccine was significant with the p-value below the alpha cutoff value of 0.05, while for some vaccines, namely MCV-1, HEPB-3, and RCV-1, the </w:t>
      </w:r>
      <w:proofErr w:type="spellStart"/>
      <w:r w:rsidR="00A015E8">
        <w:rPr>
          <w:rFonts w:ascii="Times New Roman" w:hAnsi="Times New Roman" w:cs="Times New Roman"/>
        </w:rPr>
        <w:t>DiD</w:t>
      </w:r>
      <w:proofErr w:type="spellEnd"/>
      <w:r w:rsidR="00A015E8">
        <w:rPr>
          <w:rFonts w:ascii="Times New Roman" w:hAnsi="Times New Roman" w:cs="Times New Roman"/>
        </w:rPr>
        <w:t xml:space="preserve"> coefficient was positive with the p-value below 0.20. Given that the overall immunization coverage resulted in the significantly positive value, there is a chance that insignificant </w:t>
      </w:r>
      <w:proofErr w:type="spellStart"/>
      <w:r w:rsidR="00A015E8">
        <w:rPr>
          <w:rFonts w:ascii="Times New Roman" w:hAnsi="Times New Roman" w:cs="Times New Roman"/>
        </w:rPr>
        <w:t>DiD</w:t>
      </w:r>
      <w:proofErr w:type="spellEnd"/>
      <w:r w:rsidR="00A015E8">
        <w:rPr>
          <w:rFonts w:ascii="Times New Roman" w:hAnsi="Times New Roman" w:cs="Times New Roman"/>
        </w:rPr>
        <w:t xml:space="preserve"> coefficient from these sub-analyses is due to the smaller sample size</w:t>
      </w:r>
      <w:r w:rsidR="00870D64">
        <w:rPr>
          <w:rFonts w:ascii="Times New Roman" w:hAnsi="Times New Roman" w:cs="Times New Roman"/>
        </w:rPr>
        <w:t xml:space="preserve">, 180 countries compared to 180 countries times 13 vaccine types, </w:t>
      </w:r>
      <w:r w:rsidR="00A015E8">
        <w:rPr>
          <w:rFonts w:ascii="Times New Roman" w:hAnsi="Times New Roman" w:cs="Times New Roman"/>
        </w:rPr>
        <w:t xml:space="preserve">resulting in lack of </w:t>
      </w:r>
      <w:r w:rsidR="00A235E4">
        <w:rPr>
          <w:rFonts w:ascii="Times New Roman" w:hAnsi="Times New Roman" w:cs="Times New Roman"/>
        </w:rPr>
        <w:t>in</w:t>
      </w:r>
      <w:r w:rsidR="00A015E8">
        <w:rPr>
          <w:rFonts w:ascii="Times New Roman" w:hAnsi="Times New Roman" w:cs="Times New Roman"/>
        </w:rPr>
        <w:t xml:space="preserve">sufficient statistical power. </w:t>
      </w:r>
      <w:r>
        <w:rPr>
          <w:rFonts w:ascii="Times New Roman" w:hAnsi="Times New Roman" w:cs="Times New Roman"/>
        </w:rPr>
        <w:t>The full tables of result from regression analysis</w:t>
      </w:r>
      <w:r w:rsidR="00BC7D07">
        <w:rPr>
          <w:rFonts w:ascii="Times New Roman" w:hAnsi="Times New Roman" w:cs="Times New Roman"/>
        </w:rPr>
        <w:t xml:space="preserve"> for each vaccine</w:t>
      </w:r>
      <w:r>
        <w:rPr>
          <w:rFonts w:ascii="Times New Roman" w:hAnsi="Times New Roman" w:cs="Times New Roman"/>
        </w:rPr>
        <w:t xml:space="preserve"> </w:t>
      </w:r>
      <w:r w:rsidR="00487E6A">
        <w:rPr>
          <w:rFonts w:ascii="Times New Roman" w:hAnsi="Times New Roman" w:cs="Times New Roman"/>
        </w:rPr>
        <w:t>are</w:t>
      </w:r>
      <w:r>
        <w:rPr>
          <w:rFonts w:ascii="Times New Roman" w:hAnsi="Times New Roman" w:cs="Times New Roman"/>
        </w:rPr>
        <w:t xml:space="preserve"> available in the </w:t>
      </w:r>
      <w:r w:rsidR="008333A3">
        <w:rPr>
          <w:rFonts w:ascii="Times New Roman" w:hAnsi="Times New Roman" w:cs="Times New Roman"/>
        </w:rPr>
        <w:t>s</w:t>
      </w:r>
      <w:r>
        <w:rPr>
          <w:rFonts w:ascii="Times New Roman" w:hAnsi="Times New Roman" w:cs="Times New Roman"/>
        </w:rPr>
        <w:t xml:space="preserve">upplementary </w:t>
      </w:r>
      <w:r w:rsidR="008333A3">
        <w:rPr>
          <w:rFonts w:ascii="Times New Roman" w:hAnsi="Times New Roman" w:cs="Times New Roman"/>
        </w:rPr>
        <w:t>m</w:t>
      </w:r>
      <w:r>
        <w:rPr>
          <w:rFonts w:ascii="Times New Roman" w:hAnsi="Times New Roman" w:cs="Times New Roman"/>
        </w:rPr>
        <w:t>aterial</w:t>
      </w:r>
      <w:r w:rsidR="00A015E8">
        <w:rPr>
          <w:rFonts w:ascii="Times New Roman" w:hAnsi="Times New Roman" w:cs="Times New Roman"/>
        </w:rPr>
        <w:t xml:space="preserve"> (Table S2-14 ~ S2-2</w:t>
      </w:r>
      <w:r w:rsidR="00980FF4">
        <w:rPr>
          <w:rFonts w:ascii="Times New Roman" w:hAnsi="Times New Roman" w:cs="Times New Roman"/>
        </w:rPr>
        <w:t>5</w:t>
      </w:r>
      <w:r w:rsidR="00A015E8">
        <w:rPr>
          <w:rFonts w:ascii="Times New Roman" w:hAnsi="Times New Roman" w:cs="Times New Roman"/>
        </w:rPr>
        <w:t>)</w:t>
      </w:r>
      <w:r>
        <w:rPr>
          <w:rFonts w:ascii="Times New Roman" w:hAnsi="Times New Roman" w:cs="Times New Roman"/>
        </w:rPr>
        <w:t>.</w:t>
      </w:r>
      <w:r w:rsidR="00487E6A">
        <w:rPr>
          <w:rFonts w:ascii="Times New Roman" w:hAnsi="Times New Roman" w:cs="Times New Roman"/>
        </w:rPr>
        <w:t xml:space="preserve"> </w:t>
      </w:r>
    </w:p>
    <w:p w14:paraId="5C824B1A" w14:textId="77777777" w:rsidR="00931814" w:rsidRDefault="00931814" w:rsidP="00110FA1">
      <w:pPr>
        <w:spacing w:line="480" w:lineRule="auto"/>
        <w:rPr>
          <w:rFonts w:ascii="Times New Roman" w:hAnsi="Times New Roman" w:cs="Times New Roman"/>
        </w:rPr>
      </w:pPr>
    </w:p>
    <w:p w14:paraId="0B2FC942" w14:textId="6F149396" w:rsidR="00404FA5" w:rsidRDefault="00404FA5" w:rsidP="00110FA1">
      <w:pPr>
        <w:spacing w:line="480" w:lineRule="auto"/>
        <w:rPr>
          <w:rFonts w:ascii="Times New Roman" w:hAnsi="Times New Roman" w:cs="Times New Roman"/>
        </w:rPr>
      </w:pPr>
      <w:r>
        <w:rPr>
          <w:rFonts w:ascii="Times New Roman" w:hAnsi="Times New Roman" w:cs="Times New Roman"/>
        </w:rPr>
        <w:t>Table 3. Difference-in-difference coefficient for individual types of vaccine</w:t>
      </w:r>
    </w:p>
    <w:tbl>
      <w:tblPr>
        <w:tblStyle w:val="TableGrid"/>
        <w:tblW w:w="0" w:type="auto"/>
        <w:tblLook w:val="04A0" w:firstRow="1" w:lastRow="0" w:firstColumn="1" w:lastColumn="0" w:noHBand="0" w:noVBand="1"/>
      </w:tblPr>
      <w:tblGrid>
        <w:gridCol w:w="2337"/>
        <w:gridCol w:w="2337"/>
        <w:gridCol w:w="2338"/>
        <w:gridCol w:w="2338"/>
      </w:tblGrid>
      <w:tr w:rsidR="00404FA5" w14:paraId="79D12CC2" w14:textId="77777777" w:rsidTr="00404FA5">
        <w:tc>
          <w:tcPr>
            <w:tcW w:w="2337" w:type="dxa"/>
          </w:tcPr>
          <w:p w14:paraId="4510A23A" w14:textId="3482C7E0" w:rsidR="00404FA5" w:rsidRDefault="00404FA5" w:rsidP="00110FA1">
            <w:pPr>
              <w:spacing w:line="480" w:lineRule="auto"/>
              <w:rPr>
                <w:rFonts w:ascii="Times New Roman" w:hAnsi="Times New Roman" w:cs="Times New Roman"/>
              </w:rPr>
            </w:pPr>
            <w:r>
              <w:rPr>
                <w:rFonts w:ascii="Times New Roman" w:hAnsi="Times New Roman" w:cs="Times New Roman"/>
              </w:rPr>
              <w:t>Vaccine type</w:t>
            </w:r>
          </w:p>
        </w:tc>
        <w:tc>
          <w:tcPr>
            <w:tcW w:w="2337" w:type="dxa"/>
          </w:tcPr>
          <w:p w14:paraId="2A2C6523" w14:textId="14EB3EFF" w:rsidR="00404FA5" w:rsidRDefault="00404FA5" w:rsidP="00110FA1">
            <w:pPr>
              <w:spacing w:line="480" w:lineRule="auto"/>
              <w:rPr>
                <w:rFonts w:ascii="Times New Roman" w:hAnsi="Times New Roman" w:cs="Times New Roman"/>
              </w:rPr>
            </w:pPr>
            <w:proofErr w:type="spellStart"/>
            <w:r>
              <w:rPr>
                <w:rFonts w:ascii="Times New Roman" w:hAnsi="Times New Roman" w:cs="Times New Roman"/>
              </w:rPr>
              <w:t>DiD</w:t>
            </w:r>
            <w:proofErr w:type="spellEnd"/>
            <w:r>
              <w:rPr>
                <w:rFonts w:ascii="Times New Roman" w:hAnsi="Times New Roman" w:cs="Times New Roman"/>
              </w:rPr>
              <w:t xml:space="preserve"> coefficient</w:t>
            </w:r>
          </w:p>
        </w:tc>
        <w:tc>
          <w:tcPr>
            <w:tcW w:w="2338" w:type="dxa"/>
          </w:tcPr>
          <w:p w14:paraId="0430AFEF" w14:textId="42787782" w:rsidR="00404FA5" w:rsidRDefault="00404FA5" w:rsidP="00110FA1">
            <w:pPr>
              <w:spacing w:line="480" w:lineRule="auto"/>
              <w:rPr>
                <w:rFonts w:ascii="Times New Roman" w:hAnsi="Times New Roman" w:cs="Times New Roman"/>
              </w:rPr>
            </w:pPr>
            <w:r>
              <w:rPr>
                <w:rFonts w:ascii="Times New Roman" w:hAnsi="Times New Roman" w:cs="Times New Roman"/>
              </w:rPr>
              <w:t>Standard Error</w:t>
            </w:r>
          </w:p>
        </w:tc>
        <w:tc>
          <w:tcPr>
            <w:tcW w:w="2338" w:type="dxa"/>
          </w:tcPr>
          <w:p w14:paraId="5ADA0A7C" w14:textId="440F0318" w:rsidR="00404FA5" w:rsidRDefault="00404FA5" w:rsidP="00110FA1">
            <w:pPr>
              <w:spacing w:line="480" w:lineRule="auto"/>
              <w:rPr>
                <w:rFonts w:ascii="Times New Roman" w:hAnsi="Times New Roman" w:cs="Times New Roman"/>
              </w:rPr>
            </w:pPr>
            <w:r>
              <w:rPr>
                <w:rFonts w:ascii="Times New Roman" w:hAnsi="Times New Roman" w:cs="Times New Roman"/>
              </w:rPr>
              <w:t>p-value</w:t>
            </w:r>
          </w:p>
        </w:tc>
      </w:tr>
      <w:tr w:rsidR="00F43435" w14:paraId="04CB24C3" w14:textId="77777777" w:rsidTr="00404FA5">
        <w:tc>
          <w:tcPr>
            <w:tcW w:w="2337" w:type="dxa"/>
          </w:tcPr>
          <w:p w14:paraId="68AEF606" w14:textId="5E72401F" w:rsidR="00F43435" w:rsidRDefault="00F43435" w:rsidP="00F43435">
            <w:pPr>
              <w:spacing w:line="480" w:lineRule="auto"/>
              <w:rPr>
                <w:rFonts w:ascii="Times New Roman" w:hAnsi="Times New Roman" w:cs="Times New Roman"/>
              </w:rPr>
            </w:pPr>
            <w:r>
              <w:rPr>
                <w:rFonts w:ascii="Times New Roman" w:hAnsi="Times New Roman" w:cs="Times New Roman"/>
              </w:rPr>
              <w:t>All vaccines</w:t>
            </w:r>
          </w:p>
        </w:tc>
        <w:tc>
          <w:tcPr>
            <w:tcW w:w="2337" w:type="dxa"/>
          </w:tcPr>
          <w:p w14:paraId="1B214595" w14:textId="54C17233" w:rsidR="00F43435" w:rsidRDefault="00F43435" w:rsidP="00F43435">
            <w:pPr>
              <w:spacing w:line="480" w:lineRule="auto"/>
              <w:rPr>
                <w:rFonts w:ascii="Times New Roman" w:hAnsi="Times New Roman" w:cs="Times New Roman"/>
              </w:rPr>
            </w:pPr>
            <w:r w:rsidRPr="008F2FEA">
              <w:rPr>
                <w:rFonts w:ascii="Times New Roman" w:hAnsi="Times New Roman" w:cs="Times New Roman"/>
              </w:rPr>
              <w:t>2.</w:t>
            </w:r>
            <w:r w:rsidR="00DE4936">
              <w:rPr>
                <w:rFonts w:ascii="Times New Roman" w:hAnsi="Times New Roman" w:cs="Times New Roman"/>
              </w:rPr>
              <w:t>8</w:t>
            </w:r>
            <w:r w:rsidR="00172D46">
              <w:rPr>
                <w:rFonts w:ascii="Times New Roman" w:hAnsi="Times New Roman" w:cs="Times New Roman"/>
              </w:rPr>
              <w:t>7</w:t>
            </w:r>
          </w:p>
        </w:tc>
        <w:tc>
          <w:tcPr>
            <w:tcW w:w="2338" w:type="dxa"/>
          </w:tcPr>
          <w:p w14:paraId="66773334" w14:textId="1C057B27" w:rsidR="00F43435" w:rsidRDefault="00F43435" w:rsidP="00F43435">
            <w:pPr>
              <w:spacing w:line="480" w:lineRule="auto"/>
              <w:rPr>
                <w:rFonts w:ascii="Times New Roman" w:hAnsi="Times New Roman" w:cs="Times New Roman"/>
              </w:rPr>
            </w:pPr>
            <w:r w:rsidRPr="008F2FEA">
              <w:rPr>
                <w:rFonts w:ascii="Times New Roman" w:hAnsi="Times New Roman" w:cs="Times New Roman"/>
              </w:rPr>
              <w:t>1.</w:t>
            </w:r>
            <w:r w:rsidR="00DE4936">
              <w:rPr>
                <w:rFonts w:ascii="Times New Roman" w:hAnsi="Times New Roman" w:cs="Times New Roman"/>
              </w:rPr>
              <w:t>07</w:t>
            </w:r>
          </w:p>
        </w:tc>
        <w:tc>
          <w:tcPr>
            <w:tcW w:w="2338" w:type="dxa"/>
          </w:tcPr>
          <w:p w14:paraId="05F43613" w14:textId="10A4A3A4" w:rsidR="00F43435" w:rsidRDefault="00172D46" w:rsidP="00F43435">
            <w:pPr>
              <w:spacing w:line="480" w:lineRule="auto"/>
              <w:rPr>
                <w:rFonts w:ascii="Times New Roman" w:hAnsi="Times New Roman" w:cs="Times New Roman"/>
              </w:rPr>
            </w:pPr>
            <w:r>
              <w:rPr>
                <w:rFonts w:ascii="Times New Roman" w:hAnsi="Times New Roman" w:cs="Times New Roman"/>
              </w:rPr>
              <w:t>0.01</w:t>
            </w:r>
          </w:p>
        </w:tc>
      </w:tr>
      <w:tr w:rsidR="00404FA5" w14:paraId="3BB1B9FE" w14:textId="77777777" w:rsidTr="00404FA5">
        <w:tc>
          <w:tcPr>
            <w:tcW w:w="2337" w:type="dxa"/>
          </w:tcPr>
          <w:p w14:paraId="004E069D" w14:textId="0A2C4469" w:rsidR="00404FA5" w:rsidRDefault="00404FA5" w:rsidP="00110FA1">
            <w:pPr>
              <w:spacing w:line="480" w:lineRule="auto"/>
              <w:rPr>
                <w:rFonts w:ascii="Times New Roman" w:hAnsi="Times New Roman" w:cs="Times New Roman"/>
              </w:rPr>
            </w:pPr>
            <w:r>
              <w:rPr>
                <w:rFonts w:ascii="Times New Roman" w:hAnsi="Times New Roman" w:cs="Times New Roman"/>
              </w:rPr>
              <w:t>BCG</w:t>
            </w:r>
          </w:p>
        </w:tc>
        <w:tc>
          <w:tcPr>
            <w:tcW w:w="2337" w:type="dxa"/>
          </w:tcPr>
          <w:p w14:paraId="4C606A3C" w14:textId="7E96A3C0" w:rsidR="00404FA5" w:rsidRDefault="00172D46" w:rsidP="00110FA1">
            <w:pPr>
              <w:spacing w:line="480" w:lineRule="auto"/>
              <w:rPr>
                <w:rFonts w:ascii="Times New Roman" w:hAnsi="Times New Roman" w:cs="Times New Roman"/>
              </w:rPr>
            </w:pPr>
            <w:r>
              <w:rPr>
                <w:rFonts w:ascii="Times New Roman" w:hAnsi="Times New Roman" w:cs="Times New Roman"/>
              </w:rPr>
              <w:t>-1.82</w:t>
            </w:r>
          </w:p>
        </w:tc>
        <w:tc>
          <w:tcPr>
            <w:tcW w:w="2338" w:type="dxa"/>
          </w:tcPr>
          <w:p w14:paraId="29D8584A" w14:textId="79E91FDB" w:rsidR="00404FA5" w:rsidRDefault="00172D46" w:rsidP="00110FA1">
            <w:pPr>
              <w:spacing w:line="480" w:lineRule="auto"/>
              <w:rPr>
                <w:rFonts w:ascii="Times New Roman" w:hAnsi="Times New Roman" w:cs="Times New Roman"/>
              </w:rPr>
            </w:pPr>
            <w:r>
              <w:rPr>
                <w:rFonts w:ascii="Times New Roman" w:hAnsi="Times New Roman" w:cs="Times New Roman"/>
              </w:rPr>
              <w:t>6.15</w:t>
            </w:r>
          </w:p>
        </w:tc>
        <w:tc>
          <w:tcPr>
            <w:tcW w:w="2338" w:type="dxa"/>
          </w:tcPr>
          <w:p w14:paraId="6BBFE499" w14:textId="2C6CF28E" w:rsidR="00404FA5" w:rsidRDefault="00172D46" w:rsidP="00110FA1">
            <w:pPr>
              <w:spacing w:line="480" w:lineRule="auto"/>
              <w:rPr>
                <w:rFonts w:ascii="Times New Roman" w:hAnsi="Times New Roman" w:cs="Times New Roman"/>
              </w:rPr>
            </w:pPr>
            <w:r>
              <w:rPr>
                <w:rFonts w:ascii="Times New Roman" w:hAnsi="Times New Roman" w:cs="Times New Roman"/>
              </w:rPr>
              <w:t>0.77</w:t>
            </w:r>
          </w:p>
        </w:tc>
      </w:tr>
      <w:tr w:rsidR="00F43435" w14:paraId="23B25583" w14:textId="77777777" w:rsidTr="00404FA5">
        <w:tc>
          <w:tcPr>
            <w:tcW w:w="2337" w:type="dxa"/>
          </w:tcPr>
          <w:p w14:paraId="1F28D7DD" w14:textId="3FCA83E4" w:rsidR="00F43435" w:rsidRDefault="00F43435" w:rsidP="00F43435">
            <w:pPr>
              <w:spacing w:line="480" w:lineRule="auto"/>
              <w:rPr>
                <w:rFonts w:ascii="Times New Roman" w:hAnsi="Times New Roman" w:cs="Times New Roman"/>
              </w:rPr>
            </w:pPr>
            <w:r>
              <w:rPr>
                <w:rFonts w:ascii="Times New Roman" w:hAnsi="Times New Roman" w:cs="Times New Roman"/>
              </w:rPr>
              <w:t>DTP-1</w:t>
            </w:r>
          </w:p>
        </w:tc>
        <w:tc>
          <w:tcPr>
            <w:tcW w:w="2337" w:type="dxa"/>
          </w:tcPr>
          <w:p w14:paraId="7CEE052F" w14:textId="1737A664" w:rsidR="00F43435" w:rsidRDefault="00172D46" w:rsidP="00F43435">
            <w:pPr>
              <w:spacing w:line="480" w:lineRule="auto"/>
              <w:rPr>
                <w:rFonts w:ascii="Times New Roman" w:hAnsi="Times New Roman" w:cs="Times New Roman"/>
              </w:rPr>
            </w:pPr>
            <w:r>
              <w:rPr>
                <w:rFonts w:ascii="Times New Roman" w:hAnsi="Times New Roman" w:cs="Times New Roman"/>
              </w:rPr>
              <w:t>2.57</w:t>
            </w:r>
          </w:p>
        </w:tc>
        <w:tc>
          <w:tcPr>
            <w:tcW w:w="2338" w:type="dxa"/>
          </w:tcPr>
          <w:p w14:paraId="5249DC5A" w14:textId="31D8B8F5" w:rsidR="00F43435" w:rsidRDefault="00172D46" w:rsidP="00F43435">
            <w:pPr>
              <w:spacing w:line="480" w:lineRule="auto"/>
              <w:rPr>
                <w:rFonts w:ascii="Times New Roman" w:hAnsi="Times New Roman" w:cs="Times New Roman"/>
              </w:rPr>
            </w:pPr>
            <w:r>
              <w:rPr>
                <w:rFonts w:ascii="Times New Roman" w:hAnsi="Times New Roman" w:cs="Times New Roman"/>
              </w:rPr>
              <w:t>2.16</w:t>
            </w:r>
          </w:p>
        </w:tc>
        <w:tc>
          <w:tcPr>
            <w:tcW w:w="2338" w:type="dxa"/>
          </w:tcPr>
          <w:p w14:paraId="76974155" w14:textId="76DEA013" w:rsidR="00F43435" w:rsidRDefault="00172D46" w:rsidP="00F43435">
            <w:pPr>
              <w:spacing w:line="480" w:lineRule="auto"/>
              <w:rPr>
                <w:rFonts w:ascii="Times New Roman" w:hAnsi="Times New Roman" w:cs="Times New Roman"/>
              </w:rPr>
            </w:pPr>
            <w:r>
              <w:rPr>
                <w:rFonts w:ascii="Times New Roman" w:hAnsi="Times New Roman" w:cs="Times New Roman"/>
              </w:rPr>
              <w:t>0.23</w:t>
            </w:r>
          </w:p>
        </w:tc>
      </w:tr>
      <w:tr w:rsidR="00F43435" w14:paraId="07EFA131" w14:textId="77777777" w:rsidTr="00404FA5">
        <w:tc>
          <w:tcPr>
            <w:tcW w:w="2337" w:type="dxa"/>
          </w:tcPr>
          <w:p w14:paraId="2C391B38" w14:textId="00101FEF" w:rsidR="00F43435" w:rsidRDefault="00F43435" w:rsidP="00F43435">
            <w:pPr>
              <w:spacing w:line="480" w:lineRule="auto"/>
              <w:rPr>
                <w:rFonts w:ascii="Times New Roman" w:hAnsi="Times New Roman" w:cs="Times New Roman"/>
              </w:rPr>
            </w:pPr>
            <w:r>
              <w:rPr>
                <w:rFonts w:ascii="Times New Roman" w:hAnsi="Times New Roman" w:cs="Times New Roman"/>
              </w:rPr>
              <w:t>DTP-3</w:t>
            </w:r>
          </w:p>
        </w:tc>
        <w:tc>
          <w:tcPr>
            <w:tcW w:w="2337" w:type="dxa"/>
          </w:tcPr>
          <w:p w14:paraId="25D5F3EF" w14:textId="07857417" w:rsidR="00F43435" w:rsidRDefault="00172D46" w:rsidP="00F43435">
            <w:pPr>
              <w:spacing w:line="480" w:lineRule="auto"/>
              <w:rPr>
                <w:rFonts w:ascii="Times New Roman" w:hAnsi="Times New Roman" w:cs="Times New Roman"/>
              </w:rPr>
            </w:pPr>
            <w:r>
              <w:rPr>
                <w:rFonts w:ascii="Times New Roman" w:hAnsi="Times New Roman" w:cs="Times New Roman"/>
              </w:rPr>
              <w:t>2.70</w:t>
            </w:r>
          </w:p>
        </w:tc>
        <w:tc>
          <w:tcPr>
            <w:tcW w:w="2338" w:type="dxa"/>
          </w:tcPr>
          <w:p w14:paraId="1BFBE155" w14:textId="3F12008A" w:rsidR="00F43435" w:rsidRDefault="00172D46" w:rsidP="00F43435">
            <w:pPr>
              <w:spacing w:line="480" w:lineRule="auto"/>
              <w:rPr>
                <w:rFonts w:ascii="Times New Roman" w:hAnsi="Times New Roman" w:cs="Times New Roman"/>
              </w:rPr>
            </w:pPr>
            <w:r>
              <w:rPr>
                <w:rFonts w:ascii="Times New Roman" w:hAnsi="Times New Roman" w:cs="Times New Roman"/>
              </w:rPr>
              <w:t>2.84</w:t>
            </w:r>
          </w:p>
        </w:tc>
        <w:tc>
          <w:tcPr>
            <w:tcW w:w="2338" w:type="dxa"/>
          </w:tcPr>
          <w:p w14:paraId="290034A0" w14:textId="6CEDD18B" w:rsidR="00F43435" w:rsidRDefault="00172D46" w:rsidP="00F43435">
            <w:pPr>
              <w:spacing w:line="480" w:lineRule="auto"/>
              <w:rPr>
                <w:rFonts w:ascii="Times New Roman" w:hAnsi="Times New Roman" w:cs="Times New Roman"/>
              </w:rPr>
            </w:pPr>
            <w:r>
              <w:rPr>
                <w:rFonts w:ascii="Times New Roman" w:hAnsi="Times New Roman" w:cs="Times New Roman"/>
              </w:rPr>
              <w:t>0.34</w:t>
            </w:r>
          </w:p>
        </w:tc>
      </w:tr>
      <w:tr w:rsidR="00F43435" w14:paraId="08D5351E" w14:textId="77777777" w:rsidTr="00404FA5">
        <w:tc>
          <w:tcPr>
            <w:tcW w:w="2337" w:type="dxa"/>
          </w:tcPr>
          <w:p w14:paraId="0F0777B8" w14:textId="1147F691" w:rsidR="00F43435" w:rsidRDefault="00F43435" w:rsidP="00F43435">
            <w:pPr>
              <w:spacing w:line="480" w:lineRule="auto"/>
              <w:rPr>
                <w:rFonts w:ascii="Times New Roman" w:hAnsi="Times New Roman" w:cs="Times New Roman"/>
              </w:rPr>
            </w:pPr>
            <w:r>
              <w:rPr>
                <w:rFonts w:ascii="Times New Roman" w:hAnsi="Times New Roman" w:cs="Times New Roman"/>
              </w:rPr>
              <w:t>HEPB3</w:t>
            </w:r>
          </w:p>
        </w:tc>
        <w:tc>
          <w:tcPr>
            <w:tcW w:w="2337" w:type="dxa"/>
          </w:tcPr>
          <w:p w14:paraId="2C889A0C" w14:textId="653059B1" w:rsidR="00F43435" w:rsidRDefault="00172D46" w:rsidP="00F43435">
            <w:pPr>
              <w:spacing w:line="480" w:lineRule="auto"/>
              <w:rPr>
                <w:rFonts w:ascii="Times New Roman" w:hAnsi="Times New Roman" w:cs="Times New Roman"/>
              </w:rPr>
            </w:pPr>
            <w:r>
              <w:rPr>
                <w:rFonts w:ascii="Times New Roman" w:hAnsi="Times New Roman" w:cs="Times New Roman"/>
              </w:rPr>
              <w:t>5.40</w:t>
            </w:r>
          </w:p>
        </w:tc>
        <w:tc>
          <w:tcPr>
            <w:tcW w:w="2338" w:type="dxa"/>
          </w:tcPr>
          <w:p w14:paraId="0F8A8DC9" w14:textId="0790C9C5" w:rsidR="00F43435" w:rsidRDefault="00172D46" w:rsidP="00F43435">
            <w:pPr>
              <w:spacing w:line="480" w:lineRule="auto"/>
              <w:rPr>
                <w:rFonts w:ascii="Times New Roman" w:hAnsi="Times New Roman" w:cs="Times New Roman"/>
              </w:rPr>
            </w:pPr>
            <w:r>
              <w:rPr>
                <w:rFonts w:ascii="Times New Roman" w:hAnsi="Times New Roman" w:cs="Times New Roman"/>
              </w:rPr>
              <w:t>3.43</w:t>
            </w:r>
          </w:p>
        </w:tc>
        <w:tc>
          <w:tcPr>
            <w:tcW w:w="2338" w:type="dxa"/>
          </w:tcPr>
          <w:p w14:paraId="516E202D" w14:textId="63AF01AA" w:rsidR="00F43435" w:rsidRDefault="00172D46" w:rsidP="00F43435">
            <w:pPr>
              <w:spacing w:line="480" w:lineRule="auto"/>
              <w:rPr>
                <w:rFonts w:ascii="Times New Roman" w:hAnsi="Times New Roman" w:cs="Times New Roman"/>
              </w:rPr>
            </w:pPr>
            <w:r>
              <w:rPr>
                <w:rFonts w:ascii="Times New Roman" w:hAnsi="Times New Roman" w:cs="Times New Roman"/>
              </w:rPr>
              <w:t>0.12</w:t>
            </w:r>
          </w:p>
        </w:tc>
      </w:tr>
      <w:tr w:rsidR="00F43435" w14:paraId="3A54CD52" w14:textId="77777777" w:rsidTr="00404FA5">
        <w:tc>
          <w:tcPr>
            <w:tcW w:w="2337" w:type="dxa"/>
          </w:tcPr>
          <w:p w14:paraId="189A1677" w14:textId="415C3672" w:rsidR="00F43435" w:rsidRDefault="00F43435" w:rsidP="00F43435">
            <w:pPr>
              <w:spacing w:line="480" w:lineRule="auto"/>
              <w:rPr>
                <w:rFonts w:ascii="Times New Roman" w:hAnsi="Times New Roman" w:cs="Times New Roman"/>
              </w:rPr>
            </w:pPr>
            <w:r>
              <w:rPr>
                <w:rFonts w:ascii="Times New Roman" w:hAnsi="Times New Roman" w:cs="Times New Roman"/>
              </w:rPr>
              <w:lastRenderedPageBreak/>
              <w:t>HEPBB</w:t>
            </w:r>
          </w:p>
        </w:tc>
        <w:tc>
          <w:tcPr>
            <w:tcW w:w="2337" w:type="dxa"/>
          </w:tcPr>
          <w:p w14:paraId="6A5C89B3" w14:textId="01BD5560" w:rsidR="00F43435" w:rsidRDefault="00172D46" w:rsidP="00F43435">
            <w:pPr>
              <w:spacing w:line="480" w:lineRule="auto"/>
              <w:rPr>
                <w:rFonts w:ascii="Times New Roman" w:hAnsi="Times New Roman" w:cs="Times New Roman"/>
              </w:rPr>
            </w:pPr>
            <w:r>
              <w:rPr>
                <w:rFonts w:ascii="Times New Roman" w:hAnsi="Times New Roman" w:cs="Times New Roman"/>
              </w:rPr>
              <w:t>-0.93</w:t>
            </w:r>
          </w:p>
        </w:tc>
        <w:tc>
          <w:tcPr>
            <w:tcW w:w="2338" w:type="dxa"/>
          </w:tcPr>
          <w:p w14:paraId="7B1B9A40" w14:textId="616B10A2" w:rsidR="00F43435" w:rsidRDefault="00172D46" w:rsidP="00F43435">
            <w:pPr>
              <w:spacing w:line="480" w:lineRule="auto"/>
              <w:rPr>
                <w:rFonts w:ascii="Times New Roman" w:hAnsi="Times New Roman" w:cs="Times New Roman"/>
              </w:rPr>
            </w:pPr>
            <w:r>
              <w:rPr>
                <w:rFonts w:ascii="Times New Roman" w:hAnsi="Times New Roman" w:cs="Times New Roman"/>
              </w:rPr>
              <w:t>11.52</w:t>
            </w:r>
          </w:p>
        </w:tc>
        <w:tc>
          <w:tcPr>
            <w:tcW w:w="2338" w:type="dxa"/>
          </w:tcPr>
          <w:p w14:paraId="6CF97D9C" w14:textId="2D72C68D" w:rsidR="00F43435" w:rsidRDefault="00172D46" w:rsidP="00F43435">
            <w:pPr>
              <w:spacing w:line="480" w:lineRule="auto"/>
              <w:rPr>
                <w:rFonts w:ascii="Times New Roman" w:hAnsi="Times New Roman" w:cs="Times New Roman"/>
              </w:rPr>
            </w:pPr>
            <w:r>
              <w:rPr>
                <w:rFonts w:ascii="Times New Roman" w:hAnsi="Times New Roman" w:cs="Times New Roman"/>
              </w:rPr>
              <w:t>0.94</w:t>
            </w:r>
          </w:p>
        </w:tc>
      </w:tr>
      <w:tr w:rsidR="00F43435" w14:paraId="78BD7D4F" w14:textId="77777777" w:rsidTr="00404FA5">
        <w:tc>
          <w:tcPr>
            <w:tcW w:w="2337" w:type="dxa"/>
          </w:tcPr>
          <w:p w14:paraId="711F8277" w14:textId="7168198D" w:rsidR="00F43435" w:rsidRDefault="00F43435" w:rsidP="00F43435">
            <w:pPr>
              <w:spacing w:line="480" w:lineRule="auto"/>
              <w:rPr>
                <w:rFonts w:ascii="Times New Roman" w:hAnsi="Times New Roman" w:cs="Times New Roman"/>
              </w:rPr>
            </w:pPr>
            <w:r>
              <w:rPr>
                <w:rFonts w:ascii="Times New Roman" w:hAnsi="Times New Roman" w:cs="Times New Roman"/>
              </w:rPr>
              <w:t>HIB-3</w:t>
            </w:r>
          </w:p>
        </w:tc>
        <w:tc>
          <w:tcPr>
            <w:tcW w:w="2337" w:type="dxa"/>
          </w:tcPr>
          <w:p w14:paraId="60DD1653" w14:textId="42F0136B" w:rsidR="00F43435" w:rsidRDefault="00172D46" w:rsidP="00F43435">
            <w:pPr>
              <w:spacing w:line="480" w:lineRule="auto"/>
              <w:rPr>
                <w:rFonts w:ascii="Times New Roman" w:hAnsi="Times New Roman" w:cs="Times New Roman"/>
              </w:rPr>
            </w:pPr>
            <w:r>
              <w:rPr>
                <w:rFonts w:ascii="Times New Roman" w:hAnsi="Times New Roman" w:cs="Times New Roman"/>
              </w:rPr>
              <w:t>2.06</w:t>
            </w:r>
          </w:p>
        </w:tc>
        <w:tc>
          <w:tcPr>
            <w:tcW w:w="2338" w:type="dxa"/>
          </w:tcPr>
          <w:p w14:paraId="1CAE5B2D" w14:textId="1E467CE9" w:rsidR="00F43435" w:rsidRDefault="00172D46" w:rsidP="00F43435">
            <w:pPr>
              <w:spacing w:line="480" w:lineRule="auto"/>
              <w:rPr>
                <w:rFonts w:ascii="Times New Roman" w:hAnsi="Times New Roman" w:cs="Times New Roman"/>
              </w:rPr>
            </w:pPr>
            <w:r>
              <w:rPr>
                <w:rFonts w:ascii="Times New Roman" w:hAnsi="Times New Roman" w:cs="Times New Roman"/>
              </w:rPr>
              <w:t>3.35</w:t>
            </w:r>
          </w:p>
        </w:tc>
        <w:tc>
          <w:tcPr>
            <w:tcW w:w="2338" w:type="dxa"/>
          </w:tcPr>
          <w:p w14:paraId="67EC8BD6" w14:textId="1890D44E" w:rsidR="00F43435" w:rsidRDefault="00172D46" w:rsidP="00F43435">
            <w:pPr>
              <w:spacing w:line="480" w:lineRule="auto"/>
              <w:rPr>
                <w:rFonts w:ascii="Times New Roman" w:hAnsi="Times New Roman" w:cs="Times New Roman"/>
              </w:rPr>
            </w:pPr>
            <w:r>
              <w:rPr>
                <w:rFonts w:ascii="Times New Roman" w:hAnsi="Times New Roman" w:cs="Times New Roman"/>
              </w:rPr>
              <w:t>0.54</w:t>
            </w:r>
          </w:p>
        </w:tc>
      </w:tr>
      <w:tr w:rsidR="00F43435" w14:paraId="3A5D6448" w14:textId="77777777" w:rsidTr="00404FA5">
        <w:tc>
          <w:tcPr>
            <w:tcW w:w="2337" w:type="dxa"/>
          </w:tcPr>
          <w:p w14:paraId="1C81095D" w14:textId="1938F0D1" w:rsidR="00F43435" w:rsidRDefault="00F43435" w:rsidP="00F43435">
            <w:pPr>
              <w:spacing w:line="480" w:lineRule="auto"/>
              <w:rPr>
                <w:rFonts w:ascii="Times New Roman" w:hAnsi="Times New Roman" w:cs="Times New Roman"/>
              </w:rPr>
            </w:pPr>
            <w:r>
              <w:rPr>
                <w:rFonts w:ascii="Times New Roman" w:hAnsi="Times New Roman" w:cs="Times New Roman"/>
              </w:rPr>
              <w:t>MCV1</w:t>
            </w:r>
          </w:p>
        </w:tc>
        <w:tc>
          <w:tcPr>
            <w:tcW w:w="2337" w:type="dxa"/>
          </w:tcPr>
          <w:p w14:paraId="1D5102A3" w14:textId="04255E51" w:rsidR="00F43435" w:rsidRDefault="00172D46" w:rsidP="00F43435">
            <w:pPr>
              <w:spacing w:line="480" w:lineRule="auto"/>
              <w:rPr>
                <w:rFonts w:ascii="Times New Roman" w:hAnsi="Times New Roman" w:cs="Times New Roman"/>
              </w:rPr>
            </w:pPr>
            <w:r>
              <w:rPr>
                <w:rFonts w:ascii="Times New Roman" w:hAnsi="Times New Roman" w:cs="Times New Roman"/>
              </w:rPr>
              <w:t>4.16</w:t>
            </w:r>
          </w:p>
        </w:tc>
        <w:tc>
          <w:tcPr>
            <w:tcW w:w="2338" w:type="dxa"/>
          </w:tcPr>
          <w:p w14:paraId="47DEF67D" w14:textId="12A79662" w:rsidR="00F43435" w:rsidRDefault="00172D46" w:rsidP="00F43435">
            <w:pPr>
              <w:spacing w:line="480" w:lineRule="auto"/>
              <w:rPr>
                <w:rFonts w:ascii="Times New Roman" w:hAnsi="Times New Roman" w:cs="Times New Roman"/>
              </w:rPr>
            </w:pPr>
            <w:r>
              <w:rPr>
                <w:rFonts w:ascii="Times New Roman" w:hAnsi="Times New Roman" w:cs="Times New Roman"/>
              </w:rPr>
              <w:t>2.79</w:t>
            </w:r>
          </w:p>
        </w:tc>
        <w:tc>
          <w:tcPr>
            <w:tcW w:w="2338" w:type="dxa"/>
          </w:tcPr>
          <w:p w14:paraId="4FA2F9FE" w14:textId="0DF45D5D" w:rsidR="00F43435" w:rsidRDefault="00172D46" w:rsidP="00F43435">
            <w:pPr>
              <w:spacing w:line="480" w:lineRule="auto"/>
              <w:rPr>
                <w:rFonts w:ascii="Times New Roman" w:hAnsi="Times New Roman" w:cs="Times New Roman"/>
              </w:rPr>
            </w:pPr>
            <w:r>
              <w:rPr>
                <w:rFonts w:ascii="Times New Roman" w:hAnsi="Times New Roman" w:cs="Times New Roman"/>
              </w:rPr>
              <w:t>0.14</w:t>
            </w:r>
          </w:p>
        </w:tc>
      </w:tr>
      <w:tr w:rsidR="00F43435" w14:paraId="68438247" w14:textId="77777777" w:rsidTr="00404FA5">
        <w:tc>
          <w:tcPr>
            <w:tcW w:w="2337" w:type="dxa"/>
          </w:tcPr>
          <w:p w14:paraId="76638069" w14:textId="35152F16" w:rsidR="00F43435" w:rsidRDefault="00F43435" w:rsidP="00F43435">
            <w:pPr>
              <w:spacing w:line="480" w:lineRule="auto"/>
              <w:rPr>
                <w:rFonts w:ascii="Times New Roman" w:hAnsi="Times New Roman" w:cs="Times New Roman"/>
              </w:rPr>
            </w:pPr>
            <w:r>
              <w:rPr>
                <w:rFonts w:ascii="Times New Roman" w:hAnsi="Times New Roman" w:cs="Times New Roman"/>
              </w:rPr>
              <w:t>MCV-2</w:t>
            </w:r>
          </w:p>
        </w:tc>
        <w:tc>
          <w:tcPr>
            <w:tcW w:w="2337" w:type="dxa"/>
          </w:tcPr>
          <w:p w14:paraId="6242250B" w14:textId="6F76E439" w:rsidR="00F43435" w:rsidRDefault="00172D46" w:rsidP="00F43435">
            <w:pPr>
              <w:spacing w:line="480" w:lineRule="auto"/>
              <w:rPr>
                <w:rFonts w:ascii="Times New Roman" w:hAnsi="Times New Roman" w:cs="Times New Roman"/>
              </w:rPr>
            </w:pPr>
            <w:r>
              <w:rPr>
                <w:rFonts w:ascii="Times New Roman" w:hAnsi="Times New Roman" w:cs="Times New Roman"/>
              </w:rPr>
              <w:t>4.23</w:t>
            </w:r>
          </w:p>
        </w:tc>
        <w:tc>
          <w:tcPr>
            <w:tcW w:w="2338" w:type="dxa"/>
          </w:tcPr>
          <w:p w14:paraId="1E93FC3A" w14:textId="24DEE465" w:rsidR="00F43435" w:rsidRDefault="00172D46" w:rsidP="00F43435">
            <w:pPr>
              <w:spacing w:line="480" w:lineRule="auto"/>
              <w:rPr>
                <w:rFonts w:ascii="Times New Roman" w:hAnsi="Times New Roman" w:cs="Times New Roman"/>
              </w:rPr>
            </w:pPr>
            <w:r>
              <w:rPr>
                <w:rFonts w:ascii="Times New Roman" w:hAnsi="Times New Roman" w:cs="Times New Roman"/>
              </w:rPr>
              <w:t>3.96</w:t>
            </w:r>
          </w:p>
        </w:tc>
        <w:tc>
          <w:tcPr>
            <w:tcW w:w="2338" w:type="dxa"/>
          </w:tcPr>
          <w:p w14:paraId="2E3FFFC2" w14:textId="637EC542" w:rsidR="00F43435" w:rsidRDefault="00172D46" w:rsidP="00F43435">
            <w:pPr>
              <w:spacing w:line="480" w:lineRule="auto"/>
              <w:rPr>
                <w:rFonts w:ascii="Times New Roman" w:hAnsi="Times New Roman" w:cs="Times New Roman"/>
              </w:rPr>
            </w:pPr>
            <w:r>
              <w:rPr>
                <w:rFonts w:ascii="Times New Roman" w:hAnsi="Times New Roman" w:cs="Times New Roman"/>
              </w:rPr>
              <w:t>0.29</w:t>
            </w:r>
          </w:p>
        </w:tc>
      </w:tr>
      <w:tr w:rsidR="00F43435" w14:paraId="05FBCE4C" w14:textId="77777777" w:rsidTr="00404FA5">
        <w:tc>
          <w:tcPr>
            <w:tcW w:w="2337" w:type="dxa"/>
          </w:tcPr>
          <w:p w14:paraId="7DEC5765" w14:textId="6B124C74" w:rsidR="00F43435" w:rsidRDefault="00F43435" w:rsidP="00F43435">
            <w:pPr>
              <w:spacing w:line="480" w:lineRule="auto"/>
              <w:rPr>
                <w:rFonts w:ascii="Times New Roman" w:hAnsi="Times New Roman" w:cs="Times New Roman"/>
              </w:rPr>
            </w:pPr>
            <w:r>
              <w:rPr>
                <w:rFonts w:ascii="Times New Roman" w:hAnsi="Times New Roman" w:cs="Times New Roman"/>
              </w:rPr>
              <w:t>PCV-3</w:t>
            </w:r>
          </w:p>
        </w:tc>
        <w:tc>
          <w:tcPr>
            <w:tcW w:w="2337" w:type="dxa"/>
          </w:tcPr>
          <w:p w14:paraId="6EE1ACBC" w14:textId="3C9182BD" w:rsidR="00F43435" w:rsidRDefault="00172D46" w:rsidP="00F43435">
            <w:pPr>
              <w:spacing w:line="480" w:lineRule="auto"/>
              <w:rPr>
                <w:rFonts w:ascii="Times New Roman" w:hAnsi="Times New Roman" w:cs="Times New Roman"/>
              </w:rPr>
            </w:pPr>
            <w:r>
              <w:rPr>
                <w:rFonts w:ascii="Times New Roman" w:hAnsi="Times New Roman" w:cs="Times New Roman"/>
              </w:rPr>
              <w:t>-2.49</w:t>
            </w:r>
          </w:p>
        </w:tc>
        <w:tc>
          <w:tcPr>
            <w:tcW w:w="2338" w:type="dxa"/>
          </w:tcPr>
          <w:p w14:paraId="62AC89A0" w14:textId="23500F83" w:rsidR="00F43435" w:rsidRDefault="00172D46" w:rsidP="00F43435">
            <w:pPr>
              <w:spacing w:line="480" w:lineRule="auto"/>
              <w:rPr>
                <w:rFonts w:ascii="Times New Roman" w:hAnsi="Times New Roman" w:cs="Times New Roman"/>
              </w:rPr>
            </w:pPr>
            <w:r>
              <w:rPr>
                <w:rFonts w:ascii="Times New Roman" w:hAnsi="Times New Roman" w:cs="Times New Roman"/>
              </w:rPr>
              <w:t>5.12</w:t>
            </w:r>
          </w:p>
        </w:tc>
        <w:tc>
          <w:tcPr>
            <w:tcW w:w="2338" w:type="dxa"/>
          </w:tcPr>
          <w:p w14:paraId="1028BD88" w14:textId="409CD7C0" w:rsidR="00F43435" w:rsidRDefault="00172D46" w:rsidP="00F43435">
            <w:pPr>
              <w:spacing w:line="480" w:lineRule="auto"/>
              <w:rPr>
                <w:rFonts w:ascii="Times New Roman" w:hAnsi="Times New Roman" w:cs="Times New Roman"/>
              </w:rPr>
            </w:pPr>
            <w:r>
              <w:rPr>
                <w:rFonts w:ascii="Times New Roman" w:hAnsi="Times New Roman" w:cs="Times New Roman"/>
              </w:rPr>
              <w:t>0.63</w:t>
            </w:r>
          </w:p>
        </w:tc>
      </w:tr>
      <w:tr w:rsidR="00F43435" w14:paraId="24062825" w14:textId="77777777" w:rsidTr="00404FA5">
        <w:tc>
          <w:tcPr>
            <w:tcW w:w="2337" w:type="dxa"/>
          </w:tcPr>
          <w:p w14:paraId="27F3F3BE" w14:textId="380BE04C" w:rsidR="00F43435" w:rsidRDefault="00F43435" w:rsidP="00F43435">
            <w:pPr>
              <w:spacing w:line="480" w:lineRule="auto"/>
              <w:rPr>
                <w:rFonts w:ascii="Times New Roman" w:hAnsi="Times New Roman" w:cs="Times New Roman"/>
              </w:rPr>
            </w:pPr>
            <w:r>
              <w:rPr>
                <w:rFonts w:ascii="Times New Roman" w:hAnsi="Times New Roman" w:cs="Times New Roman"/>
              </w:rPr>
              <w:t>POL-3</w:t>
            </w:r>
          </w:p>
        </w:tc>
        <w:tc>
          <w:tcPr>
            <w:tcW w:w="2337" w:type="dxa"/>
          </w:tcPr>
          <w:p w14:paraId="54DA9524" w14:textId="4AB56A51" w:rsidR="00F43435" w:rsidRDefault="00172D46" w:rsidP="00F43435">
            <w:pPr>
              <w:spacing w:line="480" w:lineRule="auto"/>
              <w:rPr>
                <w:rFonts w:ascii="Times New Roman" w:hAnsi="Times New Roman" w:cs="Times New Roman"/>
              </w:rPr>
            </w:pPr>
            <w:r>
              <w:rPr>
                <w:rFonts w:ascii="Times New Roman" w:hAnsi="Times New Roman" w:cs="Times New Roman"/>
              </w:rPr>
              <w:t>3.45</w:t>
            </w:r>
          </w:p>
        </w:tc>
        <w:tc>
          <w:tcPr>
            <w:tcW w:w="2338" w:type="dxa"/>
          </w:tcPr>
          <w:p w14:paraId="60986D1A" w14:textId="442F1253" w:rsidR="00F43435" w:rsidRDefault="00172D46" w:rsidP="00F43435">
            <w:pPr>
              <w:spacing w:line="480" w:lineRule="auto"/>
              <w:rPr>
                <w:rFonts w:ascii="Times New Roman" w:hAnsi="Times New Roman" w:cs="Times New Roman"/>
              </w:rPr>
            </w:pPr>
            <w:r>
              <w:rPr>
                <w:rFonts w:ascii="Times New Roman" w:hAnsi="Times New Roman" w:cs="Times New Roman"/>
              </w:rPr>
              <w:t>2.72</w:t>
            </w:r>
          </w:p>
        </w:tc>
        <w:tc>
          <w:tcPr>
            <w:tcW w:w="2338" w:type="dxa"/>
          </w:tcPr>
          <w:p w14:paraId="529E7548" w14:textId="284F23EA" w:rsidR="00F43435" w:rsidRDefault="00172D46" w:rsidP="00F43435">
            <w:pPr>
              <w:spacing w:line="480" w:lineRule="auto"/>
              <w:rPr>
                <w:rFonts w:ascii="Times New Roman" w:hAnsi="Times New Roman" w:cs="Times New Roman"/>
              </w:rPr>
            </w:pPr>
            <w:r>
              <w:rPr>
                <w:rFonts w:ascii="Times New Roman" w:hAnsi="Times New Roman" w:cs="Times New Roman"/>
              </w:rPr>
              <w:t>0.21</w:t>
            </w:r>
          </w:p>
        </w:tc>
      </w:tr>
      <w:tr w:rsidR="00F43435" w14:paraId="58A0C30B" w14:textId="77777777" w:rsidTr="00404FA5">
        <w:tc>
          <w:tcPr>
            <w:tcW w:w="2337" w:type="dxa"/>
          </w:tcPr>
          <w:p w14:paraId="7F507325" w14:textId="5051250C" w:rsidR="00F43435" w:rsidRDefault="00F43435" w:rsidP="00F43435">
            <w:pPr>
              <w:spacing w:line="480" w:lineRule="auto"/>
              <w:rPr>
                <w:rFonts w:ascii="Times New Roman" w:hAnsi="Times New Roman" w:cs="Times New Roman"/>
              </w:rPr>
            </w:pPr>
            <w:r>
              <w:rPr>
                <w:rFonts w:ascii="Times New Roman" w:hAnsi="Times New Roman" w:cs="Times New Roman"/>
              </w:rPr>
              <w:t>ROTAC</w:t>
            </w:r>
          </w:p>
        </w:tc>
        <w:tc>
          <w:tcPr>
            <w:tcW w:w="2337" w:type="dxa"/>
          </w:tcPr>
          <w:p w14:paraId="4C5E5BA2" w14:textId="44AFA720" w:rsidR="00F43435" w:rsidRDefault="00172D46" w:rsidP="00F43435">
            <w:pPr>
              <w:spacing w:line="480" w:lineRule="auto"/>
              <w:rPr>
                <w:rFonts w:ascii="Times New Roman" w:hAnsi="Times New Roman" w:cs="Times New Roman"/>
              </w:rPr>
            </w:pPr>
            <w:r>
              <w:rPr>
                <w:rFonts w:ascii="Times New Roman" w:hAnsi="Times New Roman" w:cs="Times New Roman"/>
              </w:rPr>
              <w:t>0.51</w:t>
            </w:r>
          </w:p>
        </w:tc>
        <w:tc>
          <w:tcPr>
            <w:tcW w:w="2338" w:type="dxa"/>
          </w:tcPr>
          <w:p w14:paraId="5AEE462B" w14:textId="4CC0C782" w:rsidR="00F43435" w:rsidRDefault="00172D46" w:rsidP="00F43435">
            <w:pPr>
              <w:spacing w:line="480" w:lineRule="auto"/>
              <w:rPr>
                <w:rFonts w:ascii="Times New Roman" w:hAnsi="Times New Roman" w:cs="Times New Roman"/>
              </w:rPr>
            </w:pPr>
            <w:r>
              <w:rPr>
                <w:rFonts w:ascii="Times New Roman" w:hAnsi="Times New Roman" w:cs="Times New Roman"/>
              </w:rPr>
              <w:t>6.37</w:t>
            </w:r>
          </w:p>
        </w:tc>
        <w:tc>
          <w:tcPr>
            <w:tcW w:w="2338" w:type="dxa"/>
          </w:tcPr>
          <w:p w14:paraId="0206C42E" w14:textId="50BBCE1B" w:rsidR="00F43435" w:rsidRDefault="00172D46" w:rsidP="00F43435">
            <w:pPr>
              <w:spacing w:line="480" w:lineRule="auto"/>
              <w:rPr>
                <w:rFonts w:ascii="Times New Roman" w:hAnsi="Times New Roman" w:cs="Times New Roman"/>
              </w:rPr>
            </w:pPr>
            <w:r>
              <w:rPr>
                <w:rFonts w:ascii="Times New Roman" w:hAnsi="Times New Roman" w:cs="Times New Roman"/>
              </w:rPr>
              <w:t>0.94</w:t>
            </w:r>
          </w:p>
        </w:tc>
      </w:tr>
      <w:tr w:rsidR="00F43435" w14:paraId="51884949" w14:textId="77777777" w:rsidTr="00404FA5">
        <w:tc>
          <w:tcPr>
            <w:tcW w:w="2337" w:type="dxa"/>
          </w:tcPr>
          <w:p w14:paraId="6C94891A" w14:textId="4F683426" w:rsidR="00F43435" w:rsidRDefault="00F43435" w:rsidP="00F43435">
            <w:pPr>
              <w:spacing w:line="480" w:lineRule="auto"/>
              <w:rPr>
                <w:rFonts w:ascii="Times New Roman" w:hAnsi="Times New Roman" w:cs="Times New Roman"/>
              </w:rPr>
            </w:pPr>
            <w:r>
              <w:rPr>
                <w:rFonts w:ascii="Times New Roman" w:hAnsi="Times New Roman" w:cs="Times New Roman"/>
              </w:rPr>
              <w:t>RCV1</w:t>
            </w:r>
          </w:p>
        </w:tc>
        <w:tc>
          <w:tcPr>
            <w:tcW w:w="2337" w:type="dxa"/>
          </w:tcPr>
          <w:p w14:paraId="195CAC60" w14:textId="68390DCE" w:rsidR="00F43435" w:rsidRDefault="00172D46" w:rsidP="00F43435">
            <w:pPr>
              <w:spacing w:line="480" w:lineRule="auto"/>
              <w:rPr>
                <w:rFonts w:ascii="Times New Roman" w:hAnsi="Times New Roman" w:cs="Times New Roman"/>
              </w:rPr>
            </w:pPr>
            <w:r>
              <w:rPr>
                <w:rFonts w:ascii="Times New Roman" w:hAnsi="Times New Roman" w:cs="Times New Roman"/>
              </w:rPr>
              <w:t>4.63</w:t>
            </w:r>
          </w:p>
        </w:tc>
        <w:tc>
          <w:tcPr>
            <w:tcW w:w="2338" w:type="dxa"/>
          </w:tcPr>
          <w:p w14:paraId="134D9128" w14:textId="7909FA8A" w:rsidR="00F43435" w:rsidRDefault="00172D46" w:rsidP="00F43435">
            <w:pPr>
              <w:spacing w:line="480" w:lineRule="auto"/>
              <w:rPr>
                <w:rFonts w:ascii="Times New Roman" w:hAnsi="Times New Roman" w:cs="Times New Roman"/>
              </w:rPr>
            </w:pPr>
            <w:r>
              <w:rPr>
                <w:rFonts w:ascii="Times New Roman" w:hAnsi="Times New Roman" w:cs="Times New Roman"/>
              </w:rPr>
              <w:t>2.42</w:t>
            </w:r>
          </w:p>
        </w:tc>
        <w:tc>
          <w:tcPr>
            <w:tcW w:w="2338" w:type="dxa"/>
          </w:tcPr>
          <w:p w14:paraId="21C65A70" w14:textId="644F077F" w:rsidR="00F43435" w:rsidRDefault="00172D46" w:rsidP="00F43435">
            <w:pPr>
              <w:spacing w:line="480" w:lineRule="auto"/>
              <w:rPr>
                <w:rFonts w:ascii="Times New Roman" w:hAnsi="Times New Roman" w:cs="Times New Roman"/>
              </w:rPr>
            </w:pPr>
            <w:r>
              <w:rPr>
                <w:rFonts w:ascii="Times New Roman" w:hAnsi="Times New Roman" w:cs="Times New Roman"/>
              </w:rPr>
              <w:t>0.06</w:t>
            </w:r>
          </w:p>
        </w:tc>
      </w:tr>
    </w:tbl>
    <w:p w14:paraId="036ED855" w14:textId="04956B5F" w:rsidR="00404FA5" w:rsidRDefault="00404FA5" w:rsidP="00110FA1">
      <w:pPr>
        <w:spacing w:line="480" w:lineRule="auto"/>
        <w:rPr>
          <w:rFonts w:ascii="Times New Roman" w:hAnsi="Times New Roman" w:cs="Times New Roman"/>
        </w:rPr>
      </w:pPr>
    </w:p>
    <w:p w14:paraId="7344C864" w14:textId="6C4C488C" w:rsidR="001E746B" w:rsidRDefault="001E746B" w:rsidP="00110FA1">
      <w:pPr>
        <w:spacing w:line="480" w:lineRule="auto"/>
        <w:rPr>
          <w:rFonts w:ascii="Times New Roman" w:hAnsi="Times New Roman" w:cs="Times New Roman"/>
        </w:rPr>
      </w:pPr>
      <w:r>
        <w:rPr>
          <w:rFonts w:ascii="Times New Roman" w:hAnsi="Times New Roman" w:cs="Times New Roman"/>
        </w:rPr>
        <w:t>Discussion</w:t>
      </w:r>
    </w:p>
    <w:p w14:paraId="27F49020" w14:textId="739BEF62" w:rsidR="001E746B" w:rsidRDefault="00335AF8" w:rsidP="00110FA1">
      <w:pPr>
        <w:spacing w:line="480" w:lineRule="auto"/>
        <w:rPr>
          <w:rFonts w:ascii="Times New Roman" w:hAnsi="Times New Roman" w:cs="Times New Roman"/>
        </w:rPr>
      </w:pPr>
      <w:r>
        <w:rPr>
          <w:rFonts w:ascii="Times New Roman" w:hAnsi="Times New Roman" w:cs="Times New Roman"/>
        </w:rPr>
        <w:t xml:space="preserve">In this paper, we </w:t>
      </w:r>
      <w:r w:rsidR="00A524BB">
        <w:rPr>
          <w:rFonts w:ascii="Times New Roman" w:hAnsi="Times New Roman" w:cs="Times New Roman"/>
        </w:rPr>
        <w:t>empirically explored</w:t>
      </w:r>
      <w:r>
        <w:rPr>
          <w:rFonts w:ascii="Times New Roman" w:hAnsi="Times New Roman" w:cs="Times New Roman"/>
        </w:rPr>
        <w:t xml:space="preserve"> the UHC’s </w:t>
      </w:r>
      <w:r w:rsidR="00A524BB">
        <w:rPr>
          <w:rFonts w:ascii="Times New Roman" w:hAnsi="Times New Roman" w:cs="Times New Roman"/>
        </w:rPr>
        <w:t>contribution in</w:t>
      </w:r>
      <w:r>
        <w:rPr>
          <w:rFonts w:ascii="Times New Roman" w:hAnsi="Times New Roman" w:cs="Times New Roman"/>
        </w:rPr>
        <w:t xml:space="preserve"> building health system resilience against external shocks by observing the immunization coverage after COVID-19 in countries with varying levels of progress across UHC. </w:t>
      </w:r>
      <w:r w:rsidR="00A524BB">
        <w:rPr>
          <w:rFonts w:ascii="Times New Roman" w:hAnsi="Times New Roman" w:cs="Times New Roman"/>
        </w:rPr>
        <w:t>Using difference-in-difference method, we were able to quantify the causal effect of UHC-attributed resilience in reducing the impact of COVID-19 in disrupting the essential routine immunization activities. The findings suggest that countries with higher progress towards achieving UHC, as represented by the high score of UHC service coverage index, was able to reduce the decrease in post-pandemic immunization coverage significantly</w:t>
      </w:r>
      <w:r w:rsidR="00FC239D">
        <w:rPr>
          <w:rFonts w:ascii="Times New Roman" w:hAnsi="Times New Roman" w:cs="Times New Roman"/>
        </w:rPr>
        <w:t xml:space="preserve">, as shown by the significant coefficient for </w:t>
      </w:r>
      <w:proofErr w:type="spellStart"/>
      <w:r w:rsidR="00FC239D">
        <w:rPr>
          <w:rFonts w:ascii="Times New Roman" w:hAnsi="Times New Roman" w:cs="Times New Roman"/>
        </w:rPr>
        <w:t>DiD</w:t>
      </w:r>
      <w:proofErr w:type="spellEnd"/>
      <w:r w:rsidR="00FC239D">
        <w:rPr>
          <w:rFonts w:ascii="Times New Roman" w:hAnsi="Times New Roman" w:cs="Times New Roman"/>
        </w:rPr>
        <w:t xml:space="preserve"> variable even after adjusted for the country’s income, geographical region, and type of vaccine</w:t>
      </w:r>
      <w:r w:rsidR="00A524BB">
        <w:rPr>
          <w:rFonts w:ascii="Times New Roman" w:hAnsi="Times New Roman" w:cs="Times New Roman"/>
        </w:rPr>
        <w:t xml:space="preserve">. Although this significant impact was not observed for </w:t>
      </w:r>
      <w:r w:rsidR="00FC239D">
        <w:rPr>
          <w:rFonts w:ascii="Times New Roman" w:hAnsi="Times New Roman" w:cs="Times New Roman"/>
        </w:rPr>
        <w:t xml:space="preserve">the regression performed on </w:t>
      </w:r>
      <w:r w:rsidR="00A524BB">
        <w:rPr>
          <w:rFonts w:ascii="Times New Roman" w:hAnsi="Times New Roman" w:cs="Times New Roman"/>
        </w:rPr>
        <w:t xml:space="preserve">each individual </w:t>
      </w:r>
      <w:r w:rsidR="00FC239D">
        <w:rPr>
          <w:rFonts w:ascii="Times New Roman" w:hAnsi="Times New Roman" w:cs="Times New Roman"/>
        </w:rPr>
        <w:t xml:space="preserve">type of </w:t>
      </w:r>
      <w:r w:rsidR="00A524BB">
        <w:rPr>
          <w:rFonts w:ascii="Times New Roman" w:hAnsi="Times New Roman" w:cs="Times New Roman"/>
        </w:rPr>
        <w:t xml:space="preserve">vaccine, </w:t>
      </w:r>
      <w:r w:rsidR="00870D64">
        <w:rPr>
          <w:rFonts w:ascii="Times New Roman" w:hAnsi="Times New Roman" w:cs="Times New Roman"/>
        </w:rPr>
        <w:t xml:space="preserve">this </w:t>
      </w:r>
      <w:r w:rsidR="00FC239D">
        <w:rPr>
          <w:rFonts w:ascii="Times New Roman" w:hAnsi="Times New Roman" w:cs="Times New Roman"/>
        </w:rPr>
        <w:t>is most likely</w:t>
      </w:r>
      <w:r w:rsidR="00870D64">
        <w:rPr>
          <w:rFonts w:ascii="Times New Roman" w:hAnsi="Times New Roman" w:cs="Times New Roman"/>
        </w:rPr>
        <w:t xml:space="preserve"> </w:t>
      </w:r>
      <w:r w:rsidR="00FC239D">
        <w:rPr>
          <w:rFonts w:ascii="Times New Roman" w:hAnsi="Times New Roman" w:cs="Times New Roman"/>
        </w:rPr>
        <w:t xml:space="preserve">due </w:t>
      </w:r>
      <w:r w:rsidR="00870D64">
        <w:rPr>
          <w:rFonts w:ascii="Times New Roman" w:hAnsi="Times New Roman" w:cs="Times New Roman"/>
        </w:rPr>
        <w:t>to the lack of sufficient statistical power stemming from inherently small sample size</w:t>
      </w:r>
      <w:r w:rsidR="00FC239D">
        <w:rPr>
          <w:rFonts w:ascii="Times New Roman" w:hAnsi="Times New Roman" w:cs="Times New Roman"/>
        </w:rPr>
        <w:t xml:space="preserve"> given the limited number of countries in the world</w:t>
      </w:r>
      <w:r w:rsidR="00870D64">
        <w:rPr>
          <w:rFonts w:ascii="Times New Roman" w:hAnsi="Times New Roman" w:cs="Times New Roman"/>
        </w:rPr>
        <w:t>.</w:t>
      </w:r>
    </w:p>
    <w:p w14:paraId="4169749D" w14:textId="403B7C49" w:rsidR="00870D64" w:rsidRDefault="00870D64" w:rsidP="00110FA1">
      <w:pPr>
        <w:spacing w:line="480" w:lineRule="auto"/>
        <w:rPr>
          <w:rFonts w:ascii="Times New Roman" w:hAnsi="Times New Roman" w:cs="Times New Roman"/>
        </w:rPr>
      </w:pPr>
      <w:r>
        <w:rPr>
          <w:rFonts w:ascii="Times New Roman" w:hAnsi="Times New Roman" w:cs="Times New Roman"/>
        </w:rPr>
        <w:lastRenderedPageBreak/>
        <w:tab/>
        <w:t xml:space="preserve">Limited studies prior to this analysis tried to show the empirical evidence of UHC’s positive impact on building health system resilience. Our study not only corroborates these earlier findings but also, to our knowledge, is the first to quantify the causal effect of UHC in supporting how country’s health system responds to the COVID-19 pandemic. While the findings are simple and needs more supporting evidence, both quantitatively and qualitatively, as moving forward, timeliness of the study can aid policymakers to advocate the importance of country’s commitment in achieving UHC even in times of public health crisis. </w:t>
      </w:r>
    </w:p>
    <w:p w14:paraId="753BF50B" w14:textId="37B15942" w:rsidR="00D943A2" w:rsidRPr="00110FA1" w:rsidRDefault="00FC239D" w:rsidP="00D943A2">
      <w:pPr>
        <w:spacing w:line="480" w:lineRule="auto"/>
        <w:rPr>
          <w:rFonts w:ascii="Times New Roman" w:hAnsi="Times New Roman" w:cs="Times New Roman"/>
        </w:rPr>
      </w:pPr>
      <w:r>
        <w:rPr>
          <w:rFonts w:ascii="Times New Roman" w:hAnsi="Times New Roman" w:cs="Times New Roman"/>
        </w:rPr>
        <w:tab/>
        <w:t xml:space="preserve">We believe the study can be further improved in couple of ways. Firstly, </w:t>
      </w:r>
      <w:r w:rsidR="00B413C1">
        <w:rPr>
          <w:rFonts w:ascii="Times New Roman" w:hAnsi="Times New Roman" w:cs="Times New Roman"/>
        </w:rPr>
        <w:t xml:space="preserve">once the immunization coverage data for subsequent years become available, the same hypothesis can be tested using a comparative interrupted time series analysis. The equation below describes how this can be done by introducing additional interaction terms. </w:t>
      </w:r>
      <w:r w:rsidR="00D943A2">
        <w:rPr>
          <w:rFonts w:ascii="Times New Roman" w:hAnsi="Times New Roman" w:cs="Times New Roman"/>
        </w:rPr>
        <w:t>The</w:t>
      </w:r>
      <w:r w:rsidR="00B413C1">
        <w:rPr>
          <w:rFonts w:ascii="Times New Roman" w:hAnsi="Times New Roman" w:cs="Times New Roman"/>
        </w:rPr>
        <w:t xml:space="preserve"> coefficient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w:r w:rsidR="00B413C1">
        <w:rPr>
          <w:rFonts w:ascii="Times New Roman" w:hAnsi="Times New Roman" w:cs="Times New Roman"/>
        </w:rPr>
        <w:t xml:space="preserve"> will represent the one-time change in immunization coverage post-pandemic attributed to UHC</w:t>
      </w:r>
      <w:r w:rsidR="00D943A2">
        <w:rPr>
          <w:rFonts w:ascii="Times New Roman" w:hAnsi="Times New Roman" w:cs="Times New Roman"/>
        </w:rPr>
        <w:t xml:space="preserve"> and its associated resilience, which is analogous to the </w:t>
      </w:r>
      <w:proofErr w:type="spellStart"/>
      <w:r w:rsidR="00D943A2">
        <w:rPr>
          <w:rFonts w:ascii="Times New Roman" w:hAnsi="Times New Roman" w:cs="Times New Roman"/>
        </w:rPr>
        <w:t>DiD</w:t>
      </w:r>
      <w:proofErr w:type="spellEnd"/>
      <w:r w:rsidR="00D943A2">
        <w:rPr>
          <w:rFonts w:ascii="Times New Roman" w:hAnsi="Times New Roman" w:cs="Times New Roman"/>
        </w:rPr>
        <w:t xml:space="preserve"> coefficient in our study,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oMath>
      <w:r w:rsidR="00D943A2">
        <w:rPr>
          <w:rFonts w:ascii="Times New Roman" w:hAnsi="Times New Roman" w:cs="Times New Roman"/>
        </w:rPr>
        <w:t xml:space="preserve"> will show the year-by-year change in immunization coverage post-pandemic attributed to UHC and its associated resilience. </w:t>
      </w:r>
      <w:r w:rsidR="00D943A2" w:rsidRPr="00D943A2">
        <w:rPr>
          <w:rFonts w:ascii="Cambria Math" w:hAnsi="Cambria Math" w:cs="Times New Roman"/>
          <w:i/>
          <w:sz w:val="21"/>
          <w:szCs w:val="21"/>
        </w:rPr>
        <w:br/>
      </w:r>
      <m:oMathPara>
        <m:oMath>
          <m:d>
            <m:dPr>
              <m:ctrlPr>
                <w:rPr>
                  <w:rFonts w:ascii="Cambria Math" w:hAnsi="Cambria Math" w:cs="Times New Roman"/>
                  <w:i/>
                  <w:sz w:val="21"/>
                  <w:szCs w:val="21"/>
                </w:rPr>
              </m:ctrlPr>
            </m:dPr>
            <m:e>
              <m:r>
                <w:rPr>
                  <w:rFonts w:ascii="Cambria Math" w:hAnsi="Cambria Math" w:cs="Times New Roman"/>
                  <w:sz w:val="21"/>
                  <w:szCs w:val="21"/>
                </w:rPr>
                <m:t>Immunization Coverage</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2</m:t>
              </m:r>
            </m:sub>
          </m:sSub>
          <m:r>
            <w:rPr>
              <w:rFonts w:ascii="Cambria Math" w:hAnsi="Cambria Math" w:cs="Times New Roman"/>
              <w:sz w:val="21"/>
              <w:szCs w:val="21"/>
            </w:rPr>
            <m:t>*prepost+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3</m:t>
              </m:r>
            </m:sub>
          </m:sSub>
          <m:r>
            <w:rPr>
              <w:rFonts w:ascii="Cambria Math" w:hAnsi="Cambria Math" w:cs="Times New Roman"/>
              <w:sz w:val="21"/>
              <w:szCs w:val="21"/>
            </w:rPr>
            <m:t>*UHC category+</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4</m:t>
              </m:r>
            </m:sub>
          </m:sSub>
          <m:r>
            <w:rPr>
              <w:rFonts w:ascii="Cambria Math" w:hAnsi="Cambria Math" w:cs="Times New Roman"/>
              <w:sz w:val="21"/>
              <w:szCs w:val="21"/>
            </w:rPr>
            <m:t>*prepost*UHC category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5</m:t>
              </m:r>
            </m:sub>
          </m:sSub>
          <m:r>
            <w:rPr>
              <w:rFonts w:ascii="Cambria Math" w:hAnsi="Cambria Math" w:cs="Times New Roman"/>
              <w:sz w:val="21"/>
              <w:szCs w:val="21"/>
            </w:rPr>
            <m:t>*prepost*year+</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6</m:t>
              </m:r>
            </m:sub>
          </m:sSub>
          <m:r>
            <w:rPr>
              <w:rFonts w:ascii="Cambria Math" w:hAnsi="Cambria Math" w:cs="Times New Roman"/>
              <w:sz w:val="21"/>
              <w:szCs w:val="21"/>
            </w:rPr>
            <m:t>*year*UHC category+</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8</m:t>
              </m:r>
            </m:sub>
          </m:sSub>
          <m:r>
            <w:rPr>
              <w:rFonts w:ascii="Cambria Math" w:hAnsi="Cambria Math" w:cs="Times New Roman"/>
              <w:sz w:val="21"/>
              <w:szCs w:val="21"/>
            </w:rPr>
            <m:t>*year*prepost*UHC category+</m:t>
          </m:r>
          <m:r>
            <w:rPr>
              <w:rFonts w:ascii="Cambria Math" w:hAnsi="Cambria Math" w:cs="Times New Roman"/>
              <w:sz w:val="21"/>
              <w:szCs w:val="21"/>
            </w:rPr>
            <m:t>Z+ϵ</m:t>
          </m:r>
        </m:oMath>
      </m:oMathPara>
    </w:p>
    <w:p w14:paraId="451BD5C2" w14:textId="29BA0003" w:rsidR="00FC239D" w:rsidRDefault="00D943A2" w:rsidP="00110FA1">
      <w:pPr>
        <w:spacing w:line="480" w:lineRule="auto"/>
        <w:rPr>
          <w:rFonts w:ascii="Times New Roman" w:hAnsi="Times New Roman" w:cs="Times New Roman"/>
        </w:rPr>
      </w:pPr>
      <w:r>
        <w:rPr>
          <w:rFonts w:ascii="Times New Roman" w:hAnsi="Times New Roman" w:cs="Times New Roman"/>
        </w:rPr>
        <w:t xml:space="preserve">This way, not only will we be able to quantify the causal effect of UHC-attributed system resilience on responding to the external shock, but also to observe the causal effect of it on the speed of system recovery in following years. We aim to monitor this data in following years so that we can provide further evidence on the positive role of UHC in supporting countries to better respond to public health crisis and to </w:t>
      </w:r>
      <w:proofErr w:type="spellStart"/>
      <w:r>
        <w:rPr>
          <w:rFonts w:ascii="Times New Roman" w:hAnsi="Times New Roman" w:cs="Times New Roman"/>
        </w:rPr>
        <w:t>fastly</w:t>
      </w:r>
      <w:proofErr w:type="spellEnd"/>
      <w:r>
        <w:rPr>
          <w:rFonts w:ascii="Times New Roman" w:hAnsi="Times New Roman" w:cs="Times New Roman"/>
        </w:rPr>
        <w:t xml:space="preserve"> recover from it.</w:t>
      </w:r>
    </w:p>
    <w:p w14:paraId="5F9F2E0F" w14:textId="59372D13" w:rsidR="00D943A2" w:rsidRDefault="00D943A2" w:rsidP="00110FA1">
      <w:pPr>
        <w:spacing w:line="480" w:lineRule="auto"/>
        <w:rPr>
          <w:rFonts w:ascii="Times New Roman" w:hAnsi="Times New Roman" w:cs="Times New Roman"/>
        </w:rPr>
      </w:pPr>
      <w:r>
        <w:rPr>
          <w:rFonts w:ascii="Times New Roman" w:hAnsi="Times New Roman" w:cs="Times New Roman"/>
        </w:rPr>
        <w:lastRenderedPageBreak/>
        <w:tab/>
      </w:r>
      <w:r w:rsidR="006E2925">
        <w:rPr>
          <w:rFonts w:ascii="Times New Roman" w:hAnsi="Times New Roman" w:cs="Times New Roman"/>
        </w:rPr>
        <w:t xml:space="preserve">Using different indicators than immunization coverage, which serve as a proxy measure of essential health service delivery, can further strengthen our findings. </w:t>
      </w:r>
      <w:r w:rsidR="00E60347">
        <w:rPr>
          <w:rFonts w:ascii="Times New Roman" w:hAnsi="Times New Roman" w:cs="Times New Roman"/>
        </w:rPr>
        <w:t xml:space="preserve">We believe indicators associated with HIV continuum of care, such as patients’ CD4+ count or viral load monitoring data, or maternal, newborn, and childcare-related indicators, such as neonatal-, under-5-, or maternal mortality can be great candidates. For now, we couldn’t perform these analyses due to the lack of post-pandemic data available for these indicators. However, once the data becomes available, </w:t>
      </w:r>
      <w:r w:rsidR="00D2056B">
        <w:rPr>
          <w:rFonts w:ascii="Times New Roman" w:hAnsi="Times New Roman" w:cs="Times New Roman"/>
        </w:rPr>
        <w:t xml:space="preserve">we strongly believe that </w:t>
      </w:r>
      <w:r w:rsidR="00E60347">
        <w:rPr>
          <w:rFonts w:ascii="Times New Roman" w:hAnsi="Times New Roman" w:cs="Times New Roman"/>
        </w:rPr>
        <w:t>rep</w:t>
      </w:r>
      <w:r w:rsidR="00D2056B">
        <w:rPr>
          <w:rFonts w:ascii="Times New Roman" w:hAnsi="Times New Roman" w:cs="Times New Roman"/>
        </w:rPr>
        <w:t>licat</w:t>
      </w:r>
      <w:r w:rsidR="00E60347">
        <w:rPr>
          <w:rFonts w:ascii="Times New Roman" w:hAnsi="Times New Roman" w:cs="Times New Roman"/>
        </w:rPr>
        <w:t xml:space="preserve">ing the same analysis using alternative indicators </w:t>
      </w:r>
      <w:r w:rsidR="00D2056B">
        <w:rPr>
          <w:rFonts w:ascii="Times New Roman" w:hAnsi="Times New Roman" w:cs="Times New Roman"/>
        </w:rPr>
        <w:t xml:space="preserve">can reinforce our finding, hence the important role of UHC. </w:t>
      </w:r>
      <w:r w:rsidR="00A5255D">
        <w:rPr>
          <w:rFonts w:ascii="Times New Roman" w:hAnsi="Times New Roman" w:cs="Times New Roman"/>
        </w:rPr>
        <w:t xml:space="preserve">In addition, by merging different dataset for several indicators, we will be able to generate bigger dataset, which will improve the statistical power of the analysis, to produce stronger evidence. </w:t>
      </w:r>
    </w:p>
    <w:p w14:paraId="3FC51198" w14:textId="0640D52E" w:rsidR="00A5255D" w:rsidRDefault="00A5255D" w:rsidP="00110FA1">
      <w:pPr>
        <w:spacing w:line="480" w:lineRule="auto"/>
        <w:rPr>
          <w:rFonts w:ascii="Times New Roman" w:hAnsi="Times New Roman" w:cs="Times New Roman"/>
        </w:rPr>
      </w:pPr>
      <w:r>
        <w:rPr>
          <w:rFonts w:ascii="Times New Roman" w:hAnsi="Times New Roman" w:cs="Times New Roman"/>
        </w:rPr>
        <w:tab/>
      </w:r>
    </w:p>
    <w:p w14:paraId="7F61B12A" w14:textId="77777777" w:rsidR="00D2056B" w:rsidRDefault="00D2056B" w:rsidP="00110FA1">
      <w:pPr>
        <w:spacing w:line="480" w:lineRule="auto"/>
        <w:rPr>
          <w:rFonts w:ascii="Times New Roman" w:hAnsi="Times New Roman" w:cs="Times New Roman"/>
          <w:sz w:val="22"/>
          <w:szCs w:val="22"/>
        </w:rPr>
      </w:pPr>
    </w:p>
    <w:sectPr w:rsidR="00D2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1147"/>
    <w:multiLevelType w:val="hybridMultilevel"/>
    <w:tmpl w:val="37F64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01"/>
    <w:rsid w:val="000156C0"/>
    <w:rsid w:val="000240AD"/>
    <w:rsid w:val="00063926"/>
    <w:rsid w:val="00076D5F"/>
    <w:rsid w:val="00084157"/>
    <w:rsid w:val="0009648B"/>
    <w:rsid w:val="000C1CB7"/>
    <w:rsid w:val="000C3F26"/>
    <w:rsid w:val="000E2089"/>
    <w:rsid w:val="000F776B"/>
    <w:rsid w:val="000F7C71"/>
    <w:rsid w:val="00106A4E"/>
    <w:rsid w:val="00110FA1"/>
    <w:rsid w:val="0013070D"/>
    <w:rsid w:val="001364A7"/>
    <w:rsid w:val="00172D46"/>
    <w:rsid w:val="001E746B"/>
    <w:rsid w:val="00231E6C"/>
    <w:rsid w:val="002608C4"/>
    <w:rsid w:val="00263EF7"/>
    <w:rsid w:val="0027494D"/>
    <w:rsid w:val="002A397D"/>
    <w:rsid w:val="002D4A2D"/>
    <w:rsid w:val="002F1A1A"/>
    <w:rsid w:val="00312063"/>
    <w:rsid w:val="00314F1A"/>
    <w:rsid w:val="00335AF8"/>
    <w:rsid w:val="00391BFD"/>
    <w:rsid w:val="003A62DC"/>
    <w:rsid w:val="00404FA5"/>
    <w:rsid w:val="00487E6A"/>
    <w:rsid w:val="00491FF7"/>
    <w:rsid w:val="00500F09"/>
    <w:rsid w:val="005466ED"/>
    <w:rsid w:val="00586A5F"/>
    <w:rsid w:val="00673CC9"/>
    <w:rsid w:val="00682166"/>
    <w:rsid w:val="006C0847"/>
    <w:rsid w:val="006E2925"/>
    <w:rsid w:val="006F583C"/>
    <w:rsid w:val="00702377"/>
    <w:rsid w:val="007409A7"/>
    <w:rsid w:val="0076353A"/>
    <w:rsid w:val="00790D95"/>
    <w:rsid w:val="007E14BF"/>
    <w:rsid w:val="007E2801"/>
    <w:rsid w:val="008333A3"/>
    <w:rsid w:val="00870D64"/>
    <w:rsid w:val="00871242"/>
    <w:rsid w:val="0089771A"/>
    <w:rsid w:val="008F2FEA"/>
    <w:rsid w:val="009300A9"/>
    <w:rsid w:val="00931814"/>
    <w:rsid w:val="00937581"/>
    <w:rsid w:val="00940D6D"/>
    <w:rsid w:val="00952468"/>
    <w:rsid w:val="00955569"/>
    <w:rsid w:val="00980FF4"/>
    <w:rsid w:val="00982B8F"/>
    <w:rsid w:val="009A77B4"/>
    <w:rsid w:val="009B761A"/>
    <w:rsid w:val="009C0505"/>
    <w:rsid w:val="00A015E8"/>
    <w:rsid w:val="00A235E4"/>
    <w:rsid w:val="00A24784"/>
    <w:rsid w:val="00A334B9"/>
    <w:rsid w:val="00A524BB"/>
    <w:rsid w:val="00A5255D"/>
    <w:rsid w:val="00A777AA"/>
    <w:rsid w:val="00AB7DF9"/>
    <w:rsid w:val="00AC55D0"/>
    <w:rsid w:val="00AE1216"/>
    <w:rsid w:val="00AF59DB"/>
    <w:rsid w:val="00B0059C"/>
    <w:rsid w:val="00B413C1"/>
    <w:rsid w:val="00B46F4C"/>
    <w:rsid w:val="00BA4F57"/>
    <w:rsid w:val="00BA5E9D"/>
    <w:rsid w:val="00BB2E9A"/>
    <w:rsid w:val="00BC7D07"/>
    <w:rsid w:val="00BE5358"/>
    <w:rsid w:val="00C127FC"/>
    <w:rsid w:val="00C810A4"/>
    <w:rsid w:val="00C97674"/>
    <w:rsid w:val="00CA33BC"/>
    <w:rsid w:val="00CC653C"/>
    <w:rsid w:val="00D2056B"/>
    <w:rsid w:val="00D430F9"/>
    <w:rsid w:val="00D943A2"/>
    <w:rsid w:val="00DD5BA4"/>
    <w:rsid w:val="00DE4936"/>
    <w:rsid w:val="00E60347"/>
    <w:rsid w:val="00E61907"/>
    <w:rsid w:val="00E84535"/>
    <w:rsid w:val="00ED474D"/>
    <w:rsid w:val="00ED5CE0"/>
    <w:rsid w:val="00EE2EB8"/>
    <w:rsid w:val="00F43435"/>
    <w:rsid w:val="00FC23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F45A0"/>
  <w15:chartTrackingRefBased/>
  <w15:docId w15:val="{63F6A8CB-98F4-A84D-AD00-7674D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E9A"/>
    <w:pPr>
      <w:ind w:left="720"/>
      <w:contextualSpacing/>
    </w:pPr>
  </w:style>
  <w:style w:type="character" w:styleId="PlaceholderText">
    <w:name w:val="Placeholder Text"/>
    <w:basedOn w:val="DefaultParagraphFont"/>
    <w:uiPriority w:val="99"/>
    <w:semiHidden/>
    <w:rsid w:val="001364A7"/>
    <w:rPr>
      <w:color w:val="808080"/>
    </w:rPr>
  </w:style>
  <w:style w:type="table" w:styleId="TableGrid">
    <w:name w:val="Table Grid"/>
    <w:basedOn w:val="TableNormal"/>
    <w:uiPriority w:val="39"/>
    <w:rsid w:val="00CA3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2688">
      <w:bodyDiv w:val="1"/>
      <w:marLeft w:val="0"/>
      <w:marRight w:val="0"/>
      <w:marTop w:val="0"/>
      <w:marBottom w:val="0"/>
      <w:divBdr>
        <w:top w:val="none" w:sz="0" w:space="0" w:color="auto"/>
        <w:left w:val="none" w:sz="0" w:space="0" w:color="auto"/>
        <w:bottom w:val="none" w:sz="0" w:space="0" w:color="auto"/>
        <w:right w:val="none" w:sz="0" w:space="0" w:color="auto"/>
      </w:divBdr>
    </w:div>
    <w:div w:id="664557296">
      <w:bodyDiv w:val="1"/>
      <w:marLeft w:val="0"/>
      <w:marRight w:val="0"/>
      <w:marTop w:val="0"/>
      <w:marBottom w:val="0"/>
      <w:divBdr>
        <w:top w:val="none" w:sz="0" w:space="0" w:color="auto"/>
        <w:left w:val="none" w:sz="0" w:space="0" w:color="auto"/>
        <w:bottom w:val="none" w:sz="0" w:space="0" w:color="auto"/>
        <w:right w:val="none" w:sz="0" w:space="0" w:color="auto"/>
      </w:divBdr>
    </w:div>
    <w:div w:id="848177096">
      <w:bodyDiv w:val="1"/>
      <w:marLeft w:val="0"/>
      <w:marRight w:val="0"/>
      <w:marTop w:val="0"/>
      <w:marBottom w:val="0"/>
      <w:divBdr>
        <w:top w:val="none" w:sz="0" w:space="0" w:color="auto"/>
        <w:left w:val="none" w:sz="0" w:space="0" w:color="auto"/>
        <w:bottom w:val="none" w:sz="0" w:space="0" w:color="auto"/>
        <w:right w:val="none" w:sz="0" w:space="0" w:color="auto"/>
      </w:divBdr>
    </w:div>
    <w:div w:id="860823491">
      <w:bodyDiv w:val="1"/>
      <w:marLeft w:val="0"/>
      <w:marRight w:val="0"/>
      <w:marTop w:val="0"/>
      <w:marBottom w:val="0"/>
      <w:divBdr>
        <w:top w:val="none" w:sz="0" w:space="0" w:color="auto"/>
        <w:left w:val="none" w:sz="0" w:space="0" w:color="auto"/>
        <w:bottom w:val="none" w:sz="0" w:space="0" w:color="auto"/>
        <w:right w:val="none" w:sz="0" w:space="0" w:color="auto"/>
      </w:divBdr>
    </w:div>
    <w:div w:id="1405378607">
      <w:bodyDiv w:val="1"/>
      <w:marLeft w:val="0"/>
      <w:marRight w:val="0"/>
      <w:marTop w:val="0"/>
      <w:marBottom w:val="0"/>
      <w:divBdr>
        <w:top w:val="none" w:sz="0" w:space="0" w:color="auto"/>
        <w:left w:val="none" w:sz="0" w:space="0" w:color="auto"/>
        <w:bottom w:val="none" w:sz="0" w:space="0" w:color="auto"/>
        <w:right w:val="none" w:sz="0" w:space="0" w:color="auto"/>
      </w:divBdr>
    </w:div>
    <w:div w:id="1406680306">
      <w:bodyDiv w:val="1"/>
      <w:marLeft w:val="0"/>
      <w:marRight w:val="0"/>
      <w:marTop w:val="0"/>
      <w:marBottom w:val="0"/>
      <w:divBdr>
        <w:top w:val="none" w:sz="0" w:space="0" w:color="auto"/>
        <w:left w:val="none" w:sz="0" w:space="0" w:color="auto"/>
        <w:bottom w:val="none" w:sz="0" w:space="0" w:color="auto"/>
        <w:right w:val="none" w:sz="0" w:space="0" w:color="auto"/>
      </w:divBdr>
    </w:div>
    <w:div w:id="1542745524">
      <w:bodyDiv w:val="1"/>
      <w:marLeft w:val="0"/>
      <w:marRight w:val="0"/>
      <w:marTop w:val="0"/>
      <w:marBottom w:val="0"/>
      <w:divBdr>
        <w:top w:val="none" w:sz="0" w:space="0" w:color="auto"/>
        <w:left w:val="none" w:sz="0" w:space="0" w:color="auto"/>
        <w:bottom w:val="none" w:sz="0" w:space="0" w:color="auto"/>
        <w:right w:val="none" w:sz="0" w:space="0" w:color="auto"/>
      </w:divBdr>
    </w:div>
    <w:div w:id="17019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14</Pages>
  <Words>3009</Words>
  <Characters>16882</Characters>
  <Application>Microsoft Office Word</Application>
  <DocSecurity>0</DocSecurity>
  <Lines>562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Sooyoung Kim</dc:creator>
  <cp:keywords/>
  <dc:description/>
  <cp:lastModifiedBy>Sooyoung Kim</cp:lastModifiedBy>
  <cp:revision>29</cp:revision>
  <dcterms:created xsi:type="dcterms:W3CDTF">2021-07-28T18:54:00Z</dcterms:created>
  <dcterms:modified xsi:type="dcterms:W3CDTF">2021-08-05T19:02:00Z</dcterms:modified>
</cp:coreProperties>
</file>