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Evaluation of a Learning Electronic Medical Record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Vanderbilt Genome-Electronic Records Project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Real-time detection of deviations in clinical care in ICU data streams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Semi-supervised learning with electronic medical records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Optimizing the Utility of Large Electronic Health Records Data in Data-Driven Health Research</w:t>
            </w:r>
          </w:p>
        </w:tc>
        <w:tc>
          <w:tcPr>
            <w:tcW w:type="dxa" w:w="1728"/>
          </w:tcPr>
          <w:p>
            <w:r>
              <w:t>TENNESSEE STATE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Osteoarthritis: Quantitative Evaluation of Whole Joint Disease with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Rapid motion-robust quantitative DCE-MRI for the assessment of gynecologic cancers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Comprehensive Multivariable Deep Learning Models to Identify Predictors of Cognitive Change in PD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Statistical atlases of brain tumor MRI:do imaging phenotypes predict progression?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0.0056</w:t>
            </w:r>
          </w:p>
        </w:tc>
      </w:tr>
      <w:tr>
        <w:tc>
          <w:tcPr>
            <w:tcW w:type="dxa" w:w="1728"/>
          </w:tcPr>
          <w:p>
            <w:r>
              <w:t>An unobtrusive monitoring device used for tracking asthma symptoms and lungfunction variability</w:t>
            </w:r>
          </w:p>
        </w:tc>
        <w:tc>
          <w:tcPr>
            <w:tcW w:type="dxa" w:w="1728"/>
          </w:tcPr>
          <w:p>
            <w:r>
              <w:t>CLAIRWAYS,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0.0042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0.0028</w:t>
            </w:r>
          </w:p>
        </w:tc>
      </w:tr>
      <w:tr>
        <w:tc>
          <w:tcPr>
            <w:tcW w:type="dxa" w:w="1728"/>
          </w:tcPr>
          <w:p>
            <w:r>
              <w:t>Data, Modeling,and Coordination Center for PrecISE Network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0.0027</w:t>
            </w:r>
          </w:p>
        </w:tc>
      </w:tr>
      <w:tr>
        <w:tc>
          <w:tcPr>
            <w:tcW w:type="dxa" w:w="1728"/>
          </w:tcPr>
          <w:p>
            <w:r>
              <w:t xml:space="preserve"> SBIR Topic 379: DigiBioMarC: Digital BioMarkers for Clinical Impact- Moonshot Project(Fast Track)</w:t>
            </w:r>
          </w:p>
        </w:tc>
        <w:tc>
          <w:tcPr>
            <w:tcW w:type="dxa" w:w="1728"/>
          </w:tcPr>
          <w:p>
            <w:r>
              <w:t>MEDABLE, INC.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0.0024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Machine Learning Platform for Adaptive Chemical Screening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High Throughput Screen for Myotonic Dystrophy Type 1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Identification of Therapeutic Small Molecules for Myotonic Dystrophy Type 1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Evaluating opioids and suicide prevention in  health care settings through the System of Safety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4/5 HEAL Consortium: Establishing Innovative Approaches  for the HEALthy Brain and Child Development Study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1/5, HEAL Consortium: Establishing Innovative Approaches for the HEALthy Brain and Child Development Study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2/5 HEAL Consortium: Establishing Innovative Approaches for the HEALthy Brain and Child Development Study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Models of Infectious Disease Threats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Computational Studies of Virus-host Interactions Using Metagenomics Data and Applications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Improving predictive capacity of models for universal influenza vaccine development</w:t>
            </w:r>
          </w:p>
        </w:tc>
        <w:tc>
          <w:tcPr>
            <w:tcW w:type="dxa" w:w="1728"/>
          </w:tcPr>
          <w:p>
            <w:r>
              <w:t>ST. JUDE CHILDREN'S RESEARCH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  <w:tr>
        <w:tc>
          <w:tcPr>
            <w:tcW w:type="dxa" w:w="1728"/>
          </w:tcPr>
          <w:p>
            <w:r>
              <w:t>FluMod - Center for the Multiscale Modeling of Pandemic and seasonal Flu Prevention and Control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THE DEVELOPMENT OF FLUENT AND AUTOMATIC READING</w:t>
            </w:r>
          </w:p>
        </w:tc>
        <w:tc>
          <w:tcPr>
            <w:tcW w:type="dxa" w:w="1728"/>
          </w:tcPr>
          <w:p>
            <w:r>
              <w:t>UNIVERSITY OF GEORGIA (UGA)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Effectiveness and predictors of response for a technology-based reading intervention in the home</w:t>
            </w:r>
          </w:p>
        </w:tc>
        <w:tc>
          <w:tcPr>
            <w:tcW w:type="dxa" w:w="1728"/>
          </w:tcPr>
          <w:p>
            <w:r>
              <w:t>UNIVERSITY OF CONNECTICUT STORRS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NIDA STRENGTHENING WASHINGTON, DC FAMILIES GRANT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 preschool biomarker for literacy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UNIVERSITY OF NOTRE DAME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HERCULES: Exposome Research Center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Providing Access to Appliance Displays for Visually Impaired Users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Resource for Biomedical Ontologies and Knowledge 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Large-Scale Semiparametric Graphical Models with Applications to Neuroscience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Methods for Dynamic Causal Interactions in Human Brain Function and Dysfunction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Air Pollution, Heart Failure and Atrial Fibrillation in MESA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Neural dynamics and adaption for brain machine interface control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 novel geometric paradigm for nonlinear modeling and control of neural dynamics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Tissue-Specific Regulatory Grammar to Interpret Human Evolution and Non-coding Variation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Interrogating regulatory variants by multiplexed genome editing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EHR-Based Strategies to Improve Outcomes in Familial Hypercholesterolemia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 xml:space="preserve">SCH: Enhancing Nurse Decision-Making via Augmented Communication Tools (ACTs) 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Systems Analysis of cell type differentiation in Xenopus development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Statistical Methods for Gene Environment Interactions In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Serum Proteomic Biomarker Discovery in Lung Cancer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 New Tool to Rapidly Diagnose Sepsis using Flow Imaging Microscopy and Machine Learning</w:t>
            </w:r>
          </w:p>
        </w:tc>
        <w:tc>
          <w:tcPr>
            <w:tcW w:type="dxa" w:w="1728"/>
          </w:tcPr>
          <w:p>
            <w:r>
              <w:t>URSA ANALYTICS,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PED Screen: Pediatric Sepsis EHR Registry, Clinical Outcomes, and Predictive Model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Automated detection and prediction of atrial fibrillation during sepsis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Combined Cardiopulmonary Failure in COPD: SPIROMICS HF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Predictive Modeling with Clinical and Genomic Data in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Encoding and Processing Patient Allergy Information in EHRs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Southern California Clinical Center of the Type 1 Diabetes in Acute Pancreatitis Consortium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Validation of Survey Questions to Distinguish Type 1 and Type 2 Diabetes Among Adults With Diabetes</w:t>
            </w:r>
          </w:p>
        </w:tc>
        <w:tc>
          <w:tcPr>
            <w:tcW w:type="dxa" w:w="1728"/>
          </w:tcPr>
          <w:p>
            <w:r>
              <w:t>WESTAT,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Clinical, Radiologic and Biochemical Factors Related to Diabetes Development after Acute Pancreatitis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Multi-institutional Consortium for CER in Diabetes Treatment and Prevention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Statistical methods for healthcare in complex patients with diabetes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Voice2Connect: Informing the Design of Smart Speakers for Social Connectedness in Low-Income Older Adults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Adapting Biomarker Assays for Individuals with Autism and Intellectual Disability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Mining Social Network Postings for Mentions of Potential Adverse Drug Reactions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Automated Phenotyping in Epilepsy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Prediction of seizure lateralization and postoperative outcome through the use of deep learning applied to multi-site MRI/DTI data:  An ENIGMA-Epilepsy study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Assessment of Peripherally Circulating Plasma Proteins and Clinical Risks to Differentiate Epileptic Seizure from Psychogenic Nonepileptic Seizure</w:t>
            </w:r>
          </w:p>
        </w:tc>
        <w:tc>
          <w:tcPr>
            <w:tcW w:type="dxa" w:w="1728"/>
          </w:tcPr>
          <w:p>
            <w:r>
              <w:t>EVOGEN,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Characterizing High Frequency Oscillations as an epilepsy biomarker with Big Data tools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Understanding RNA interactions through deep learning modeling of high-throughput biophysical measurements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Environmental Modifications in sub-Saharan Africa: Changing Epidemiology, Transmission and Pathogenesis of Plasmodium falciparum and P. vivax Malaria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Comparative Assessment Framework for Environments of Trauma Care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A Training and Fidelity Model to Move and Scale Evidence-based Dementia Care and Caregiver Support Programs into Practice: The Case for COPE in PACE service settings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An evaluation of sensor technology to monitor and report compliance with an evidence-based intervention to prevent ventilator-associated pneumonia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Using Computational Approaches to Optimize Asthma Care Management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Genetics of HNPCC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Polymorphisms in Inflammation Genes and Bladder Cancer Risk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Genetic Predisposition To Thoracic Aortic Aneurysms/Dissections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The Nomenclature of Human and Vertebrate Genes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Modeling of Complex Traits in Genetic Reference Super-Populations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Microbial Diversity and Genetic Characterization of Cariogenic Biofilms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Fast and Robust Methods for Large Scale Genotype Phenotype Association Study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Statistical Modeling of Multiparental and Genetic Reference Populations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Behavioral, Physiological, and Quantitative Models of Pro-Social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Socioemotional processing in female offenders - Resubmission 01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Monitoring and Stabilizing Behavioral Rhythms to Improve Mental Health</w:t>
            </w:r>
          </w:p>
        </w:tc>
        <w:tc>
          <w:tcPr>
            <w:tcW w:type="dxa" w:w="1728"/>
          </w:tcPr>
          <w:p>
            <w:r>
              <w:t>HEALTH RHYTHMS,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The Center for Neuroscience-based Mental Health Assessment and Prediction (NEUROMAP)</w:t>
            </w:r>
          </w:p>
        </w:tc>
        <w:tc>
          <w:tcPr>
            <w:tcW w:type="dxa" w:w="1728"/>
          </w:tcPr>
          <w:p>
            <w:r>
              <w:t>LAUREATE INSTITUTE FOR BRAIN RESEARCH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Hip Fracture Risk Prediction Tool Based on Common Predictors and Hip Geomer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Improving the Accuracy of ASCVD Risk Estimation Using Population-Level EHR and Genetic Data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Computerized population Programs for Three Cancer Risks</w:t>
            </w:r>
          </w:p>
        </w:tc>
        <w:tc>
          <w:tcPr>
            <w:tcW w:type="dxa" w:w="1728"/>
          </w:tcPr>
          <w:p>
            <w:r>
              <w:t>UNIVERSITY OF RHODE ISLAND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Dementia Risk Prediction Pooling Project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Risk Assessment of Influenza A Viruses</w:t>
            </w:r>
          </w:p>
        </w:tc>
        <w:tc>
          <w:tcPr>
            <w:tcW w:type="dxa" w:w="1728"/>
          </w:tcPr>
          <w:p>
            <w:r>
              <w:t>MISSISSIPPI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Urinary biomarkers for prostate cancer diagnosis and risk assessment</w:t>
            </w:r>
          </w:p>
        </w:tc>
        <w:tc>
          <w:tcPr>
            <w:tcW w:type="dxa" w:w="1728"/>
          </w:tcPr>
          <w:p>
            <w:r>
              <w:t>UNIVERSITY OF TEXAS EL PASO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Virtual Coach to Enhance Surgical Training using Human-Centric Modeling and Adaptive Haptic Guidance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Linking Statistical Learning to Vocabulary Development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Perceptual Organization and Attention: Behavior &amp; fMRI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Access to parietal action representations after stroke lesions in visual cortex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Sequencing Using Single Molecule Electronics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BioHDF - Open Binary File Standards for Bioinformatics</w:t>
            </w:r>
          </w:p>
        </w:tc>
        <w:tc>
          <w:tcPr>
            <w:tcW w:type="dxa" w:w="1728"/>
          </w:tcPr>
          <w:p>
            <w:r>
              <w:t>GEOSPIZA,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Machine learning methods to increase genomic accessibility by next-gen sequencing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Informatics Tools for High-Throughput Sequences Data Analysis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New Physical Methodologies for Genomic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Epigenome Interactions in Complex Neurogenetic Disorders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Decision support for dose prescription in radiation treatment planning</w:t>
            </w:r>
          </w:p>
        </w:tc>
        <w:tc>
          <w:tcPr>
            <w:tcW w:type="dxa" w:w="1728"/>
          </w:tcPr>
          <w:p>
            <w:r>
              <w:t>UNIVERSITY OF NORTH CAROLINA CHARLOTTE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High-Throughput Computing for a Multi-Plan Framework in Radiotherapy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Intelligent treatment planning for cancer radiotherapy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Organ Segmentation Tool for Radiation Treatment Planning of Cancers</w:t>
            </w:r>
          </w:p>
        </w:tc>
        <w:tc>
          <w:tcPr>
            <w:tcW w:type="dxa" w:w="1728"/>
          </w:tcPr>
          <w:p>
            <w:r>
              <w:t>CARINA MEDICAL,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Micromachined microphones with in-plane and out-of-plane directivity</w:t>
            </w:r>
          </w:p>
        </w:tc>
        <w:tc>
          <w:tcPr>
            <w:tcW w:type="dxa" w:w="1728"/>
          </w:tcPr>
          <w:p>
            <w:r>
              <w:t>SILICON AUDIO,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Optimizing Genetic Testing for Deafness for Clinical Diagnostics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User-driven fitting of hearing aids and other assistive hearing devices</w:t>
            </w:r>
          </w:p>
        </w:tc>
        <w:tc>
          <w:tcPr>
            <w:tcW w:type="dxa" w:w="1728"/>
          </w:tcPr>
          <w:p>
            <w:r>
              <w:t>CARAWAY SOFTWARE,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Individualized Signal Processing Strategy to Reduce Hearing Health Care Cost/Disp</w:t>
            </w:r>
          </w:p>
        </w:tc>
        <w:tc>
          <w:tcPr>
            <w:tcW w:type="dxa" w:w="1728"/>
          </w:tcPr>
          <w:p>
            <w:r>
              <w:t>SECURBORATION,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Mechanisms for invariance in auditory cortex: Investigations with marmoset electrophysiology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