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ARTIFICIAL INTELLIGENCE IN CEREBROVASCULAR DISEASE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UTAH IAIMS DEVELOPMENT PROJECT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G08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BREAST DIAGNOSIS:  QUANTITATIVE IMAGING BY ULTRASOUND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SYMPTOM EVOLUTION IN APHASIA: A NEUROPSYCHOLOGICAL STUDY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LONG-TERM PLASMA EXCHANGE IN FAMILIAL HYPERCHOLESTEROLEM</w:t>
            </w:r>
          </w:p>
        </w:tc>
        <w:tc>
          <w:tcPr>
            <w:tcW w:type="dxa" w:w="1728"/>
          </w:tcPr>
          <w:p>
            <w:r>
              <w:t>UNIVERSITY OF CINCINNATI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ARRAY PROCESSOR FOR MEDICAL IMAGE PROCESSING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S10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0.68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STRUCTURE DETERMINATION BY TRIPLE QUAD MASS SPECTROMETRY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PHOTOINDUCED THROMBOTIC STROKE--MECHANISMS AND THERAPY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0.59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MARKERS OF RENAL CELL CARCINOMA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R23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LOW COST OCR READER FOR THE VISUALLY IMPAIRED</w:t>
            </w:r>
          </w:p>
        </w:tc>
        <w:tc>
          <w:tcPr>
            <w:tcW w:type="dxa" w:w="1728"/>
          </w:tcPr>
          <w:p>
            <w:r>
              <w:t>ENERGY MATERIALS RESEARCH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0.002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5.7e-05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-0.00046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VISUOMOTOR COORDINATION:  NEURAL NETWORKS AND SCHEMAS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COMPUTER-BASED EXERCISE IN PATHOPHYSIOLOGIC DIAGNOSIS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THERAPY-PLANNING STRATEGIES FOR CONSULTATION BY COMPUTER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STUDIES OF THE DISSEMINATION OF CONSULTATION SYSTEMS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MICROWAVE PHASED ARRAY FOR HYPERTHERMIA CANCER THERAPY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TAPERED LINEAR ARRAY FOR ULTRASOUND HYPERTHERMIA</w:t>
            </w:r>
          </w:p>
        </w:tc>
        <w:tc>
          <w:tcPr>
            <w:tcW w:type="dxa" w:w="1728"/>
          </w:tcPr>
          <w:p>
            <w:r>
              <w:t>LABTHERMICS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NEURO-IMAGING EXPERT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IDENTIFICATION RESOURCE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NUCLEAR DNA AND MORPHOMETRIC STUDIES OF GYNECOLOGIC CANC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NEUTROPHIL AND ENDOTHELIAL/EPITHELIAL CELL INTERACTIONS</w:t>
            </w:r>
          </w:p>
        </w:tc>
        <w:tc>
          <w:tcPr>
            <w:tcW w:type="dxa" w:w="1728"/>
          </w:tcPr>
          <w:p>
            <w:r>
              <w:t>NATIONAL JEWISH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IMAGE ANALYSIS OF STAINED AND UNSTAINED MACROMOLECULES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ELECTRON MICROSCOPY AND IMAGE ANALYSIS OF POLYOMA VIRUS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