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E8B3C"/>
          <w:sz w:val="20"/>
        </w:rPr>
        <w:t>PRODUCTION LAUNCH PLAN</w:t>
      </w:r>
    </w:p>
    <w:p>
      <w:pPr>
        <w:spacing w:after="120"/>
      </w:pPr>
      <w:r>
        <w:rPr>
          <w:b/>
          <w:color w:val="073763"/>
          <w:sz w:val="56"/>
        </w:rPr>
        <w:t>Foundation Edition</w:t>
      </w:r>
    </w:p>
    <w:p>
      <w:pPr>
        <w:spacing w:after="320"/>
      </w:pPr>
      <w:r>
        <w:rPr>
          <w:color w:val="5B6873"/>
          <w:sz w:val="30"/>
        </w:rPr>
        <w:t>Secure Accounts, Multi-User Persistence, and Production Hosting</w:t>
      </w:r>
    </w:p>
    <w:tbl>
      <w:tblPr>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100" w:type="dxa"/>
              <w:start w:w="120" w:type="dxa"/>
              <w:bottom w:w="100" w:type="dxa"/>
              <w:end w:w="120" w:type="dxa"/>
            </w:tcMar>
            <w:shd w:fill="F2F4F7"/>
            <w:vAlign w:val="center"/>
          </w:tcPr>
          <w:p>
            <w:pPr>
              <w:spacing w:after="40" w:line="259" w:lineRule="auto"/>
            </w:pPr>
            <w:r>
              <w:rPr>
                <w:rFonts w:ascii="Calibri" w:hAnsi="Calibri"/>
                <w:sz w:val="18"/>
              </w:rPr>
              <w:t>Product</w:t>
              <w:br/>
              <w:t>AI Playbook, Toolkit, and Learning Modules</w:t>
            </w:r>
          </w:p>
        </w:tc>
        <w:tc>
          <w:tcPr>
            <w:tcW w:type="dxa" w:w="4680"/>
            <w:tcMar>
              <w:top w:w="100" w:type="dxa"/>
              <w:start w:w="120" w:type="dxa"/>
              <w:bottom w:w="100" w:type="dxa"/>
              <w:end w:w="120" w:type="dxa"/>
            </w:tcMar>
            <w:shd w:fill="F2F4F7"/>
            <w:vAlign w:val="center"/>
          </w:tcPr>
          <w:p>
            <w:pPr>
              <w:spacing w:after="40" w:line="259" w:lineRule="auto"/>
            </w:pPr>
            <w:r>
              <w:rPr>
                <w:rFonts w:ascii="Calibri" w:hAnsi="Calibri"/>
                <w:sz w:val="18"/>
              </w:rPr>
              <w:t>Edition</w:t>
              <w:br/>
              <w:t>Foundation Edition</w:t>
            </w:r>
          </w:p>
        </w:tc>
      </w:tr>
      <w:tr>
        <w:trPr>
          <w:cantSplit/>
        </w:trPr>
        <w:tc>
          <w:tcPr>
            <w:tcW w:type="dxa" w:w="4680"/>
            <w:tcMar>
              <w:top w:w="100" w:type="dxa"/>
              <w:start w:w="120" w:type="dxa"/>
              <w:bottom w:w="100" w:type="dxa"/>
              <w:end w:w="120" w:type="dxa"/>
            </w:tcMar>
            <w:shd w:fill="F2F4F7"/>
            <w:vAlign w:val="center"/>
          </w:tcPr>
          <w:p>
            <w:pPr>
              <w:spacing w:after="40" w:line="259" w:lineRule="auto"/>
            </w:pPr>
            <w:r>
              <w:rPr>
                <w:rFonts w:ascii="Calibri" w:hAnsi="Calibri"/>
                <w:sz w:val="18"/>
              </w:rPr>
              <w:t>Status</w:t>
              <w:br/>
              <w:t>Recommended production architecture</w:t>
            </w:r>
          </w:p>
        </w:tc>
        <w:tc>
          <w:tcPr>
            <w:tcW w:type="dxa" w:w="4680"/>
            <w:tcMar>
              <w:top w:w="100" w:type="dxa"/>
              <w:start w:w="120" w:type="dxa"/>
              <w:bottom w:w="100" w:type="dxa"/>
              <w:end w:w="120" w:type="dxa"/>
            </w:tcMar>
            <w:shd w:fill="F2F4F7"/>
            <w:vAlign w:val="center"/>
          </w:tcPr>
          <w:p>
            <w:pPr>
              <w:spacing w:after="40" w:line="259" w:lineRule="auto"/>
            </w:pPr>
            <w:r>
              <w:rPr>
                <w:rFonts w:ascii="Calibri" w:hAnsi="Calibri"/>
                <w:sz w:val="18"/>
              </w:rPr>
              <w:t>Prepared</w:t>
              <w:br/>
              <w:t>August 21, 2026</w:t>
            </w:r>
          </w:p>
        </w:tc>
      </w:tr>
    </w:tbl>
    <w:p>
      <w:pPr>
        <w:pStyle w:val="Heading1"/>
      </w:pPr>
      <w:r>
        <w:t>Executive recommendation</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shd w:fill="EDF6EE"/>
          </w:tcPr>
          <w:p>
            <w:pPr>
              <w:spacing w:after="40" w:line="259" w:lineRule="auto"/>
            </w:pPr>
            <w:r>
              <w:rPr>
                <w:rFonts w:ascii="Calibri" w:hAnsi="Calibri"/>
                <w:b/>
                <w:color w:val="073763"/>
                <w:sz w:val="18"/>
              </w:rPr>
              <w:t>Recommended launch stack</w:t>
            </w:r>
          </w:p>
          <w:p>
            <w:pPr>
              <w:spacing w:after="40" w:line="259" w:lineRule="auto"/>
            </w:pPr>
            <w:r>
              <w:rPr>
                <w:rFonts w:ascii="Calibri" w:hAnsi="Calibri"/>
                <w:sz w:val="18"/>
              </w:rPr>
              <w:t>Use Vercel Pro for application hosting and secure server functions; Supabase Pro for authentication, PostgreSQL, row-level authorization, private storage, and backups; GitHub as the canonical source and deployment trigger; Resend for account email; Sentry for monitoring; and Stripe only when paid access is introduced.</w:t>
            </w:r>
          </w:p>
        </w:tc>
      </w:tr>
    </w:tbl>
    <w:p>
      <w:pPr>
        <w:spacing w:after="0"/>
      </w:pPr>
    </w:p>
    <w:p>
      <w:r>
        <w:t>The current Foundation site can remain visually familiar, but browser-only accounts and localStorage must be replaced before a genuine multi-user launch. The production system should preserve GitHub as the source of truth for plays, tools, learning modules, graphics, and release metadata while storing private member activity in a managed database.</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shd w:fill="FFF4D6"/>
          </w:tcPr>
          <w:p>
            <w:pPr>
              <w:spacing w:after="40" w:line="259" w:lineRule="auto"/>
            </w:pPr>
            <w:r>
              <w:rPr>
                <w:rFonts w:ascii="Calibri" w:hAnsi="Calibri"/>
                <w:b/>
                <w:color w:val="073763"/>
                <w:sz w:val="18"/>
              </w:rPr>
              <w:t>Launch boundary</w:t>
            </w:r>
          </w:p>
          <w:p>
            <w:pPr>
              <w:spacing w:after="40" w:line="259" w:lineRule="auto"/>
            </w:pPr>
            <w:r>
              <w:rPr>
                <w:rFonts w:ascii="Calibri" w:hAnsi="Calibri"/>
                <w:sz w:val="18"/>
              </w:rPr>
              <w:t>Foundation should launch as a deliberately non-PHI service. Users must be instructed not to enter protected health information, personally identifiable information, confidential agency information, credentials, or sensitive incident details.</w:t>
            </w:r>
          </w:p>
        </w:tc>
      </w:tr>
    </w:tbl>
    <w:p>
      <w:pPr>
        <w:spacing w:after="0"/>
      </w:pPr>
    </w:p>
    <w:p>
      <w:pPr>
        <w:pStyle w:val="Heading1"/>
      </w:pPr>
      <w:r>
        <w:t>1. Target production architecture</w:t>
      </w:r>
    </w:p>
    <w:p>
      <w:r>
        <w:t>The launch architecture separates public content, authenticated application activity, and privileged administration. This reduces the risk of mixing intellectual property, public pages, and private member records in one unstructured code layer.</w:t>
      </w:r>
    </w:p>
    <w:tbl>
      <w:tblPr>
        <w:tblW w:type="dxa" w:w="9360"/>
        <w:jc w:val="left"/>
        <w:tblLayout w:type="fixed"/>
        <w:tblLook w:firstColumn="1" w:firstRow="1" w:lastColumn="0" w:lastRow="0" w:noHBand="0" w:noVBand="1" w:val="04A0"/>
        <w:tblInd w:w="120" w:type="dxa"/>
      </w:tblPr>
      <w:tblGrid>
        <w:gridCol w:w="1850"/>
        <w:gridCol w:w="2500"/>
        <w:gridCol w:w="2510"/>
        <w:gridCol w:w="2500"/>
      </w:tblGrid>
      <w:tr>
        <w:trPr>
          <w:tblHeader w:val="true"/>
          <w:cantSplit/>
        </w:trPr>
        <w:tc>
          <w:tcPr>
            <w:tcW w:type="dxa" w:w="1850"/>
            <w:tcMar>
              <w:top w:w="100" w:type="dxa"/>
              <w:start w:w="120" w:type="dxa"/>
              <w:bottom w:w="100" w:type="dxa"/>
              <w:end w:w="120" w:type="dxa"/>
            </w:tcMar>
            <w:shd w:fill="073763"/>
          </w:tcPr>
          <w:p>
            <w:pPr>
              <w:spacing w:after="40" w:line="259" w:lineRule="auto"/>
            </w:pPr>
            <w:r>
              <w:rPr>
                <w:rFonts w:ascii="Calibri" w:hAnsi="Calibri"/>
                <w:b/>
                <w:color w:val="FFFFFF"/>
                <w:sz w:val="18"/>
              </w:rPr>
              <w:t>Layer</w:t>
            </w:r>
          </w:p>
        </w:tc>
        <w:tc>
          <w:tcPr>
            <w:tcW w:type="dxa" w:w="2500"/>
            <w:tcMar>
              <w:top w:w="100" w:type="dxa"/>
              <w:start w:w="120" w:type="dxa"/>
              <w:bottom w:w="100" w:type="dxa"/>
              <w:end w:w="120" w:type="dxa"/>
            </w:tcMar>
            <w:shd w:fill="073763"/>
          </w:tcPr>
          <w:p>
            <w:pPr>
              <w:spacing w:after="40" w:line="259" w:lineRule="auto"/>
            </w:pPr>
            <w:r>
              <w:rPr>
                <w:rFonts w:ascii="Calibri" w:hAnsi="Calibri"/>
                <w:b/>
                <w:color w:val="FFFFFF"/>
                <w:sz w:val="18"/>
              </w:rPr>
              <w:t>Recommended service</w:t>
            </w:r>
          </w:p>
        </w:tc>
        <w:tc>
          <w:tcPr>
            <w:tcW w:type="dxa" w:w="2510"/>
            <w:tcMar>
              <w:top w:w="100" w:type="dxa"/>
              <w:start w:w="120" w:type="dxa"/>
              <w:bottom w:w="100" w:type="dxa"/>
              <w:end w:w="120" w:type="dxa"/>
            </w:tcMar>
            <w:shd w:fill="073763"/>
          </w:tcPr>
          <w:p>
            <w:pPr>
              <w:spacing w:after="40" w:line="259" w:lineRule="auto"/>
            </w:pPr>
            <w:r>
              <w:rPr>
                <w:rFonts w:ascii="Calibri" w:hAnsi="Calibri"/>
                <w:b/>
                <w:color w:val="FFFFFF"/>
                <w:sz w:val="18"/>
              </w:rPr>
              <w:t>Primary responsibility</w:t>
            </w:r>
          </w:p>
        </w:tc>
        <w:tc>
          <w:tcPr>
            <w:tcW w:type="dxa" w:w="2500"/>
            <w:tcMar>
              <w:top w:w="100" w:type="dxa"/>
              <w:start w:w="120" w:type="dxa"/>
              <w:bottom w:w="100" w:type="dxa"/>
              <w:end w:w="120" w:type="dxa"/>
            </w:tcMar>
            <w:shd w:fill="073763"/>
          </w:tcPr>
          <w:p>
            <w:pPr>
              <w:spacing w:after="40" w:line="259" w:lineRule="auto"/>
            </w:pPr>
            <w:r>
              <w:rPr>
                <w:rFonts w:ascii="Calibri" w:hAnsi="Calibri"/>
                <w:b/>
                <w:color w:val="FFFFFF"/>
                <w:sz w:val="18"/>
              </w:rPr>
              <w:t>Security boundary</w:t>
            </w:r>
          </w:p>
        </w:tc>
      </w:tr>
      <w:tr>
        <w:trPr>
          <w:cantSplit/>
        </w:trPr>
        <w:tc>
          <w:tcPr>
            <w:tcW w:type="dxa" w:w="1850"/>
          </w:tcPr>
          <w:p>
            <w:pPr>
              <w:spacing w:after="40" w:line="259" w:lineRule="auto"/>
            </w:pPr>
            <w:r>
              <w:rPr>
                <w:rFonts w:ascii="Calibri" w:hAnsi="Calibri"/>
                <w:sz w:val="18"/>
              </w:rPr>
              <w:t>Domain and edge</w:t>
            </w:r>
          </w:p>
        </w:tc>
        <w:tc>
          <w:tcPr>
            <w:tcW w:type="dxa" w:w="2500"/>
          </w:tcPr>
          <w:p>
            <w:pPr>
              <w:spacing w:after="40" w:line="259" w:lineRule="auto"/>
            </w:pPr>
            <w:r>
              <w:rPr>
                <w:rFonts w:ascii="Calibri" w:hAnsi="Calibri"/>
                <w:sz w:val="18"/>
              </w:rPr>
              <w:t>Vercel; optional Cloudflare DNS</w:t>
            </w:r>
          </w:p>
        </w:tc>
        <w:tc>
          <w:tcPr>
            <w:tcW w:type="dxa" w:w="2510"/>
          </w:tcPr>
          <w:p>
            <w:pPr>
              <w:spacing w:after="40" w:line="259" w:lineRule="auto"/>
            </w:pPr>
            <w:r>
              <w:rPr>
                <w:rFonts w:ascii="Calibri" w:hAnsi="Calibri"/>
                <w:sz w:val="18"/>
              </w:rPr>
              <w:t>HTTPS, routing, caching, firewall, rate limiting</w:t>
            </w:r>
          </w:p>
        </w:tc>
        <w:tc>
          <w:tcPr>
            <w:tcW w:type="dxa" w:w="2500"/>
          </w:tcPr>
          <w:p>
            <w:pPr>
              <w:spacing w:after="40" w:line="259" w:lineRule="auto"/>
            </w:pPr>
            <w:r>
              <w:rPr>
                <w:rFonts w:ascii="Calibri" w:hAnsi="Calibri"/>
                <w:sz w:val="18"/>
              </w:rPr>
              <w:t>Public internet boundary</w:t>
            </w:r>
          </w:p>
        </w:tc>
      </w:tr>
      <w:tr>
        <w:trPr>
          <w:cantSplit/>
        </w:trPr>
        <w:tc>
          <w:tcPr>
            <w:tcW w:type="dxa" w:w="1850"/>
          </w:tcPr>
          <w:p>
            <w:pPr>
              <w:spacing w:after="40" w:line="259" w:lineRule="auto"/>
            </w:pPr>
            <w:r>
              <w:rPr>
                <w:rFonts w:ascii="Calibri" w:hAnsi="Calibri"/>
                <w:sz w:val="18"/>
              </w:rPr>
              <w:t>Application</w:t>
            </w:r>
          </w:p>
        </w:tc>
        <w:tc>
          <w:tcPr>
            <w:tcW w:type="dxa" w:w="2500"/>
          </w:tcPr>
          <w:p>
            <w:pPr>
              <w:spacing w:after="40" w:line="259" w:lineRule="auto"/>
            </w:pPr>
            <w:r>
              <w:rPr>
                <w:rFonts w:ascii="Calibri" w:hAnsi="Calibri"/>
                <w:sz w:val="18"/>
              </w:rPr>
              <w:t>Existing JavaScript UI, progressively modularized</w:t>
            </w:r>
          </w:p>
        </w:tc>
        <w:tc>
          <w:tcPr>
            <w:tcW w:type="dxa" w:w="2510"/>
          </w:tcPr>
          <w:p>
            <w:pPr>
              <w:spacing w:after="40" w:line="259" w:lineRule="auto"/>
            </w:pPr>
            <w:r>
              <w:rPr>
                <w:rFonts w:ascii="Calibri" w:hAnsi="Calibri"/>
                <w:sz w:val="18"/>
              </w:rPr>
              <w:t>Foundation pages, account screens, tools, assessments</w:t>
            </w:r>
          </w:p>
        </w:tc>
        <w:tc>
          <w:tcPr>
            <w:tcW w:type="dxa" w:w="2500"/>
          </w:tcPr>
          <w:p>
            <w:pPr>
              <w:spacing w:after="40" w:line="259" w:lineRule="auto"/>
            </w:pPr>
            <w:r>
              <w:rPr>
                <w:rFonts w:ascii="Calibri" w:hAnsi="Calibri"/>
                <w:sz w:val="18"/>
              </w:rPr>
              <w:t>No privileged secrets in browser code</w:t>
            </w:r>
          </w:p>
        </w:tc>
      </w:tr>
      <w:tr>
        <w:trPr>
          <w:cantSplit/>
        </w:trPr>
        <w:tc>
          <w:tcPr>
            <w:tcW w:type="dxa" w:w="1850"/>
          </w:tcPr>
          <w:p>
            <w:pPr>
              <w:spacing w:after="40" w:line="259" w:lineRule="auto"/>
            </w:pPr>
            <w:r>
              <w:rPr>
                <w:rFonts w:ascii="Calibri" w:hAnsi="Calibri"/>
                <w:sz w:val="18"/>
              </w:rPr>
              <w:t>Server operations</w:t>
            </w:r>
          </w:p>
        </w:tc>
        <w:tc>
          <w:tcPr>
            <w:tcW w:type="dxa" w:w="2500"/>
          </w:tcPr>
          <w:p>
            <w:pPr>
              <w:spacing w:after="40" w:line="259" w:lineRule="auto"/>
            </w:pPr>
            <w:r>
              <w:rPr>
                <w:rFonts w:ascii="Calibri" w:hAnsi="Calibri"/>
                <w:sz w:val="18"/>
              </w:rPr>
              <w:t>Vercel server functions</w:t>
            </w:r>
          </w:p>
        </w:tc>
        <w:tc>
          <w:tcPr>
            <w:tcW w:type="dxa" w:w="2510"/>
          </w:tcPr>
          <w:p>
            <w:pPr>
              <w:spacing w:after="40" w:line="259" w:lineRule="auto"/>
            </w:pPr>
            <w:r>
              <w:rPr>
                <w:rFonts w:ascii="Calibri" w:hAnsi="Calibri"/>
                <w:sz w:val="18"/>
              </w:rPr>
              <w:t>Administrative actions, webhooks, signed downloads</w:t>
            </w:r>
          </w:p>
        </w:tc>
        <w:tc>
          <w:tcPr>
            <w:tcW w:type="dxa" w:w="2500"/>
          </w:tcPr>
          <w:p>
            <w:pPr>
              <w:spacing w:after="40" w:line="259" w:lineRule="auto"/>
            </w:pPr>
            <w:r>
              <w:rPr>
                <w:rFonts w:ascii="Calibri" w:hAnsi="Calibri"/>
                <w:sz w:val="18"/>
              </w:rPr>
              <w:t>Server-only credentials</w:t>
            </w:r>
          </w:p>
        </w:tc>
      </w:tr>
      <w:tr>
        <w:trPr>
          <w:cantSplit/>
        </w:trPr>
        <w:tc>
          <w:tcPr>
            <w:tcW w:type="dxa" w:w="1850"/>
          </w:tcPr>
          <w:p>
            <w:pPr>
              <w:spacing w:after="40" w:line="259" w:lineRule="auto"/>
            </w:pPr>
            <w:r>
              <w:rPr>
                <w:rFonts w:ascii="Calibri" w:hAnsi="Calibri"/>
                <w:sz w:val="18"/>
              </w:rPr>
              <w:t>Identity and data</w:t>
            </w:r>
          </w:p>
        </w:tc>
        <w:tc>
          <w:tcPr>
            <w:tcW w:type="dxa" w:w="2500"/>
          </w:tcPr>
          <w:p>
            <w:pPr>
              <w:spacing w:after="40" w:line="259" w:lineRule="auto"/>
            </w:pPr>
            <w:r>
              <w:rPr>
                <w:rFonts w:ascii="Calibri" w:hAnsi="Calibri"/>
                <w:sz w:val="18"/>
              </w:rPr>
              <w:t>Supabase Auth and PostgreSQL</w:t>
            </w:r>
          </w:p>
        </w:tc>
        <w:tc>
          <w:tcPr>
            <w:tcW w:type="dxa" w:w="2510"/>
          </w:tcPr>
          <w:p>
            <w:pPr>
              <w:spacing w:after="40" w:line="259" w:lineRule="auto"/>
            </w:pPr>
            <w:r>
              <w:rPr>
                <w:rFonts w:ascii="Calibri" w:hAnsi="Calibri"/>
                <w:sz w:val="18"/>
              </w:rPr>
              <w:t>Users, roles, progress, assessments, reviews</w:t>
            </w:r>
          </w:p>
        </w:tc>
        <w:tc>
          <w:tcPr>
            <w:tcW w:type="dxa" w:w="2500"/>
          </w:tcPr>
          <w:p>
            <w:pPr>
              <w:spacing w:after="40" w:line="259" w:lineRule="auto"/>
            </w:pPr>
            <w:r>
              <w:rPr>
                <w:rFonts w:ascii="Calibri" w:hAnsi="Calibri"/>
                <w:sz w:val="18"/>
              </w:rPr>
              <w:t>RLS on every exposed table</w:t>
            </w:r>
          </w:p>
        </w:tc>
      </w:tr>
      <w:tr>
        <w:trPr>
          <w:cantSplit/>
        </w:trPr>
        <w:tc>
          <w:tcPr>
            <w:tcW w:type="dxa" w:w="1850"/>
          </w:tcPr>
          <w:p>
            <w:pPr>
              <w:spacing w:after="40" w:line="259" w:lineRule="auto"/>
            </w:pPr>
            <w:r>
              <w:rPr>
                <w:rFonts w:ascii="Calibri" w:hAnsi="Calibri"/>
                <w:sz w:val="18"/>
              </w:rPr>
              <w:t>Private files</w:t>
            </w:r>
          </w:p>
        </w:tc>
        <w:tc>
          <w:tcPr>
            <w:tcW w:type="dxa" w:w="2500"/>
          </w:tcPr>
          <w:p>
            <w:pPr>
              <w:spacing w:after="40" w:line="259" w:lineRule="auto"/>
            </w:pPr>
            <w:r>
              <w:rPr>
                <w:rFonts w:ascii="Calibri" w:hAnsi="Calibri"/>
                <w:sz w:val="18"/>
              </w:rPr>
              <w:t>Supabase Storage</w:t>
            </w:r>
          </w:p>
        </w:tc>
        <w:tc>
          <w:tcPr>
            <w:tcW w:type="dxa" w:w="2510"/>
          </w:tcPr>
          <w:p>
            <w:pPr>
              <w:spacing w:after="40" w:line="259" w:lineRule="auto"/>
            </w:pPr>
            <w:r>
              <w:rPr>
                <w:rFonts w:ascii="Calibri" w:hAnsi="Calibri"/>
                <w:sz w:val="18"/>
              </w:rPr>
              <w:t>Completed documents and restricted reviewer files</w:t>
            </w:r>
          </w:p>
        </w:tc>
        <w:tc>
          <w:tcPr>
            <w:tcW w:type="dxa" w:w="2500"/>
          </w:tcPr>
          <w:p>
            <w:pPr>
              <w:spacing w:after="40" w:line="259" w:lineRule="auto"/>
            </w:pPr>
            <w:r>
              <w:rPr>
                <w:rFonts w:ascii="Calibri" w:hAnsi="Calibri"/>
                <w:sz w:val="18"/>
              </w:rPr>
              <w:t>Private buckets and expiring links</w:t>
            </w:r>
          </w:p>
        </w:tc>
      </w:tr>
      <w:tr>
        <w:trPr>
          <w:cantSplit/>
        </w:trPr>
        <w:tc>
          <w:tcPr>
            <w:tcW w:type="dxa" w:w="1850"/>
          </w:tcPr>
          <w:p>
            <w:pPr>
              <w:spacing w:after="40" w:line="259" w:lineRule="auto"/>
            </w:pPr>
            <w:r>
              <w:rPr>
                <w:rFonts w:ascii="Calibri" w:hAnsi="Calibri"/>
                <w:sz w:val="18"/>
              </w:rPr>
              <w:t>Operations</w:t>
            </w:r>
          </w:p>
        </w:tc>
        <w:tc>
          <w:tcPr>
            <w:tcW w:type="dxa" w:w="2500"/>
          </w:tcPr>
          <w:p>
            <w:pPr>
              <w:spacing w:after="40" w:line="259" w:lineRule="auto"/>
            </w:pPr>
            <w:r>
              <w:rPr>
                <w:rFonts w:ascii="Calibri" w:hAnsi="Calibri"/>
                <w:sz w:val="18"/>
              </w:rPr>
              <w:t>GitHub Actions, Sentry, Resend</w:t>
            </w:r>
          </w:p>
        </w:tc>
        <w:tc>
          <w:tcPr>
            <w:tcW w:type="dxa" w:w="2510"/>
          </w:tcPr>
          <w:p>
            <w:pPr>
              <w:spacing w:after="40" w:line="259" w:lineRule="auto"/>
            </w:pPr>
            <w:r>
              <w:rPr>
                <w:rFonts w:ascii="Calibri" w:hAnsi="Calibri"/>
                <w:sz w:val="18"/>
              </w:rPr>
              <w:t>Testing, monitoring, account email</w:t>
            </w:r>
          </w:p>
        </w:tc>
        <w:tc>
          <w:tcPr>
            <w:tcW w:type="dxa" w:w="2500"/>
          </w:tcPr>
          <w:p>
            <w:pPr>
              <w:spacing w:after="40" w:line="259" w:lineRule="auto"/>
            </w:pPr>
            <w:r>
              <w:rPr>
                <w:rFonts w:ascii="Calibri" w:hAnsi="Calibri"/>
                <w:sz w:val="18"/>
              </w:rPr>
              <w:t>Least-privilege service access</w:t>
            </w:r>
          </w:p>
        </w:tc>
      </w:tr>
    </w:tbl>
    <w:p>
      <w:pPr>
        <w:pStyle w:val="Heading1"/>
      </w:pPr>
      <w:r>
        <w:t>2. Recommended services</w:t>
      </w:r>
    </w:p>
    <w:tbl>
      <w:tblPr>
        <w:tblW w:type="dxa" w:w="9360"/>
        <w:jc w:val="left"/>
        <w:tblLayout w:type="fixed"/>
        <w:tblLook w:firstColumn="1" w:firstRow="1" w:lastColumn="0" w:lastRow="0" w:noHBand="0" w:noVBand="1" w:val="04A0"/>
        <w:tblInd w:w="120" w:type="dxa"/>
      </w:tblPr>
      <w:tblGrid>
        <w:gridCol w:w="2100"/>
        <w:gridCol w:w="2200"/>
        <w:gridCol w:w="5060"/>
      </w:tblGrid>
      <w:tr>
        <w:trPr>
          <w:tblHeader w:val="true"/>
          <w:cantSplit/>
        </w:trPr>
        <w:tc>
          <w:tcPr>
            <w:tcW w:type="dxa" w:w="2100"/>
            <w:tcMar>
              <w:top w:w="100" w:type="dxa"/>
              <w:start w:w="120" w:type="dxa"/>
              <w:bottom w:w="100" w:type="dxa"/>
              <w:end w:w="120" w:type="dxa"/>
            </w:tcMar>
            <w:shd w:fill="0068B7"/>
          </w:tcPr>
          <w:p>
            <w:pPr>
              <w:spacing w:after="40" w:line="259" w:lineRule="auto"/>
            </w:pPr>
            <w:r>
              <w:rPr>
                <w:rFonts w:ascii="Calibri" w:hAnsi="Calibri"/>
                <w:b/>
                <w:color w:val="FFFFFF"/>
                <w:sz w:val="18"/>
              </w:rPr>
              <w:t>Component</w:t>
            </w:r>
          </w:p>
        </w:tc>
        <w:tc>
          <w:tcPr>
            <w:tcW w:type="dxa" w:w="2200"/>
            <w:tcMar>
              <w:top w:w="100" w:type="dxa"/>
              <w:start w:w="120" w:type="dxa"/>
              <w:bottom w:w="100" w:type="dxa"/>
              <w:end w:w="120" w:type="dxa"/>
            </w:tcMar>
            <w:shd w:fill="0068B7"/>
          </w:tcPr>
          <w:p>
            <w:pPr>
              <w:spacing w:after="40" w:line="259" w:lineRule="auto"/>
            </w:pPr>
            <w:r>
              <w:rPr>
                <w:rFonts w:ascii="Calibri" w:hAnsi="Calibri"/>
                <w:b/>
                <w:color w:val="FFFFFF"/>
                <w:sz w:val="18"/>
              </w:rPr>
              <w:t>Recommendation</w:t>
            </w:r>
          </w:p>
        </w:tc>
        <w:tc>
          <w:tcPr>
            <w:tcW w:type="dxa" w:w="5060"/>
            <w:tcMar>
              <w:top w:w="100" w:type="dxa"/>
              <w:start w:w="120" w:type="dxa"/>
              <w:bottom w:w="100" w:type="dxa"/>
              <w:end w:w="120" w:type="dxa"/>
            </w:tcMar>
            <w:shd w:fill="0068B7"/>
          </w:tcPr>
          <w:p>
            <w:pPr>
              <w:spacing w:after="40" w:line="259" w:lineRule="auto"/>
            </w:pPr>
            <w:r>
              <w:rPr>
                <w:rFonts w:ascii="Calibri" w:hAnsi="Calibri"/>
                <w:b/>
                <w:color w:val="FFFFFF"/>
                <w:sz w:val="18"/>
              </w:rPr>
              <w:t>Why it fits Foundation</w:t>
            </w:r>
          </w:p>
        </w:tc>
      </w:tr>
      <w:tr>
        <w:trPr>
          <w:cantSplit/>
        </w:trPr>
        <w:tc>
          <w:tcPr>
            <w:tcW w:type="dxa" w:w="2100"/>
          </w:tcPr>
          <w:p>
            <w:pPr>
              <w:spacing w:after="40" w:line="259" w:lineRule="auto"/>
            </w:pPr>
            <w:r>
              <w:rPr>
                <w:rFonts w:ascii="Calibri" w:hAnsi="Calibri"/>
                <w:sz w:val="18"/>
              </w:rPr>
              <w:t>Source control</w:t>
            </w:r>
          </w:p>
        </w:tc>
        <w:tc>
          <w:tcPr>
            <w:tcW w:type="dxa" w:w="2200"/>
          </w:tcPr>
          <w:p>
            <w:pPr>
              <w:spacing w:after="40" w:line="259" w:lineRule="auto"/>
            </w:pPr>
            <w:r>
              <w:rPr>
                <w:rFonts w:ascii="Calibri" w:hAnsi="Calibri"/>
                <w:sz w:val="18"/>
              </w:rPr>
              <w:t>GitHub</w:t>
            </w:r>
          </w:p>
        </w:tc>
        <w:tc>
          <w:tcPr>
            <w:tcW w:type="dxa" w:w="5060"/>
          </w:tcPr>
          <w:p>
            <w:pPr>
              <w:spacing w:after="40" w:line="259" w:lineRule="auto"/>
            </w:pPr>
            <w:r>
              <w:rPr>
                <w:rFonts w:ascii="Calibri" w:hAnsi="Calibri"/>
                <w:sz w:val="18"/>
              </w:rPr>
              <w:t>Canonical code, content, graphics, migrations, review history, and release tags.</w:t>
            </w:r>
          </w:p>
        </w:tc>
      </w:tr>
      <w:tr>
        <w:trPr>
          <w:cantSplit/>
        </w:trPr>
        <w:tc>
          <w:tcPr>
            <w:tcW w:type="dxa" w:w="2100"/>
          </w:tcPr>
          <w:p>
            <w:pPr>
              <w:spacing w:after="40" w:line="259" w:lineRule="auto"/>
            </w:pPr>
            <w:r>
              <w:rPr>
                <w:rFonts w:ascii="Calibri" w:hAnsi="Calibri"/>
                <w:sz w:val="18"/>
              </w:rPr>
              <w:t>Hosting</w:t>
            </w:r>
          </w:p>
        </w:tc>
        <w:tc>
          <w:tcPr>
            <w:tcW w:type="dxa" w:w="2200"/>
          </w:tcPr>
          <w:p>
            <w:pPr>
              <w:spacing w:after="40" w:line="259" w:lineRule="auto"/>
            </w:pPr>
            <w:r>
              <w:rPr>
                <w:rFonts w:ascii="Calibri" w:hAnsi="Calibri"/>
                <w:sz w:val="18"/>
              </w:rPr>
              <w:t>Vercel Pro</w:t>
            </w:r>
          </w:p>
        </w:tc>
        <w:tc>
          <w:tcPr>
            <w:tcW w:type="dxa" w:w="5060"/>
          </w:tcPr>
          <w:p>
            <w:pPr>
              <w:spacing w:after="40" w:line="259" w:lineRule="auto"/>
            </w:pPr>
            <w:r>
              <w:rPr>
                <w:rFonts w:ascii="Calibri" w:hAnsi="Calibri"/>
                <w:sz w:val="18"/>
              </w:rPr>
              <w:t>Automatic branch previews, production deployment from main, HTTPS, rollback, server functions, and firewall controls.</w:t>
            </w:r>
          </w:p>
        </w:tc>
      </w:tr>
      <w:tr>
        <w:trPr>
          <w:cantSplit/>
        </w:trPr>
        <w:tc>
          <w:tcPr>
            <w:tcW w:type="dxa" w:w="2100"/>
          </w:tcPr>
          <w:p>
            <w:pPr>
              <w:spacing w:after="40" w:line="259" w:lineRule="auto"/>
            </w:pPr>
            <w:r>
              <w:rPr>
                <w:rFonts w:ascii="Calibri" w:hAnsi="Calibri"/>
                <w:sz w:val="18"/>
              </w:rPr>
              <w:t>Database</w:t>
            </w:r>
          </w:p>
        </w:tc>
        <w:tc>
          <w:tcPr>
            <w:tcW w:type="dxa" w:w="2200"/>
          </w:tcPr>
          <w:p>
            <w:pPr>
              <w:spacing w:after="40" w:line="259" w:lineRule="auto"/>
            </w:pPr>
            <w:r>
              <w:rPr>
                <w:rFonts w:ascii="Calibri" w:hAnsi="Calibri"/>
                <w:sz w:val="18"/>
              </w:rPr>
              <w:t>Supabase Postgres</w:t>
            </w:r>
          </w:p>
        </w:tc>
        <w:tc>
          <w:tcPr>
            <w:tcW w:type="dxa" w:w="5060"/>
          </w:tcPr>
          <w:p>
            <w:pPr>
              <w:spacing w:after="40" w:line="259" w:lineRule="auto"/>
            </w:pPr>
            <w:r>
              <w:rPr>
                <w:rFonts w:ascii="Calibri" w:hAnsi="Calibri"/>
                <w:sz w:val="18"/>
              </w:rPr>
              <w:t>Relational records for users, tools, learning, reviewer workflows, permissions, and audit history.</w:t>
            </w:r>
          </w:p>
        </w:tc>
      </w:tr>
      <w:tr>
        <w:trPr>
          <w:cantSplit/>
        </w:trPr>
        <w:tc>
          <w:tcPr>
            <w:tcW w:type="dxa" w:w="2100"/>
          </w:tcPr>
          <w:p>
            <w:pPr>
              <w:spacing w:after="40" w:line="259" w:lineRule="auto"/>
            </w:pPr>
            <w:r>
              <w:rPr>
                <w:rFonts w:ascii="Calibri" w:hAnsi="Calibri"/>
                <w:sz w:val="18"/>
              </w:rPr>
              <w:t>Authentication</w:t>
            </w:r>
          </w:p>
        </w:tc>
        <w:tc>
          <w:tcPr>
            <w:tcW w:type="dxa" w:w="2200"/>
          </w:tcPr>
          <w:p>
            <w:pPr>
              <w:spacing w:after="40" w:line="259" w:lineRule="auto"/>
            </w:pPr>
            <w:r>
              <w:rPr>
                <w:rFonts w:ascii="Calibri" w:hAnsi="Calibri"/>
                <w:sz w:val="18"/>
              </w:rPr>
              <w:t>Supabase Auth</w:t>
            </w:r>
          </w:p>
        </w:tc>
        <w:tc>
          <w:tcPr>
            <w:tcW w:type="dxa" w:w="5060"/>
          </w:tcPr>
          <w:p>
            <w:pPr>
              <w:spacing w:after="40" w:line="259" w:lineRule="auto"/>
            </w:pPr>
            <w:r>
              <w:rPr>
                <w:rFonts w:ascii="Calibri" w:hAnsi="Calibri"/>
                <w:sz w:val="18"/>
              </w:rPr>
              <w:t>Verified email, password or magic-link flows, recovery, JWT sessions, MFA, and future SSO options.</w:t>
            </w:r>
          </w:p>
        </w:tc>
      </w:tr>
      <w:tr>
        <w:trPr>
          <w:cantSplit/>
        </w:trPr>
        <w:tc>
          <w:tcPr>
            <w:tcW w:type="dxa" w:w="2100"/>
          </w:tcPr>
          <w:p>
            <w:pPr>
              <w:spacing w:after="40" w:line="259" w:lineRule="auto"/>
            </w:pPr>
            <w:r>
              <w:rPr>
                <w:rFonts w:ascii="Calibri" w:hAnsi="Calibri"/>
                <w:sz w:val="18"/>
              </w:rPr>
              <w:t>Authorization</w:t>
            </w:r>
          </w:p>
        </w:tc>
        <w:tc>
          <w:tcPr>
            <w:tcW w:type="dxa" w:w="2200"/>
          </w:tcPr>
          <w:p>
            <w:pPr>
              <w:spacing w:after="40" w:line="259" w:lineRule="auto"/>
            </w:pPr>
            <w:r>
              <w:rPr>
                <w:rFonts w:ascii="Calibri" w:hAnsi="Calibri"/>
                <w:sz w:val="18"/>
              </w:rPr>
              <w:t>Postgres RLS</w:t>
            </w:r>
          </w:p>
        </w:tc>
        <w:tc>
          <w:tcPr>
            <w:tcW w:type="dxa" w:w="5060"/>
          </w:tcPr>
          <w:p>
            <w:pPr>
              <w:spacing w:after="40" w:line="259" w:lineRule="auto"/>
            </w:pPr>
            <w:r>
              <w:rPr>
                <w:rFonts w:ascii="Calibri" w:hAnsi="Calibri"/>
                <w:sz w:val="18"/>
              </w:rPr>
              <w:t>Database-enforced isolation between users, reviewers, and administrators.</w:t>
            </w:r>
          </w:p>
        </w:tc>
      </w:tr>
      <w:tr>
        <w:trPr>
          <w:cantSplit/>
        </w:trPr>
        <w:tc>
          <w:tcPr>
            <w:tcW w:type="dxa" w:w="2100"/>
          </w:tcPr>
          <w:p>
            <w:pPr>
              <w:spacing w:after="40" w:line="259" w:lineRule="auto"/>
            </w:pPr>
            <w:r>
              <w:rPr>
                <w:rFonts w:ascii="Calibri" w:hAnsi="Calibri"/>
                <w:sz w:val="18"/>
              </w:rPr>
              <w:t>Storage</w:t>
            </w:r>
          </w:p>
        </w:tc>
        <w:tc>
          <w:tcPr>
            <w:tcW w:type="dxa" w:w="2200"/>
          </w:tcPr>
          <w:p>
            <w:pPr>
              <w:spacing w:after="40" w:line="259" w:lineRule="auto"/>
            </w:pPr>
            <w:r>
              <w:rPr>
                <w:rFonts w:ascii="Calibri" w:hAnsi="Calibri"/>
                <w:sz w:val="18"/>
              </w:rPr>
              <w:t>Supabase Storage</w:t>
            </w:r>
          </w:p>
        </w:tc>
        <w:tc>
          <w:tcPr>
            <w:tcW w:type="dxa" w:w="5060"/>
          </w:tcPr>
          <w:p>
            <w:pPr>
              <w:spacing w:after="40" w:line="259" w:lineRule="auto"/>
            </w:pPr>
            <w:r>
              <w:rPr>
                <w:rFonts w:ascii="Calibri" w:hAnsi="Calibri"/>
                <w:sz w:val="18"/>
              </w:rPr>
              <w:t>Private files with policy-based access and time-limited signed links.</w:t>
            </w:r>
          </w:p>
        </w:tc>
      </w:tr>
      <w:tr>
        <w:trPr>
          <w:cantSplit/>
        </w:trPr>
        <w:tc>
          <w:tcPr>
            <w:tcW w:type="dxa" w:w="2100"/>
          </w:tcPr>
          <w:p>
            <w:pPr>
              <w:spacing w:after="40" w:line="259" w:lineRule="auto"/>
            </w:pPr>
            <w:r>
              <w:rPr>
                <w:rFonts w:ascii="Calibri" w:hAnsi="Calibri"/>
                <w:sz w:val="18"/>
              </w:rPr>
              <w:t>Email</w:t>
            </w:r>
          </w:p>
        </w:tc>
        <w:tc>
          <w:tcPr>
            <w:tcW w:type="dxa" w:w="2200"/>
          </w:tcPr>
          <w:p>
            <w:pPr>
              <w:spacing w:after="40" w:line="259" w:lineRule="auto"/>
            </w:pPr>
            <w:r>
              <w:rPr>
                <w:rFonts w:ascii="Calibri" w:hAnsi="Calibri"/>
                <w:sz w:val="18"/>
              </w:rPr>
              <w:t>Resend</w:t>
            </w:r>
          </w:p>
        </w:tc>
        <w:tc>
          <w:tcPr>
            <w:tcW w:type="dxa" w:w="5060"/>
          </w:tcPr>
          <w:p>
            <w:pPr>
              <w:spacing w:after="40" w:line="259" w:lineRule="auto"/>
            </w:pPr>
            <w:r>
              <w:rPr>
                <w:rFonts w:ascii="Calibri" w:hAnsi="Calibri"/>
                <w:sz w:val="18"/>
              </w:rPr>
              <w:t>Verification, reset, reviewer-assignment, and operational notification messages.</w:t>
            </w:r>
          </w:p>
        </w:tc>
      </w:tr>
      <w:tr>
        <w:trPr>
          <w:cantSplit/>
        </w:trPr>
        <w:tc>
          <w:tcPr>
            <w:tcW w:type="dxa" w:w="2100"/>
          </w:tcPr>
          <w:p>
            <w:pPr>
              <w:spacing w:after="40" w:line="259" w:lineRule="auto"/>
            </w:pPr>
            <w:r>
              <w:rPr>
                <w:rFonts w:ascii="Calibri" w:hAnsi="Calibri"/>
                <w:sz w:val="18"/>
              </w:rPr>
              <w:t>Monitoring</w:t>
            </w:r>
          </w:p>
        </w:tc>
        <w:tc>
          <w:tcPr>
            <w:tcW w:type="dxa" w:w="2200"/>
          </w:tcPr>
          <w:p>
            <w:pPr>
              <w:spacing w:after="40" w:line="259" w:lineRule="auto"/>
            </w:pPr>
            <w:r>
              <w:rPr>
                <w:rFonts w:ascii="Calibri" w:hAnsi="Calibri"/>
                <w:sz w:val="18"/>
              </w:rPr>
              <w:t>Sentry</w:t>
            </w:r>
          </w:p>
        </w:tc>
        <w:tc>
          <w:tcPr>
            <w:tcW w:type="dxa" w:w="5060"/>
          </w:tcPr>
          <w:p>
            <w:pPr>
              <w:spacing w:after="40" w:line="259" w:lineRule="auto"/>
            </w:pPr>
            <w:r>
              <w:rPr>
                <w:rFonts w:ascii="Calibri" w:hAnsi="Calibri"/>
                <w:sz w:val="18"/>
              </w:rPr>
              <w:t>Application errors, release health, and diagnostic context without relying on user reports.</w:t>
            </w:r>
          </w:p>
        </w:tc>
      </w:tr>
      <w:tr>
        <w:trPr>
          <w:cantSplit/>
        </w:trPr>
        <w:tc>
          <w:tcPr>
            <w:tcW w:type="dxa" w:w="2100"/>
          </w:tcPr>
          <w:p>
            <w:pPr>
              <w:spacing w:after="40" w:line="259" w:lineRule="auto"/>
            </w:pPr>
            <w:r>
              <w:rPr>
                <w:rFonts w:ascii="Calibri" w:hAnsi="Calibri"/>
                <w:sz w:val="18"/>
              </w:rPr>
              <w:t>Payments</w:t>
            </w:r>
          </w:p>
        </w:tc>
        <w:tc>
          <w:tcPr>
            <w:tcW w:type="dxa" w:w="2200"/>
          </w:tcPr>
          <w:p>
            <w:pPr>
              <w:spacing w:after="40" w:line="259" w:lineRule="auto"/>
            </w:pPr>
            <w:r>
              <w:rPr>
                <w:rFonts w:ascii="Calibri" w:hAnsi="Calibri"/>
                <w:sz w:val="18"/>
              </w:rPr>
              <w:t>Stripe, later</w:t>
            </w:r>
          </w:p>
        </w:tc>
        <w:tc>
          <w:tcPr>
            <w:tcW w:type="dxa" w:w="5060"/>
          </w:tcPr>
          <w:p>
            <w:pPr>
              <w:spacing w:after="40" w:line="259" w:lineRule="auto"/>
            </w:pPr>
            <w:r>
              <w:rPr>
                <w:rFonts w:ascii="Calibri" w:hAnsi="Calibri"/>
                <w:sz w:val="18"/>
              </w:rPr>
              <w:t>Checkout, subscriptions, customer portal, and webhook-based entitlement changes if Foundation becomes paid.</w:t>
            </w:r>
          </w:p>
        </w:tc>
      </w:tr>
      <w:tr>
        <w:trPr>
          <w:cantSplit/>
        </w:trPr>
        <w:tc>
          <w:tcPr>
            <w:tcW w:type="dxa" w:w="2100"/>
          </w:tcPr>
          <w:p>
            <w:pPr>
              <w:spacing w:after="40" w:line="259" w:lineRule="auto"/>
            </w:pPr>
            <w:r>
              <w:rPr>
                <w:rFonts w:ascii="Calibri" w:hAnsi="Calibri"/>
                <w:sz w:val="18"/>
              </w:rPr>
              <w:t>Analytics</w:t>
            </w:r>
          </w:p>
        </w:tc>
        <w:tc>
          <w:tcPr>
            <w:tcW w:type="dxa" w:w="2200"/>
          </w:tcPr>
          <w:p>
            <w:pPr>
              <w:spacing w:after="40" w:line="259" w:lineRule="auto"/>
            </w:pPr>
            <w:r>
              <w:rPr>
                <w:rFonts w:ascii="Calibri" w:hAnsi="Calibri"/>
                <w:sz w:val="18"/>
              </w:rPr>
              <w:t>Plausible or Cloudflare Web Analytics</w:t>
            </w:r>
          </w:p>
        </w:tc>
        <w:tc>
          <w:tcPr>
            <w:tcW w:type="dxa" w:w="5060"/>
          </w:tcPr>
          <w:p>
            <w:pPr>
              <w:spacing w:after="40" w:line="259" w:lineRule="auto"/>
            </w:pPr>
            <w:r>
              <w:rPr>
                <w:rFonts w:ascii="Calibri" w:hAnsi="Calibri"/>
                <w:sz w:val="18"/>
              </w:rPr>
              <w:t>Privacy-conscious aggregate usage measurement.</w:t>
            </w:r>
          </w:p>
        </w:tc>
      </w:tr>
    </w:tbl>
    <w:p>
      <w:pPr>
        <w:pStyle w:val="Heading1"/>
      </w:pPr>
      <w:r>
        <w:t>3. Account and role model</w:t>
      </w:r>
    </w:p>
    <w:p>
      <w:r>
        <w:t>Authorization must be based on explicit roles and ownership, not on hidden buttons or client-side checks.</w:t>
      </w:r>
    </w:p>
    <w:tbl>
      <w:tblPr>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100" w:type="dxa"/>
              <w:start w:w="120" w:type="dxa"/>
              <w:bottom w:w="100" w:type="dxa"/>
              <w:end w:w="120" w:type="dxa"/>
            </w:tcMar>
            <w:shd w:fill="2E8B3C"/>
          </w:tcPr>
          <w:p>
            <w:pPr>
              <w:spacing w:after="40" w:line="259" w:lineRule="auto"/>
            </w:pPr>
            <w:r>
              <w:rPr>
                <w:rFonts w:ascii="Calibri" w:hAnsi="Calibri"/>
                <w:b/>
                <w:color w:val="FFFFFF"/>
                <w:sz w:val="18"/>
              </w:rPr>
              <w:t>Role</w:t>
            </w:r>
          </w:p>
        </w:tc>
        <w:tc>
          <w:tcPr>
            <w:tcW w:type="dxa" w:w="7060"/>
            <w:tcMar>
              <w:top w:w="100" w:type="dxa"/>
              <w:start w:w="120" w:type="dxa"/>
              <w:bottom w:w="100" w:type="dxa"/>
              <w:end w:w="120" w:type="dxa"/>
            </w:tcMar>
            <w:shd w:fill="2E8B3C"/>
          </w:tcPr>
          <w:p>
            <w:pPr>
              <w:spacing w:after="40" w:line="259" w:lineRule="auto"/>
            </w:pPr>
            <w:r>
              <w:rPr>
                <w:rFonts w:ascii="Calibri" w:hAnsi="Calibri"/>
                <w:b/>
                <w:color w:val="FFFFFF"/>
                <w:sz w:val="18"/>
              </w:rPr>
              <w:t>Permitted access</w:t>
            </w:r>
          </w:p>
        </w:tc>
      </w:tr>
      <w:tr>
        <w:trPr>
          <w:cantSplit/>
        </w:trPr>
        <w:tc>
          <w:tcPr>
            <w:tcW w:type="dxa" w:w="2300"/>
          </w:tcPr>
          <w:p>
            <w:pPr>
              <w:spacing w:after="40" w:line="259" w:lineRule="auto"/>
            </w:pPr>
            <w:r>
              <w:rPr>
                <w:rFonts w:ascii="Calibri" w:hAnsi="Calibri"/>
                <w:sz w:val="18"/>
              </w:rPr>
              <w:t>Visitor</w:t>
            </w:r>
          </w:p>
        </w:tc>
        <w:tc>
          <w:tcPr>
            <w:tcW w:type="dxa" w:w="7060"/>
          </w:tcPr>
          <w:p>
            <w:pPr>
              <w:spacing w:after="40" w:line="259" w:lineRule="auto"/>
            </w:pPr>
            <w:r>
              <w:rPr>
                <w:rFonts w:ascii="Calibri" w:hAnsi="Calibri"/>
                <w:sz w:val="18"/>
              </w:rPr>
              <w:t>View public plays, Foundation tools, released modules, resources, cases, news, and edition information.</w:t>
            </w:r>
          </w:p>
        </w:tc>
      </w:tr>
      <w:tr>
        <w:trPr>
          <w:cantSplit/>
        </w:trPr>
        <w:tc>
          <w:tcPr>
            <w:tcW w:type="dxa" w:w="2300"/>
          </w:tcPr>
          <w:p>
            <w:pPr>
              <w:spacing w:after="40" w:line="259" w:lineRule="auto"/>
            </w:pPr>
            <w:r>
              <w:rPr>
                <w:rFonts w:ascii="Calibri" w:hAnsi="Calibri"/>
                <w:sz w:val="18"/>
              </w:rPr>
              <w:t>Free member</w:t>
            </w:r>
          </w:p>
        </w:tc>
        <w:tc>
          <w:tcPr>
            <w:tcW w:type="dxa" w:w="7060"/>
          </w:tcPr>
          <w:p>
            <w:pPr>
              <w:spacing w:after="40" w:line="259" w:lineRule="auto"/>
            </w:pPr>
            <w:r>
              <w:rPr>
                <w:rFonts w:ascii="Calibri" w:hAnsi="Calibri"/>
                <w:sz w:val="18"/>
              </w:rPr>
              <w:t>Complete and download the 13 tools; take assessments; save tool, task, learning, and pathway progress.</w:t>
            </w:r>
          </w:p>
        </w:tc>
      </w:tr>
      <w:tr>
        <w:trPr>
          <w:cantSplit/>
        </w:trPr>
        <w:tc>
          <w:tcPr>
            <w:tcW w:type="dxa" w:w="2300"/>
          </w:tcPr>
          <w:p>
            <w:pPr>
              <w:spacing w:after="40" w:line="259" w:lineRule="auto"/>
            </w:pPr>
            <w:r>
              <w:rPr>
                <w:rFonts w:ascii="Calibri" w:hAnsi="Calibri"/>
                <w:sz w:val="18"/>
              </w:rPr>
              <w:t>Reviewer applicant</w:t>
            </w:r>
          </w:p>
        </w:tc>
        <w:tc>
          <w:tcPr>
            <w:tcW w:type="dxa" w:w="7060"/>
          </w:tcPr>
          <w:p>
            <w:pPr>
              <w:spacing w:after="40" w:line="259" w:lineRule="auto"/>
            </w:pPr>
            <w:r>
              <w:rPr>
                <w:rFonts w:ascii="Calibri" w:hAnsi="Calibri"/>
                <w:sz w:val="18"/>
              </w:rPr>
              <w:t>Submit and track an application after creating a free account.</w:t>
            </w:r>
          </w:p>
        </w:tc>
      </w:tr>
      <w:tr>
        <w:trPr>
          <w:cantSplit/>
        </w:trPr>
        <w:tc>
          <w:tcPr>
            <w:tcW w:type="dxa" w:w="2300"/>
          </w:tcPr>
          <w:p>
            <w:pPr>
              <w:spacing w:after="40" w:line="259" w:lineRule="auto"/>
            </w:pPr>
            <w:r>
              <w:rPr>
                <w:rFonts w:ascii="Calibri" w:hAnsi="Calibri"/>
                <w:sz w:val="18"/>
              </w:rPr>
              <w:t>Reviewer</w:t>
            </w:r>
          </w:p>
        </w:tc>
        <w:tc>
          <w:tcPr>
            <w:tcW w:type="dxa" w:w="7060"/>
          </w:tcPr>
          <w:p>
            <w:pPr>
              <w:spacing w:after="40" w:line="259" w:lineRule="auto"/>
            </w:pPr>
            <w:r>
              <w:rPr>
                <w:rFonts w:ascii="Calibri" w:hAnsi="Calibri"/>
                <w:sz w:val="18"/>
              </w:rPr>
              <w:t>Access only assigned prerelease materials and submit structured reviews.</w:t>
            </w:r>
          </w:p>
        </w:tc>
      </w:tr>
      <w:tr>
        <w:trPr>
          <w:cantSplit/>
        </w:trPr>
        <w:tc>
          <w:tcPr>
            <w:tcW w:type="dxa" w:w="2300"/>
          </w:tcPr>
          <w:p>
            <w:pPr>
              <w:spacing w:after="40" w:line="259" w:lineRule="auto"/>
            </w:pPr>
            <w:r>
              <w:rPr>
                <w:rFonts w:ascii="Calibri" w:hAnsi="Calibri"/>
                <w:sz w:val="18"/>
              </w:rPr>
              <w:t>Content administrator</w:t>
            </w:r>
          </w:p>
        </w:tc>
        <w:tc>
          <w:tcPr>
            <w:tcW w:type="dxa" w:w="7060"/>
          </w:tcPr>
          <w:p>
            <w:pPr>
              <w:spacing w:after="40" w:line="259" w:lineRule="auto"/>
            </w:pPr>
            <w:r>
              <w:rPr>
                <w:rFonts w:ascii="Calibri" w:hAnsi="Calibri"/>
                <w:sz w:val="18"/>
              </w:rPr>
              <w:t>Manage releases, reviewer assignments, publication status, and approved content operations.</w:t>
            </w:r>
          </w:p>
        </w:tc>
      </w:tr>
      <w:tr>
        <w:trPr>
          <w:cantSplit/>
        </w:trPr>
        <w:tc>
          <w:tcPr>
            <w:tcW w:type="dxa" w:w="2300"/>
          </w:tcPr>
          <w:p>
            <w:pPr>
              <w:spacing w:after="40" w:line="259" w:lineRule="auto"/>
            </w:pPr>
            <w:r>
              <w:rPr>
                <w:rFonts w:ascii="Calibri" w:hAnsi="Calibri"/>
                <w:sz w:val="18"/>
              </w:rPr>
              <w:t>Platform administrator</w:t>
            </w:r>
          </w:p>
        </w:tc>
        <w:tc>
          <w:tcPr>
            <w:tcW w:type="dxa" w:w="7060"/>
          </w:tcPr>
          <w:p>
            <w:pPr>
              <w:spacing w:after="40" w:line="259" w:lineRule="auto"/>
            </w:pPr>
            <w:r>
              <w:rPr>
                <w:rFonts w:ascii="Calibri" w:hAnsi="Calibri"/>
                <w:sz w:val="18"/>
              </w:rPr>
              <w:t>Manage users, roles, security settings, incidents, and operational support.</w:t>
            </w:r>
          </w:p>
        </w:tc>
      </w:tr>
    </w:tbl>
    <w:p>
      <w:r>
        <w:t>MFA should be mandatory for reviewers, content administrators, and platform administrators. Administrative authorization must also be enforced in database policies and server functions.</w:t>
      </w:r>
    </w:p>
    <w:p>
      <w:pPr>
        <w:pStyle w:val="Heading1"/>
      </w:pPr>
      <w:r>
        <w:t>4. Core data model</w:t>
      </w:r>
    </w:p>
    <w:p>
      <w:r>
        <w:t>Content definitions stay in GitHub. Private activity and account records move to PostgreSQL. Every persisted record should carry a stable content ID, content version, owner, timestamps, status, and archive state.</w:t>
      </w:r>
    </w:p>
    <w:p>
      <w:pPr>
        <w:pStyle w:val="ListBullet"/>
      </w:pPr>
      <w:r>
        <w:t>profiles and user_preferences</w:t>
      </w:r>
    </w:p>
    <w:p>
      <w:pPr>
        <w:pStyle w:val="ListBullet"/>
      </w:pPr>
      <w:r>
        <w:t>user_roles and account_entitlements</w:t>
      </w:r>
    </w:p>
    <w:p>
      <w:pPr>
        <w:pStyle w:val="ListBullet"/>
      </w:pPr>
      <w:r>
        <w:t>tool_records, tool_responses, selected_item_documentation, and tool_tasks</w:t>
      </w:r>
    </w:p>
    <w:p>
      <w:pPr>
        <w:pStyle w:val="ListBullet"/>
      </w:pPr>
      <w:r>
        <w:t>readiness_assessments and implementation_pathways</w:t>
      </w:r>
    </w:p>
    <w:p>
      <w:pPr>
        <w:pStyle w:val="ListBullet"/>
      </w:pPr>
      <w:r>
        <w:t>learning_assessments, learning_recommendations, and module_progress</w:t>
      </w:r>
    </w:p>
    <w:p>
      <w:pPr>
        <w:pStyle w:val="ListBullet"/>
      </w:pPr>
      <w:r>
        <w:t>reviewer_applications, review_assignments, and review_responses</w:t>
      </w:r>
    </w:p>
    <w:p>
      <w:pPr>
        <w:pStyle w:val="ListBullet"/>
      </w:pPr>
      <w:r>
        <w:t>download_events, role_change_events, and audit_events</w:t>
      </w:r>
    </w:p>
    <w:p>
      <w:pPr>
        <w:pStyle w:val="ListBullet"/>
      </w:pPr>
      <w:r>
        <w:t>content_releases and accepted_schema_versions</w:t>
      </w:r>
    </w:p>
    <w:p>
      <w:r>
        <w:t>Users should be able to maintain multiple instances of the same tool, resume work on another device, archive prior versions, and retain the release/schema version used when each artifact was created.</w:t>
      </w:r>
    </w:p>
    <w:p>
      <w:pPr>
        <w:pStyle w:val="Heading1"/>
      </w:pPr>
      <w:r>
        <w:t>5. Security requirements</w:t>
      </w:r>
    </w:p>
    <w:p>
      <w:pPr>
        <w:pStyle w:val="ListBullet"/>
      </w:pPr>
      <w:r>
        <w:t>Verify email before activating a permanent account.</w:t>
      </w:r>
    </w:p>
    <w:p>
      <w:pPr>
        <w:pStyle w:val="ListBullet"/>
      </w:pPr>
      <w:r>
        <w:t>Enable RLS on every exposed table; deny access by default.</w:t>
      </w:r>
    </w:p>
    <w:p>
      <w:pPr>
        <w:pStyle w:val="ListBullet"/>
      </w:pPr>
      <w:r>
        <w:t>Keep administrative service keys and signing secrets out of browser code.</w:t>
      </w:r>
    </w:p>
    <w:p>
      <w:pPr>
        <w:pStyle w:val="ListBullet"/>
      </w:pPr>
      <w:r>
        <w:t>Perform privileged operations through authenticated server functions.</w:t>
      </w:r>
    </w:p>
    <w:p>
      <w:pPr>
        <w:pStyle w:val="ListBullet"/>
      </w:pPr>
      <w:r>
        <w:t>Require MFA for all privileged roles and enforce the assurance level in authorization policies.</w:t>
      </w:r>
    </w:p>
    <w:p>
      <w:pPr>
        <w:pStyle w:val="ListBullet"/>
      </w:pPr>
      <w:r>
        <w:t>Rate-limit registration, login, password recovery, assessment, form submission, and download endpoints.</w:t>
      </w:r>
    </w:p>
    <w:p>
      <w:pPr>
        <w:pStyle w:val="ListBullet"/>
      </w:pPr>
      <w:r>
        <w:t>Use private storage buckets and short-lived signed download URLs.</w:t>
      </w:r>
    </w:p>
    <w:p>
      <w:pPr>
        <w:pStyle w:val="ListBullet"/>
      </w:pPr>
      <w:r>
        <w:t>Record auditable role changes, reviewer assignments, administrative actions, and critical security events.</w:t>
      </w:r>
    </w:p>
    <w:p>
      <w:pPr>
        <w:pStyle w:val="ListBullet"/>
      </w:pPr>
      <w:r>
        <w:t>Apply Content Security Policy, secure headers, dependency scanning, and automated application-security checks.</w:t>
      </w:r>
    </w:p>
    <w:p>
      <w:pPr>
        <w:pStyle w:val="ListBullet"/>
      </w:pPr>
      <w:r>
        <w:t>Define account deletion, data export, retention, incident response, and backup restoration procedures.</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shd w:fill="FFF4D6"/>
          </w:tcPr>
          <w:p>
            <w:pPr>
              <w:spacing w:after="40" w:line="259" w:lineRule="auto"/>
            </w:pPr>
            <w:r>
              <w:rPr>
                <w:rFonts w:ascii="Calibri" w:hAnsi="Calibri"/>
                <w:b/>
                <w:color w:val="073763"/>
                <w:sz w:val="18"/>
              </w:rPr>
              <w:t>Important</w:t>
            </w:r>
          </w:p>
          <w:p>
            <w:pPr>
              <w:spacing w:after="40" w:line="259" w:lineRule="auto"/>
            </w:pPr>
            <w:r>
              <w:rPr>
                <w:rFonts w:ascii="Calibri" w:hAnsi="Calibri"/>
                <w:sz w:val="18"/>
              </w:rPr>
              <w:t>Vendor compliance certifications do not make the application compliant automatically. Configuration, access policies, operating procedures, training, contracts, incident response, and the application's own code remain part of the shared-responsibility model.</w:t>
            </w:r>
          </w:p>
        </w:tc>
      </w:tr>
    </w:tbl>
    <w:p>
      <w:pPr>
        <w:spacing w:after="0"/>
      </w:pPr>
    </w:p>
    <w:p>
      <w:pPr>
        <w:pStyle w:val="Heading1"/>
      </w:pPr>
      <w:r>
        <w:t>6. PHI and confidential-data boundary</w:t>
      </w:r>
    </w:p>
    <w:p>
      <w:r>
        <w:t>Foundation should be designed and marketed as a non-PHI implementation and learning environment. Place the following notice beside every tool, assessment, reviewer form, and upload control:</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100" w:type="dxa"/>
              <w:start w:w="120" w:type="dxa"/>
              <w:bottom w:w="100" w:type="dxa"/>
              <w:end w:w="120" w:type="dxa"/>
            </w:tcMar>
            <w:shd w:fill="EDF6EE"/>
          </w:tcPr>
          <w:p>
            <w:pPr>
              <w:spacing w:after="40" w:line="259" w:lineRule="auto"/>
            </w:pPr>
            <w:r>
              <w:rPr>
                <w:rFonts w:ascii="Calibri" w:hAnsi="Calibri"/>
                <w:b/>
                <w:color w:val="073763"/>
                <w:sz w:val="18"/>
              </w:rPr>
              <w:t>Required user notice</w:t>
            </w:r>
          </w:p>
          <w:p>
            <w:pPr>
              <w:spacing w:after="40" w:line="259" w:lineRule="auto"/>
            </w:pPr>
            <w:r>
              <w:rPr>
                <w:rFonts w:ascii="Calibri" w:hAnsi="Calibri"/>
                <w:sz w:val="18"/>
              </w:rPr>
              <w:t>Do not enter protected health information, personally identifiable information, confidential agency information, credentials, or sensitive incident details.</w:t>
            </w:r>
          </w:p>
        </w:tc>
      </w:tr>
    </w:tbl>
    <w:p>
      <w:pPr>
        <w:spacing w:after="0"/>
      </w:pPr>
    </w:p>
    <w:p>
      <w:r>
        <w:t>If a future edition is intended to process ePHI, conduct a separate compliance architecture project. That work must determine covered-entity and business-associate relationships, obtain applicable BAAs, enable vendor HIPAA controls, review every subprocesser, document permitted uses and disclosures, and validate technical and administrative safeguards. Supabase specifically requires a signed BAA and its HIPAA add-on when its service handles PHI.</w:t>
      </w:r>
    </w:p>
    <w:p>
      <w:pPr>
        <w:pStyle w:val="Heading1"/>
      </w:pPr>
      <w:r>
        <w:t>7. Migration and implementation roadmap</w:t>
      </w:r>
    </w:p>
    <w:tbl>
      <w:tblPr>
        <w:tblW w:type="dxa" w:w="9360"/>
        <w:jc w:val="left"/>
        <w:tblLayout w:type="fixed"/>
        <w:tblLook w:firstColumn="1" w:firstRow="1" w:lastColumn="0" w:lastRow="0" w:noHBand="0" w:noVBand="1" w:val="04A0"/>
        <w:tblInd w:w="120" w:type="dxa"/>
      </w:tblPr>
      <w:tblGrid>
        <w:gridCol w:w="2300"/>
        <w:gridCol w:w="1300"/>
        <w:gridCol w:w="5760"/>
      </w:tblGrid>
      <w:tr>
        <w:trPr>
          <w:tblHeader w:val="true"/>
          <w:cantSplit/>
        </w:trPr>
        <w:tc>
          <w:tcPr>
            <w:tcW w:type="dxa" w:w="2300"/>
            <w:tcMar>
              <w:top w:w="100" w:type="dxa"/>
              <w:start w:w="120" w:type="dxa"/>
              <w:bottom w:w="100" w:type="dxa"/>
              <w:end w:w="120" w:type="dxa"/>
            </w:tcMar>
            <w:shd w:fill="073763"/>
          </w:tcPr>
          <w:p>
            <w:pPr>
              <w:spacing w:after="40" w:line="259" w:lineRule="auto"/>
            </w:pPr>
            <w:r>
              <w:rPr>
                <w:rFonts w:ascii="Calibri" w:hAnsi="Calibri"/>
                <w:b/>
                <w:color w:val="FFFFFF"/>
                <w:sz w:val="18"/>
              </w:rPr>
              <w:t>Phase</w:t>
            </w:r>
          </w:p>
        </w:tc>
        <w:tc>
          <w:tcPr>
            <w:tcW w:type="dxa" w:w="1300"/>
            <w:tcMar>
              <w:top w:w="100" w:type="dxa"/>
              <w:start w:w="120" w:type="dxa"/>
              <w:bottom w:w="100" w:type="dxa"/>
              <w:end w:w="120" w:type="dxa"/>
            </w:tcMar>
            <w:shd w:fill="073763"/>
          </w:tcPr>
          <w:p>
            <w:pPr>
              <w:spacing w:after="40" w:line="259" w:lineRule="auto"/>
            </w:pPr>
            <w:r>
              <w:rPr>
                <w:rFonts w:ascii="Calibri" w:hAnsi="Calibri"/>
                <w:b/>
                <w:color w:val="FFFFFF"/>
                <w:sz w:val="18"/>
              </w:rPr>
              <w:t>Estimate</w:t>
            </w:r>
          </w:p>
        </w:tc>
        <w:tc>
          <w:tcPr>
            <w:tcW w:type="dxa" w:w="5760"/>
            <w:tcMar>
              <w:top w:w="100" w:type="dxa"/>
              <w:start w:w="120" w:type="dxa"/>
              <w:bottom w:w="100" w:type="dxa"/>
              <w:end w:w="120" w:type="dxa"/>
            </w:tcMar>
            <w:shd w:fill="073763"/>
          </w:tcPr>
          <w:p>
            <w:pPr>
              <w:spacing w:after="40" w:line="259" w:lineRule="auto"/>
            </w:pPr>
            <w:r>
              <w:rPr>
                <w:rFonts w:ascii="Calibri" w:hAnsi="Calibri"/>
                <w:b/>
                <w:color w:val="FFFFFF"/>
                <w:sz w:val="18"/>
              </w:rPr>
              <w:t>Primary deliverables</w:t>
            </w:r>
          </w:p>
        </w:tc>
      </w:tr>
      <w:tr>
        <w:trPr>
          <w:cantSplit/>
        </w:trPr>
        <w:tc>
          <w:tcPr>
            <w:tcW w:type="dxa" w:w="2300"/>
          </w:tcPr>
          <w:p>
            <w:pPr>
              <w:spacing w:after="40" w:line="259" w:lineRule="auto"/>
            </w:pPr>
            <w:r>
              <w:rPr>
                <w:rFonts w:ascii="Calibri" w:hAnsi="Calibri"/>
                <w:sz w:val="18"/>
              </w:rPr>
              <w:t>Phase 1 - Production foundation</w:t>
            </w:r>
          </w:p>
        </w:tc>
        <w:tc>
          <w:tcPr>
            <w:tcW w:type="dxa" w:w="1300"/>
          </w:tcPr>
          <w:p>
            <w:pPr>
              <w:spacing w:after="40" w:line="259" w:lineRule="auto"/>
            </w:pPr>
            <w:r>
              <w:rPr>
                <w:rFonts w:ascii="Calibri" w:hAnsi="Calibri"/>
                <w:sz w:val="18"/>
              </w:rPr>
              <w:t>1-2 weeks</w:t>
            </w:r>
          </w:p>
        </w:tc>
        <w:tc>
          <w:tcPr>
            <w:tcW w:type="dxa" w:w="5760"/>
          </w:tcPr>
          <w:p>
            <w:pPr>
              <w:spacing w:after="40" w:line="259" w:lineRule="auto"/>
            </w:pPr>
            <w:r>
              <w:rPr>
                <w:rFonts w:ascii="Calibri" w:hAnsi="Calibri"/>
                <w:sz w:val="18"/>
              </w:rPr>
              <w:t>Create development, staging, and production environments; connect GitHub to Vercel; configure the domain, secrets, firewall, preview protection, database migrations, and release workflow.</w:t>
            </w:r>
          </w:p>
        </w:tc>
      </w:tr>
      <w:tr>
        <w:trPr>
          <w:cantSplit/>
        </w:trPr>
        <w:tc>
          <w:tcPr>
            <w:tcW w:type="dxa" w:w="2300"/>
          </w:tcPr>
          <w:p>
            <w:pPr>
              <w:spacing w:after="40" w:line="259" w:lineRule="auto"/>
            </w:pPr>
            <w:r>
              <w:rPr>
                <w:rFonts w:ascii="Calibri" w:hAnsi="Calibri"/>
                <w:sz w:val="18"/>
              </w:rPr>
              <w:t>Phase 2 - Secure accounts</w:t>
            </w:r>
          </w:p>
        </w:tc>
        <w:tc>
          <w:tcPr>
            <w:tcW w:type="dxa" w:w="1300"/>
          </w:tcPr>
          <w:p>
            <w:pPr>
              <w:spacing w:after="40" w:line="259" w:lineRule="auto"/>
            </w:pPr>
            <w:r>
              <w:rPr>
                <w:rFonts w:ascii="Calibri" w:hAnsi="Calibri"/>
                <w:sz w:val="18"/>
              </w:rPr>
              <w:t>1-2 weeks</w:t>
            </w:r>
          </w:p>
        </w:tc>
        <w:tc>
          <w:tcPr>
            <w:tcW w:type="dxa" w:w="5760"/>
          </w:tcPr>
          <w:p>
            <w:pPr>
              <w:spacing w:after="40" w:line="259" w:lineRule="auto"/>
            </w:pPr>
            <w:r>
              <w:rPr>
                <w:rFonts w:ascii="Calibri" w:hAnsi="Calibri"/>
                <w:sz w:val="18"/>
              </w:rPr>
              <w:t>Replace simulated accounts with verified registration, login, logout, recovery, session handling, MFA, and a real My Account page.</w:t>
            </w:r>
          </w:p>
        </w:tc>
      </w:tr>
      <w:tr>
        <w:trPr>
          <w:cantSplit/>
        </w:trPr>
        <w:tc>
          <w:tcPr>
            <w:tcW w:type="dxa" w:w="2300"/>
          </w:tcPr>
          <w:p>
            <w:pPr>
              <w:spacing w:after="40" w:line="259" w:lineRule="auto"/>
            </w:pPr>
            <w:r>
              <w:rPr>
                <w:rFonts w:ascii="Calibri" w:hAnsi="Calibri"/>
                <w:sz w:val="18"/>
              </w:rPr>
              <w:t>Phase 3 - Multi-user persistence</w:t>
            </w:r>
          </w:p>
        </w:tc>
        <w:tc>
          <w:tcPr>
            <w:tcW w:type="dxa" w:w="1300"/>
          </w:tcPr>
          <w:p>
            <w:pPr>
              <w:spacing w:after="40" w:line="259" w:lineRule="auto"/>
            </w:pPr>
            <w:r>
              <w:rPr>
                <w:rFonts w:ascii="Calibri" w:hAnsi="Calibri"/>
                <w:sz w:val="18"/>
              </w:rPr>
              <w:t>2 weeks</w:t>
            </w:r>
          </w:p>
        </w:tc>
        <w:tc>
          <w:tcPr>
            <w:tcW w:type="dxa" w:w="5760"/>
          </w:tcPr>
          <w:p>
            <w:pPr>
              <w:spacing w:after="40" w:line="259" w:lineRule="auto"/>
            </w:pPr>
            <w:r>
              <w:rPr>
                <w:rFonts w:ascii="Calibri" w:hAnsi="Calibri"/>
                <w:sz w:val="18"/>
              </w:rPr>
              <w:t>Move tool, task, readiness, and pathway records from localStorage to PostgreSQL; support multiple saved artifacts and cross-device continuation.</w:t>
            </w:r>
          </w:p>
        </w:tc>
      </w:tr>
      <w:tr>
        <w:trPr>
          <w:cantSplit/>
        </w:trPr>
        <w:tc>
          <w:tcPr>
            <w:tcW w:type="dxa" w:w="2300"/>
          </w:tcPr>
          <w:p>
            <w:pPr>
              <w:spacing w:after="40" w:line="259" w:lineRule="auto"/>
            </w:pPr>
            <w:r>
              <w:rPr>
                <w:rFonts w:ascii="Calibri" w:hAnsi="Calibri"/>
                <w:sz w:val="18"/>
              </w:rPr>
              <w:t>Phase 4 - Learning and reviewers</w:t>
            </w:r>
          </w:p>
        </w:tc>
        <w:tc>
          <w:tcPr>
            <w:tcW w:type="dxa" w:w="1300"/>
          </w:tcPr>
          <w:p>
            <w:pPr>
              <w:spacing w:after="40" w:line="259" w:lineRule="auto"/>
            </w:pPr>
            <w:r>
              <w:rPr>
                <w:rFonts w:ascii="Calibri" w:hAnsi="Calibri"/>
                <w:sz w:val="18"/>
              </w:rPr>
              <w:t>1-2 weeks</w:t>
            </w:r>
          </w:p>
        </w:tc>
        <w:tc>
          <w:tcPr>
            <w:tcW w:type="dxa" w:w="5760"/>
          </w:tcPr>
          <w:p>
            <w:pPr>
              <w:spacing w:after="40" w:line="259" w:lineRule="auto"/>
            </w:pPr>
            <w:r>
              <w:rPr>
                <w:rFonts w:ascii="Calibri" w:hAnsi="Calibri"/>
                <w:sz w:val="18"/>
              </w:rPr>
              <w:t>Persist learning assessments, recommendations, and module progress; implement reviewer applications, assignments, restricted materials, and reviews.</w:t>
            </w:r>
          </w:p>
        </w:tc>
      </w:tr>
      <w:tr>
        <w:trPr>
          <w:cantSplit/>
        </w:trPr>
        <w:tc>
          <w:tcPr>
            <w:tcW w:type="dxa" w:w="2300"/>
          </w:tcPr>
          <w:p>
            <w:pPr>
              <w:spacing w:after="40" w:line="259" w:lineRule="auto"/>
            </w:pPr>
            <w:r>
              <w:rPr>
                <w:rFonts w:ascii="Calibri" w:hAnsi="Calibri"/>
                <w:sz w:val="18"/>
              </w:rPr>
              <w:t>Phase 5 - Security and launch</w:t>
            </w:r>
          </w:p>
        </w:tc>
        <w:tc>
          <w:tcPr>
            <w:tcW w:type="dxa" w:w="1300"/>
          </w:tcPr>
          <w:p>
            <w:pPr>
              <w:spacing w:after="40" w:line="259" w:lineRule="auto"/>
            </w:pPr>
            <w:r>
              <w:rPr>
                <w:rFonts w:ascii="Calibri" w:hAnsi="Calibri"/>
                <w:sz w:val="18"/>
              </w:rPr>
              <w:t>1-2 weeks</w:t>
            </w:r>
          </w:p>
        </w:tc>
        <w:tc>
          <w:tcPr>
            <w:tcW w:type="dxa" w:w="5760"/>
          </w:tcPr>
          <w:p>
            <w:pPr>
              <w:spacing w:after="40" w:line="259" w:lineRule="auto"/>
            </w:pPr>
            <w:r>
              <w:rPr>
                <w:rFonts w:ascii="Calibri" w:hAnsi="Calibri"/>
                <w:sz w:val="18"/>
              </w:rPr>
              <w:t>Complete authorization tests, accessibility and mobile testing, backup restoration, incident exercises, policies, soft launch, and production release.</w:t>
            </w:r>
          </w:p>
        </w:tc>
      </w:tr>
    </w:tbl>
    <w:p>
      <w:r>
        <w:t>Planning range: approximately six to ten weeks of focused implementation, depending on identity decisions, policy review, reviewer workflow depth, and the amount of existing front-end code retained.</w:t>
      </w:r>
    </w:p>
    <w:p>
      <w:pPr>
        <w:pStyle w:val="Heading1"/>
      </w:pPr>
      <w:r>
        <w:t>8. Deployment workflow</w:t>
      </w:r>
    </w:p>
    <w:p>
      <w:pPr>
        <w:pStyle w:val="ListNumber"/>
      </w:pPr>
      <w:r>
        <w:t>Create a feature branch for each approved change.</w:t>
      </w:r>
    </w:p>
    <w:p>
      <w:pPr>
        <w:pStyle w:val="ListNumber"/>
      </w:pPr>
      <w:r>
        <w:t>Run automated syntax, unit, integration, accessibility, dependency, and security checks.</w:t>
      </w:r>
    </w:p>
    <w:p>
      <w:pPr>
        <w:pStyle w:val="ListNumber"/>
      </w:pPr>
      <w:r>
        <w:t>Create an isolated Vercel preview deployment for review.</w:t>
      </w:r>
    </w:p>
    <w:p>
      <w:pPr>
        <w:pStyle w:val="ListNumber"/>
      </w:pPr>
      <w:r>
        <w:t>Approve and merge the reviewed branch into main.</w:t>
      </w:r>
    </w:p>
    <w:p>
      <w:pPr>
        <w:pStyle w:val="ListNumber"/>
      </w:pPr>
      <w:r>
        <w:t>Deploy main automatically to production.</w:t>
      </w:r>
    </w:p>
    <w:p>
      <w:pPr>
        <w:pStyle w:val="ListNumber"/>
      </w:pPr>
      <w:r>
        <w:t>Run post-deployment authentication, database, tool-save, download, and navigation checks.</w:t>
      </w:r>
    </w:p>
    <w:p>
      <w:pPr>
        <w:pStyle w:val="ListNumber"/>
      </w:pPr>
      <w:r>
        <w:t>Roll back automatically or manually when a critical health check fails.</w:t>
      </w:r>
    </w:p>
    <w:p>
      <w:pPr>
        <w:pStyle w:val="Heading1"/>
      </w:pPr>
      <w:r>
        <w:t>9. Production launch gates</w:t>
      </w:r>
    </w:p>
    <w:p>
      <w:pPr>
        <w:pStyle w:val="ListBullet"/>
      </w:pPr>
      <w:r>
        <w:t>Two test users cannot read, alter, or enumerate one another's records.</w:t>
      </w:r>
    </w:p>
    <w:p>
      <w:pPr>
        <w:pStyle w:val="ListBullet"/>
      </w:pPr>
      <w:r>
        <w:t>Reviewer access is limited to specifically assigned materials.</w:t>
      </w:r>
    </w:p>
    <w:p>
      <w:pPr>
        <w:pStyle w:val="ListBullet"/>
      </w:pPr>
      <w:r>
        <w:t>Administrator capabilities fail closed when MFA or authorization requirements are not met.</w:t>
      </w:r>
    </w:p>
    <w:p>
      <w:pPr>
        <w:pStyle w:val="ListBullet"/>
      </w:pPr>
      <w:r>
        <w:t>No service-role key, database password, webhook secret, or email credential appears in client code or Git history.</w:t>
      </w:r>
    </w:p>
    <w:p>
      <w:pPr>
        <w:pStyle w:val="ListBullet"/>
      </w:pPr>
      <w:r>
        <w:t>Account registration, verification, recovery, deletion, and export are tested end to end.</w:t>
      </w:r>
    </w:p>
    <w:p>
      <w:pPr>
        <w:pStyle w:val="ListBullet"/>
      </w:pPr>
      <w:r>
        <w:t>The 13 Foundation tools save, restore, download, and print correctly on desktop and mobile.</w:t>
      </w:r>
    </w:p>
    <w:p>
      <w:pPr>
        <w:pStyle w:val="ListBullet"/>
      </w:pPr>
      <w:r>
        <w:t>Learning and readiness assessments persist and restore personalized recommendations correctly.</w:t>
      </w:r>
    </w:p>
    <w:p>
      <w:pPr>
        <w:pStyle w:val="ListBullet"/>
      </w:pPr>
      <w:r>
        <w:t>Backups and a documented restoration test are complete.</w:t>
      </w:r>
    </w:p>
    <w:p>
      <w:pPr>
        <w:pStyle w:val="ListBullet"/>
      </w:pPr>
      <w:r>
        <w:t>Privacy notice, terms, retention schedule, acceptable-use notice, and incident-response procedures are approved.</w:t>
      </w:r>
    </w:p>
    <w:p>
      <w:pPr>
        <w:pStyle w:val="ListBullet"/>
      </w:pPr>
      <w:r>
        <w:t>Accessibility and responsive testing pass on representative browsers and mobile devices.</w:t>
      </w:r>
    </w:p>
    <w:p>
      <w:pPr>
        <w:pStyle w:val="Heading1"/>
      </w:pPr>
      <w:r>
        <w:t>10. Decision summary</w:t>
      </w:r>
    </w:p>
    <w:tbl>
      <w:tblPr>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tcMar>
              <w:top w:w="100" w:type="dxa"/>
              <w:start w:w="120" w:type="dxa"/>
              <w:bottom w:w="100" w:type="dxa"/>
              <w:end w:w="120" w:type="dxa"/>
            </w:tcMar>
            <w:shd w:fill="2E8B3C"/>
          </w:tcPr>
          <w:p>
            <w:pPr>
              <w:spacing w:after="40" w:line="259" w:lineRule="auto"/>
            </w:pPr>
            <w:r>
              <w:rPr>
                <w:rFonts w:ascii="Calibri" w:hAnsi="Calibri"/>
                <w:b/>
                <w:color w:val="FFFFFF"/>
                <w:sz w:val="18"/>
              </w:rPr>
              <w:t>Decision</w:t>
            </w:r>
          </w:p>
        </w:tc>
        <w:tc>
          <w:tcPr>
            <w:tcW w:type="dxa" w:w="6860"/>
            <w:tcMar>
              <w:top w:w="100" w:type="dxa"/>
              <w:start w:w="120" w:type="dxa"/>
              <w:bottom w:w="100" w:type="dxa"/>
              <w:end w:w="120" w:type="dxa"/>
            </w:tcMar>
            <w:shd w:fill="2E8B3C"/>
          </w:tcPr>
          <w:p>
            <w:pPr>
              <w:spacing w:after="40" w:line="259" w:lineRule="auto"/>
            </w:pPr>
            <w:r>
              <w:rPr>
                <w:rFonts w:ascii="Calibri" w:hAnsi="Calibri"/>
                <w:b/>
                <w:color w:val="FFFFFF"/>
                <w:sz w:val="18"/>
              </w:rPr>
              <w:t>Recommendation</w:t>
            </w:r>
          </w:p>
        </w:tc>
      </w:tr>
      <w:tr>
        <w:trPr>
          <w:cantSplit/>
        </w:trPr>
        <w:tc>
          <w:tcPr>
            <w:tcW w:type="dxa" w:w="2500"/>
          </w:tcPr>
          <w:p>
            <w:pPr>
              <w:spacing w:after="40" w:line="259" w:lineRule="auto"/>
            </w:pPr>
            <w:r>
              <w:rPr>
                <w:rFonts w:ascii="Calibri" w:hAnsi="Calibri"/>
                <w:sz w:val="18"/>
              </w:rPr>
              <w:t>Launch model</w:t>
            </w:r>
          </w:p>
        </w:tc>
        <w:tc>
          <w:tcPr>
            <w:tcW w:type="dxa" w:w="6860"/>
          </w:tcPr>
          <w:p>
            <w:pPr>
              <w:spacing w:after="40" w:line="259" w:lineRule="auto"/>
            </w:pPr>
            <w:r>
              <w:rPr>
                <w:rFonts w:ascii="Calibri" w:hAnsi="Calibri"/>
                <w:sz w:val="18"/>
              </w:rPr>
              <w:t>Public non-PHI Foundation Edition with verified free-member accounts.</w:t>
            </w:r>
          </w:p>
        </w:tc>
      </w:tr>
      <w:tr>
        <w:trPr>
          <w:cantSplit/>
        </w:trPr>
        <w:tc>
          <w:tcPr>
            <w:tcW w:type="dxa" w:w="2500"/>
          </w:tcPr>
          <w:p>
            <w:pPr>
              <w:spacing w:after="40" w:line="259" w:lineRule="auto"/>
            </w:pPr>
            <w:r>
              <w:rPr>
                <w:rFonts w:ascii="Calibri" w:hAnsi="Calibri"/>
                <w:sz w:val="18"/>
              </w:rPr>
              <w:t>Hosting</w:t>
            </w:r>
          </w:p>
        </w:tc>
        <w:tc>
          <w:tcPr>
            <w:tcW w:type="dxa" w:w="6860"/>
          </w:tcPr>
          <w:p>
            <w:pPr>
              <w:spacing w:after="40" w:line="259" w:lineRule="auto"/>
            </w:pPr>
            <w:r>
              <w:rPr>
                <w:rFonts w:ascii="Calibri" w:hAnsi="Calibri"/>
                <w:sz w:val="18"/>
              </w:rPr>
              <w:t>Vercel Pro connected to the GitHub repository.</w:t>
            </w:r>
          </w:p>
        </w:tc>
      </w:tr>
      <w:tr>
        <w:trPr>
          <w:cantSplit/>
        </w:trPr>
        <w:tc>
          <w:tcPr>
            <w:tcW w:type="dxa" w:w="2500"/>
          </w:tcPr>
          <w:p>
            <w:pPr>
              <w:spacing w:after="40" w:line="259" w:lineRule="auto"/>
            </w:pPr>
            <w:r>
              <w:rPr>
                <w:rFonts w:ascii="Calibri" w:hAnsi="Calibri"/>
                <w:sz w:val="18"/>
              </w:rPr>
              <w:t>Identity and data</w:t>
            </w:r>
          </w:p>
        </w:tc>
        <w:tc>
          <w:tcPr>
            <w:tcW w:type="dxa" w:w="6860"/>
          </w:tcPr>
          <w:p>
            <w:pPr>
              <w:spacing w:after="40" w:line="259" w:lineRule="auto"/>
            </w:pPr>
            <w:r>
              <w:rPr>
                <w:rFonts w:ascii="Calibri" w:hAnsi="Calibri"/>
                <w:sz w:val="18"/>
              </w:rPr>
              <w:t>Supabase Pro with Auth, PostgreSQL, RLS, private Storage, and production backups.</w:t>
            </w:r>
          </w:p>
        </w:tc>
      </w:tr>
      <w:tr>
        <w:trPr>
          <w:cantSplit/>
        </w:trPr>
        <w:tc>
          <w:tcPr>
            <w:tcW w:type="dxa" w:w="2500"/>
          </w:tcPr>
          <w:p>
            <w:pPr>
              <w:spacing w:after="40" w:line="259" w:lineRule="auto"/>
            </w:pPr>
            <w:r>
              <w:rPr>
                <w:rFonts w:ascii="Calibri" w:hAnsi="Calibri"/>
                <w:sz w:val="18"/>
              </w:rPr>
              <w:t>Code strategy</w:t>
            </w:r>
          </w:p>
        </w:tc>
        <w:tc>
          <w:tcPr>
            <w:tcW w:type="dxa" w:w="6860"/>
          </w:tcPr>
          <w:p>
            <w:pPr>
              <w:spacing w:after="40" w:line="259" w:lineRule="auto"/>
            </w:pPr>
            <w:r>
              <w:rPr>
                <w:rFonts w:ascii="Calibri" w:hAnsi="Calibri"/>
                <w:sz w:val="18"/>
              </w:rPr>
              <w:t>Preserve the current user interface initially; replace localStorage and simulated account logic incrementally.</w:t>
            </w:r>
          </w:p>
        </w:tc>
      </w:tr>
      <w:tr>
        <w:trPr>
          <w:cantSplit/>
        </w:trPr>
        <w:tc>
          <w:tcPr>
            <w:tcW w:type="dxa" w:w="2500"/>
          </w:tcPr>
          <w:p>
            <w:pPr>
              <w:spacing w:after="40" w:line="259" w:lineRule="auto"/>
            </w:pPr>
            <w:r>
              <w:rPr>
                <w:rFonts w:ascii="Calibri" w:hAnsi="Calibri"/>
                <w:sz w:val="18"/>
              </w:rPr>
              <w:t>Content strategy</w:t>
            </w:r>
          </w:p>
        </w:tc>
        <w:tc>
          <w:tcPr>
            <w:tcW w:type="dxa" w:w="6860"/>
          </w:tcPr>
          <w:p>
            <w:pPr>
              <w:spacing w:after="40" w:line="259" w:lineRule="auto"/>
            </w:pPr>
            <w:r>
              <w:rPr>
                <w:rFonts w:ascii="Calibri" w:hAnsi="Calibri"/>
                <w:sz w:val="18"/>
              </w:rPr>
              <w:t>Keep plays, tools, modules, graphics, and release metadata canonical in GitHub.</w:t>
            </w:r>
          </w:p>
        </w:tc>
      </w:tr>
      <w:tr>
        <w:trPr>
          <w:cantSplit/>
        </w:trPr>
        <w:tc>
          <w:tcPr>
            <w:tcW w:type="dxa" w:w="2500"/>
          </w:tcPr>
          <w:p>
            <w:pPr>
              <w:spacing w:after="40" w:line="259" w:lineRule="auto"/>
            </w:pPr>
            <w:r>
              <w:rPr>
                <w:rFonts w:ascii="Calibri" w:hAnsi="Calibri"/>
                <w:sz w:val="18"/>
              </w:rPr>
              <w:t>Administrative access</w:t>
            </w:r>
          </w:p>
        </w:tc>
        <w:tc>
          <w:tcPr>
            <w:tcW w:type="dxa" w:w="6860"/>
          </w:tcPr>
          <w:p>
            <w:pPr>
              <w:spacing w:after="40" w:line="259" w:lineRule="auto"/>
            </w:pPr>
            <w:r>
              <w:rPr>
                <w:rFonts w:ascii="Calibri" w:hAnsi="Calibri"/>
                <w:sz w:val="18"/>
              </w:rPr>
              <w:t>Server-enforced role authorization with mandatory MFA.</w:t>
            </w:r>
          </w:p>
        </w:tc>
      </w:tr>
      <w:tr>
        <w:trPr>
          <w:cantSplit/>
        </w:trPr>
        <w:tc>
          <w:tcPr>
            <w:tcW w:type="dxa" w:w="2500"/>
          </w:tcPr>
          <w:p>
            <w:pPr>
              <w:spacing w:after="40" w:line="259" w:lineRule="auto"/>
            </w:pPr>
            <w:r>
              <w:rPr>
                <w:rFonts w:ascii="Calibri" w:hAnsi="Calibri"/>
                <w:sz w:val="18"/>
              </w:rPr>
              <w:t>Paid access</w:t>
            </w:r>
          </w:p>
        </w:tc>
        <w:tc>
          <w:tcPr>
            <w:tcW w:type="dxa" w:w="6860"/>
          </w:tcPr>
          <w:p>
            <w:pPr>
              <w:spacing w:after="40" w:line="259" w:lineRule="auto"/>
            </w:pPr>
            <w:r>
              <w:rPr>
                <w:rFonts w:ascii="Calibri" w:hAnsi="Calibri"/>
                <w:sz w:val="18"/>
              </w:rPr>
              <w:t>Add Stripe only when a paid Foundation or higher-edition entitlement is approved.</w:t>
            </w:r>
          </w:p>
        </w:tc>
      </w:tr>
    </w:tbl>
    <w:p>
      <w:pPr>
        <w:pStyle w:val="Heading1"/>
      </w:pPr>
      <w:r>
        <w:t>Authoritative product documentation</w:t>
      </w:r>
    </w:p>
    <w:p>
      <w:pPr>
        <w:pStyle w:val="ListBullet"/>
      </w:pPr>
      <w:hyperlink r:id="rId11">
        <w:r>
          <w:rPr>
            <w:color w:val="0068B7"/>
            <w:u w:val="single"/>
          </w:rPr>
          <w:t>Supabase Auth</w:t>
        </w:r>
      </w:hyperlink>
    </w:p>
    <w:p>
      <w:pPr>
        <w:pStyle w:val="ListBullet"/>
      </w:pPr>
      <w:hyperlink r:id="rId12">
        <w:r>
          <w:rPr>
            <w:color w:val="0068B7"/>
            <w:u w:val="single"/>
          </w:rPr>
          <w:t>Supabase Row Level Security</w:t>
        </w:r>
      </w:hyperlink>
    </w:p>
    <w:p>
      <w:pPr>
        <w:pStyle w:val="ListBullet"/>
      </w:pPr>
      <w:hyperlink r:id="rId13">
        <w:r>
          <w:rPr>
            <w:color w:val="0068B7"/>
            <w:u w:val="single"/>
          </w:rPr>
          <w:t>Supabase Multi-Factor Authentication</w:t>
        </w:r>
      </w:hyperlink>
    </w:p>
    <w:p>
      <w:pPr>
        <w:pStyle w:val="ListBullet"/>
      </w:pPr>
      <w:hyperlink r:id="rId14">
        <w:r>
          <w:rPr>
            <w:color w:val="0068B7"/>
            <w:u w:val="single"/>
          </w:rPr>
          <w:t>Supabase Production Checklist</w:t>
        </w:r>
      </w:hyperlink>
    </w:p>
    <w:p>
      <w:pPr>
        <w:pStyle w:val="ListBullet"/>
      </w:pPr>
      <w:hyperlink r:id="rId15">
        <w:r>
          <w:rPr>
            <w:color w:val="0068B7"/>
            <w:u w:val="single"/>
          </w:rPr>
          <w:t>Supabase Database Backups</w:t>
        </w:r>
      </w:hyperlink>
    </w:p>
    <w:p>
      <w:pPr>
        <w:pStyle w:val="ListBullet"/>
      </w:pPr>
      <w:hyperlink r:id="rId16">
        <w:r>
          <w:rPr>
            <w:color w:val="0068B7"/>
            <w:u w:val="single"/>
          </w:rPr>
          <w:t>Supabase SOC 2 and HIPAA Requirements</w:t>
        </w:r>
      </w:hyperlink>
    </w:p>
    <w:p>
      <w:pPr>
        <w:pStyle w:val="ListBullet"/>
      </w:pPr>
      <w:hyperlink r:id="rId17">
        <w:r>
          <w:rPr>
            <w:color w:val="0068B7"/>
            <w:u w:val="single"/>
          </w:rPr>
          <w:t>Vercel Git Deployments</w:t>
        </w:r>
      </w:hyperlink>
    </w:p>
    <w:p>
      <w:pPr>
        <w:pStyle w:val="ListBullet"/>
      </w:pPr>
      <w:hyperlink r:id="rId18">
        <w:r>
          <w:rPr>
            <w:color w:val="0068B7"/>
            <w:u w:val="single"/>
          </w:rPr>
          <w:t>Vercel Deployments</w:t>
        </w:r>
      </w:hyperlink>
    </w:p>
    <w:p>
      <w:pPr>
        <w:pStyle w:val="ListBullet"/>
      </w:pPr>
      <w:hyperlink r:id="rId19">
        <w:r>
          <w:rPr>
            <w:color w:val="0068B7"/>
            <w:u w:val="single"/>
          </w:rPr>
          <w:t>Vercel Firewall</w:t>
        </w:r>
      </w:hyperlink>
    </w:p>
    <w:p>
      <w:pPr>
        <w:pStyle w:val="ListBullet"/>
      </w:pPr>
      <w:hyperlink r:id="rId20">
        <w:r>
          <w:rPr>
            <w:color w:val="0068B7"/>
            <w:u w:val="single"/>
          </w:rPr>
          <w:t>Vercel Deployment Protection</w:t>
        </w:r>
      </w:hyperlink>
    </w:p>
    <w:sectPr w:rsidR="00FC693F" w:rsidRPr="0006063C" w:rsidSect="00034616">
      <w:headerReference w:type="default" r:id="rId9"/>
      <w:footerReference w:type="default" r:id="rId10"/>
      <w:pgSz w:w="12240" w:h="15840"/>
      <w:pgMar w:top="1224"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873"/>
        <w:sz w:val="17"/>
      </w:rPr>
      <w:t>Production Launch Architecture  |  August 21, 2026</w:t>
    </w:r>
  </w:p>
  <w:p>
    <w:pPr>
      <w:jc w:val="right"/>
    </w:pPr>
    <w:r>
      <w:rPr>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5B6873"/>
        <w:sz w:val="17"/>
      </w:rPr>
      <w:t>AI PLAYBOOK FOR PUBLIC HEALTH  |  FOUNDATION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68B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68B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737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abase.com/docs/guides/auth" TargetMode="External"/><Relationship Id="rId12" Type="http://schemas.openxmlformats.org/officeDocument/2006/relationships/hyperlink" Target="https://supabase.com/docs/guides/database/postgres/row-level-security" TargetMode="External"/><Relationship Id="rId13" Type="http://schemas.openxmlformats.org/officeDocument/2006/relationships/hyperlink" Target="https://supabase.com/docs/guides/auth/auth-mfa" TargetMode="External"/><Relationship Id="rId14" Type="http://schemas.openxmlformats.org/officeDocument/2006/relationships/hyperlink" Target="https://supabase.com/docs/guides/deployment/going-into-prod" TargetMode="External"/><Relationship Id="rId15" Type="http://schemas.openxmlformats.org/officeDocument/2006/relationships/hyperlink" Target="https://supabase.com/docs/guides/platform/backups" TargetMode="External"/><Relationship Id="rId16" Type="http://schemas.openxmlformats.org/officeDocument/2006/relationships/hyperlink" Target="https://supabase.com/docs/guides/security/soc-2-compliance" TargetMode="External"/><Relationship Id="rId17" Type="http://schemas.openxmlformats.org/officeDocument/2006/relationships/hyperlink" Target="https://vercel.com/docs/git" TargetMode="External"/><Relationship Id="rId18" Type="http://schemas.openxmlformats.org/officeDocument/2006/relationships/hyperlink" Target="https://vercel.com/docs/deployments/overview" TargetMode="External"/><Relationship Id="rId19" Type="http://schemas.openxmlformats.org/officeDocument/2006/relationships/hyperlink" Target="https://vercel.com/docs/vercel-firewall" TargetMode="External"/><Relationship Id="rId20" Type="http://schemas.openxmlformats.org/officeDocument/2006/relationships/hyperlink" Target="https://vercel.com/docs/deployment-pro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 Edition Production Launch Plan</dc:title>
  <dc:subject>Secure accounts, multi-user persistence, and production hosting architecture</dc:subject>
  <dc:creator>PHI Solutions</dc:creator>
  <cp:keywords>AI Playbook, Foundation Edition, production architecture, authentication, Supabase, Vercel</cp:keywords>
  <dc:description>generated by python-docx</dc:description>
  <cp:lastModifiedBy/>
  <cp:revision>1</cp:revision>
  <dcterms:created xsi:type="dcterms:W3CDTF">2013-12-23T23:15:00Z</dcterms:created>
  <dcterms:modified xsi:type="dcterms:W3CDTF">2013-12-23T23:15:00Z</dcterms:modified>
  <cp:category/>
</cp:coreProperties>
</file>