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068B7"/>
          <w:sz w:val="20"/>
        </w:rPr>
        <w:t>LAUNCH COMMUNICATIONS GUIDE</w:t>
      </w:r>
    </w:p>
    <w:p>
      <w:pPr>
        <w:spacing w:after="40"/>
      </w:pPr>
      <w:r>
        <w:rPr>
          <w:rFonts w:ascii="Calibri" w:hAnsi="Calibri"/>
          <w:b/>
          <w:color w:val="073763"/>
          <w:sz w:val="60"/>
        </w:rPr>
        <w:t>Foundation Edition</w:t>
      </w:r>
    </w:p>
    <w:p>
      <w:pPr>
        <w:spacing w:after="140"/>
      </w:pPr>
      <w:r>
        <w:rPr>
          <w:rFonts w:ascii="Calibri" w:hAnsi="Calibri"/>
          <w:b/>
          <w:color w:val="073763"/>
          <w:sz w:val="34"/>
        </w:rPr>
        <w:t>Role-Stratified Outreach and Communications Plan</w:t>
      </w:r>
    </w:p>
    <w:p>
      <w:pPr>
        <w:spacing w:after="320"/>
      </w:pPr>
      <w:r>
        <w:rPr>
          <w:rFonts w:ascii="Calibri" w:hAnsi="Calibri"/>
          <w:color w:val="5B6873"/>
          <w:sz w:val="25"/>
        </w:rPr>
        <w:t>A practical plan for building awareness, trust, free-member activation, reviewer participation, and qualified demand for future editions and consulting support.</w:t>
      </w:r>
    </w:p>
    <w:tbl>
      <w:tblPr>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90" w:type="dxa"/>
              <w:start w:w="120" w:type="dxa"/>
              <w:bottom w:w="90" w:type="dxa"/>
              <w:end w:w="120" w:type="dxa"/>
            </w:tcMar>
            <w:shd w:fill="F2F4F7"/>
            <w:vAlign w:val="top"/>
          </w:tcPr>
          <w:p>
            <w:pPr>
              <w:spacing w:after="40" w:line="259" w:lineRule="auto"/>
            </w:pPr>
            <w:r>
              <w:rPr>
                <w:rFonts w:ascii="Calibri" w:hAnsi="Calibri"/>
                <w:sz w:val="18"/>
              </w:rPr>
              <w:t>Audience</w:t>
            </w:r>
          </w:p>
        </w:tc>
        <w:tc>
          <w:tcPr>
            <w:tcW w:type="dxa" w:w="4680"/>
            <w:tcMar>
              <w:top w:w="90" w:type="dxa"/>
              <w:start w:w="120" w:type="dxa"/>
              <w:bottom w:w="90" w:type="dxa"/>
              <w:end w:w="120" w:type="dxa"/>
            </w:tcMar>
            <w:vAlign w:val="top"/>
          </w:tcPr>
          <w:p>
            <w:pPr>
              <w:spacing w:after="40" w:line="259" w:lineRule="auto"/>
            </w:pPr>
            <w:r>
              <w:rPr>
                <w:rFonts w:ascii="Calibri" w:hAnsi="Calibri"/>
                <w:sz w:val="18"/>
              </w:rPr>
              <w:t>Public health leaders, practitioners, technical teams, learners, and partners</w:t>
            </w:r>
          </w:p>
        </w:tc>
      </w:tr>
      <w:tr>
        <w:trPr>
          <w:cantSplit/>
        </w:trPr>
        <w:tc>
          <w:tcPr>
            <w:tcW w:type="dxa" w:w="4680"/>
            <w:tcMar>
              <w:top w:w="90" w:type="dxa"/>
              <w:start w:w="120" w:type="dxa"/>
              <w:bottom w:w="90" w:type="dxa"/>
              <w:end w:w="120" w:type="dxa"/>
            </w:tcMar>
            <w:shd w:fill="F2F4F7"/>
            <w:vAlign w:val="top"/>
          </w:tcPr>
          <w:p>
            <w:pPr>
              <w:spacing w:after="40" w:line="259" w:lineRule="auto"/>
            </w:pPr>
            <w:r>
              <w:rPr>
                <w:rFonts w:ascii="Calibri" w:hAnsi="Calibri"/>
                <w:sz w:val="18"/>
              </w:rPr>
              <w:t>Planning horizon</w:t>
            </w:r>
          </w:p>
        </w:tc>
        <w:tc>
          <w:tcPr>
            <w:tcW w:type="dxa" w:w="4680"/>
            <w:tcMar>
              <w:top w:w="90" w:type="dxa"/>
              <w:start w:w="120" w:type="dxa"/>
              <w:bottom w:w="90" w:type="dxa"/>
              <w:end w:w="120" w:type="dxa"/>
            </w:tcMar>
            <w:vAlign w:val="top"/>
          </w:tcPr>
          <w:p>
            <w:pPr>
              <w:spacing w:after="40" w:line="259" w:lineRule="auto"/>
            </w:pPr>
            <w:r>
              <w:rPr>
                <w:rFonts w:ascii="Calibri" w:hAnsi="Calibri"/>
                <w:sz w:val="18"/>
              </w:rPr>
              <w:t>90-day launch plus 12-month sustainment</w:t>
            </w:r>
          </w:p>
        </w:tc>
      </w:tr>
    </w:tbl>
    <w:p/>
    <w:p>
      <w:pPr>
        <w:pStyle w:val="Heading1"/>
      </w:pPr>
      <w:r>
        <w:t>Executive direction</w:t>
      </w:r>
    </w:p>
    <w:p>
      <w:r>
        <w:t>The Foundation Edition should be introduced as a complete, trustworthy starting point for responsible public health AI implementation—not as a technical development toolkit and not as unfinished content. Outreach should lead with role-specific problems, demonstrate one useful next step, and ask people to create a free account only when persistence, downloads, personalized assessment, or reviewer participation creates clear value.</w:t>
      </w:r>
    </w:p>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90" w:type="dxa"/>
              <w:start w:w="120" w:type="dxa"/>
              <w:bottom w:w="90" w:type="dxa"/>
              <w:end w:w="120" w:type="dxa"/>
            </w:tcMar>
            <w:shd w:fill="EDF6EE"/>
            <w:vAlign w:val="top"/>
          </w:tcPr>
          <w:p>
            <w:pPr>
              <w:spacing w:after="40" w:line="259" w:lineRule="auto"/>
            </w:pPr>
            <w:r>
              <w:rPr>
                <w:rFonts w:ascii="Calibri" w:hAnsi="Calibri"/>
                <w:b/>
                <w:color w:val="073763"/>
                <w:sz w:val="18"/>
              </w:rPr>
              <w:t xml:space="preserve">Primary launch objective  </w:t>
            </w:r>
            <w:r>
              <w:rPr>
                <w:rFonts w:ascii="Calibri" w:hAnsi="Calibri"/>
                <w:sz w:val="18"/>
              </w:rPr>
              <w:t>Convert qualified public health visitors into active free members who complete at least one meaningful action: assess readiness, receive a learning pathway, open a play, use or download a Foundation tool, complete a module, apply to review prerelease materials, or request consulting support.</w:t>
            </w:r>
          </w:p>
        </w:tc>
      </w:tr>
    </w:tbl>
    <w:p>
      <w:pPr>
        <w:spacing w:after="0"/>
      </w:pPr>
    </w:p>
    <w:p>
      <w:pPr>
        <w:pStyle w:val="Heading1"/>
      </w:pPr>
      <w:r>
        <w:t>1. Positioning and message architecture</w:t>
      </w:r>
    </w:p>
    <w:p>
      <w:pPr>
        <w:pStyle w:val="Heading2"/>
      </w:pPr>
      <w:r>
        <w:t>Core positioning</w:t>
      </w:r>
    </w:p>
    <w:p>
      <w:r>
        <w:t>The Public Health AI Strategy and Implementation Playbook helps public health departments develop, use, and govern AI effectively, ethically, equitably, and sustainably. The Foundation Edition provides the full 13-play pathway, one practical Foundation tool for every play, core learning modules, personalized readiness and learning recommendations, curated evidence, and free-member progress tracking.</w:t>
      </w:r>
    </w:p>
    <w:p>
      <w:pPr>
        <w:pStyle w:val="Heading2"/>
      </w:pPr>
      <w:r>
        <w:t>Message pillars</w:t>
      </w:r>
    </w:p>
    <w:p>
      <w:r>
        <w:rPr>
          <w:rFonts w:ascii="Calibri" w:hAnsi="Calibri"/>
          <w:b/>
          <w:color w:val="073763"/>
        </w:rPr>
        <w:t xml:space="preserve">Implementation, not software construction: </w:t>
      </w:r>
      <w:r>
        <w:t>The Playbook provides the decisions, governance, workforce preparation, change management, procurement, vendor evaluation, privacy, equity, evaluation, and operational practices needed to implement AI responsibly.</w:t>
      </w:r>
    </w:p>
    <w:p>
      <w:r>
        <w:rPr>
          <w:rFonts w:ascii="Calibri" w:hAnsi="Calibri"/>
          <w:b/>
          <w:color w:val="073763"/>
        </w:rPr>
        <w:t xml:space="preserve">A complete pathway at the Foundation level: </w:t>
      </w:r>
      <w:r>
        <w:t>Users receive all 13 plays, 13 aligned Foundation tools, core learning, assessments, evidence, and practical next steps. More robust editions expand depth, collaboration, reporting, and the tool library.</w:t>
      </w:r>
    </w:p>
    <w:p>
      <w:r>
        <w:rPr>
          <w:rFonts w:ascii="Calibri" w:hAnsi="Calibri"/>
          <w:b/>
          <w:color w:val="073763"/>
        </w:rPr>
        <w:t xml:space="preserve">Built for public health reality: </w:t>
      </w:r>
      <w:r>
        <w:t>Guidance is grounded in governmental public health roles, constraints, examples, evidence needs, and cross-functional approval pathways.</w:t>
      </w:r>
    </w:p>
    <w:p>
      <w:r>
        <w:rPr>
          <w:rFonts w:ascii="Calibri" w:hAnsi="Calibri"/>
          <w:b/>
          <w:color w:val="073763"/>
        </w:rPr>
        <w:t xml:space="preserve">Personalized without hiding the whole system: </w:t>
      </w:r>
      <w:r>
        <w:t>Assessments prioritize the plays and modules most relevant to the user's gaps and role while preserving access to the full Foundation pathway.</w:t>
      </w:r>
    </w:p>
    <w:p>
      <w:r>
        <w:rPr>
          <w:rFonts w:ascii="Calibri" w:hAnsi="Calibri"/>
          <w:b/>
          <w:color w:val="073763"/>
        </w:rPr>
        <w:t xml:space="preserve">Trust through evidence and boundaries: </w:t>
      </w:r>
      <w:r>
        <w:t>Content shows sources, review information, appropriate-use limits, privacy warnings, and when local legal, security, equity, accessibility, procurement, or scientific review is required.</w:t>
      </w:r>
    </w:p>
    <w:p>
      <w:pPr>
        <w:pStyle w:val="Heading2"/>
      </w:pPr>
      <w:r>
        <w:t>Calls to action by funnel stage</w:t>
      </w:r>
    </w:p>
    <w:tbl>
      <w:tblPr>
        <w:tblW w:type="dxa" w:w="9360"/>
        <w:jc w:val="left"/>
        <w:tblLayout w:type="fixed"/>
        <w:tblLook w:firstColumn="1" w:firstRow="1" w:lastColumn="0" w:lastRow="0" w:noHBand="0" w:noVBand="1" w:val="04A0"/>
        <w:tblInd w:w="120" w:type="dxa"/>
      </w:tblPr>
      <w:tblGrid>
        <w:gridCol w:w="1500"/>
        <w:gridCol w:w="4860"/>
        <w:gridCol w:w="3000"/>
      </w:tblGrid>
      <w:tr>
        <w:trPr>
          <w:tblHeader w:val="true"/>
          <w:cantSplit/>
        </w:trPr>
        <w:tc>
          <w:tcPr>
            <w:tcW w:type="dxa" w:w="1500"/>
            <w:tcMar>
              <w:top w:w="90" w:type="dxa"/>
              <w:start w:w="120" w:type="dxa"/>
              <w:bottom w:w="90" w:type="dxa"/>
              <w:end w:w="120" w:type="dxa"/>
            </w:tcMar>
            <w:shd w:fill="073763"/>
            <w:vAlign w:val="top"/>
          </w:tcPr>
          <w:p>
            <w:pPr>
              <w:spacing w:after="40" w:line="259" w:lineRule="auto"/>
            </w:pPr>
            <w:r>
              <w:rPr>
                <w:rFonts w:ascii="Calibri" w:hAnsi="Calibri"/>
                <w:b/>
                <w:color w:val="FFFFFF"/>
                <w:sz w:val="18"/>
              </w:rPr>
              <w:t>Stage</w:t>
            </w:r>
          </w:p>
        </w:tc>
        <w:tc>
          <w:tcPr>
            <w:tcW w:type="dxa" w:w="4860"/>
            <w:tcMar>
              <w:top w:w="90" w:type="dxa"/>
              <w:start w:w="120" w:type="dxa"/>
              <w:bottom w:w="90" w:type="dxa"/>
              <w:end w:w="120" w:type="dxa"/>
            </w:tcMar>
            <w:shd w:fill="073763"/>
            <w:vAlign w:val="top"/>
          </w:tcPr>
          <w:p>
            <w:pPr>
              <w:spacing w:after="40" w:line="259" w:lineRule="auto"/>
            </w:pPr>
            <w:r>
              <w:rPr>
                <w:rFonts w:ascii="Calibri" w:hAnsi="Calibri"/>
                <w:b/>
                <w:color w:val="FFFFFF"/>
                <w:sz w:val="18"/>
              </w:rPr>
              <w:t>Communication job</w:t>
            </w:r>
          </w:p>
        </w:tc>
        <w:tc>
          <w:tcPr>
            <w:tcW w:type="dxa" w:w="3000"/>
            <w:tcMar>
              <w:top w:w="90" w:type="dxa"/>
              <w:start w:w="120" w:type="dxa"/>
              <w:bottom w:w="90" w:type="dxa"/>
              <w:end w:w="120" w:type="dxa"/>
            </w:tcMar>
            <w:shd w:fill="073763"/>
            <w:vAlign w:val="top"/>
          </w:tcPr>
          <w:p>
            <w:pPr>
              <w:spacing w:after="40" w:line="259" w:lineRule="auto"/>
            </w:pPr>
            <w:r>
              <w:rPr>
                <w:rFonts w:ascii="Calibri" w:hAnsi="Calibri"/>
                <w:b/>
                <w:color w:val="FFFFFF"/>
                <w:sz w:val="18"/>
              </w:rPr>
              <w:t>Primary CTA</w:t>
            </w:r>
          </w:p>
        </w:tc>
      </w:tr>
      <w:tr>
        <w:trPr>
          <w:cantSplit/>
        </w:trPr>
        <w:tc>
          <w:tcPr>
            <w:tcW w:type="dxa" w:w="1500"/>
            <w:vAlign w:val="top"/>
          </w:tcPr>
          <w:p>
            <w:pPr>
              <w:spacing w:after="40" w:line="259" w:lineRule="auto"/>
            </w:pPr>
            <w:r>
              <w:rPr>
                <w:rFonts w:ascii="Calibri" w:hAnsi="Calibri"/>
                <w:sz w:val="18"/>
              </w:rPr>
              <w:t>Awareness</w:t>
            </w:r>
          </w:p>
        </w:tc>
        <w:tc>
          <w:tcPr>
            <w:tcW w:type="dxa" w:w="4860"/>
            <w:vAlign w:val="top"/>
          </w:tcPr>
          <w:p>
            <w:pPr>
              <w:spacing w:after="40" w:line="259" w:lineRule="auto"/>
            </w:pPr>
            <w:r>
              <w:rPr>
                <w:rFonts w:ascii="Calibri" w:hAnsi="Calibri"/>
                <w:sz w:val="18"/>
              </w:rPr>
              <w:t>Make the problem and audience fit immediately clear.</w:t>
            </w:r>
          </w:p>
        </w:tc>
        <w:tc>
          <w:tcPr>
            <w:tcW w:type="dxa" w:w="3000"/>
            <w:vAlign w:val="top"/>
          </w:tcPr>
          <w:p>
            <w:pPr>
              <w:spacing w:after="40" w:line="259" w:lineRule="auto"/>
            </w:pPr>
            <w:r>
              <w:rPr>
                <w:rFonts w:ascii="Calibri" w:hAnsi="Calibri"/>
                <w:sz w:val="18"/>
              </w:rPr>
              <w:t>Explore the 13-play journey</w:t>
            </w:r>
          </w:p>
        </w:tc>
      </w:tr>
      <w:tr>
        <w:trPr>
          <w:cantSplit/>
        </w:trPr>
        <w:tc>
          <w:tcPr>
            <w:tcW w:type="dxa" w:w="1500"/>
            <w:vAlign w:val="top"/>
          </w:tcPr>
          <w:p>
            <w:pPr>
              <w:spacing w:after="40" w:line="259" w:lineRule="auto"/>
            </w:pPr>
            <w:r>
              <w:rPr>
                <w:rFonts w:ascii="Calibri" w:hAnsi="Calibri"/>
                <w:sz w:val="18"/>
              </w:rPr>
              <w:t>Relevance</w:t>
            </w:r>
          </w:p>
        </w:tc>
        <w:tc>
          <w:tcPr>
            <w:tcW w:type="dxa" w:w="4860"/>
            <w:vAlign w:val="top"/>
          </w:tcPr>
          <w:p>
            <w:pPr>
              <w:spacing w:after="40" w:line="259" w:lineRule="auto"/>
            </w:pPr>
            <w:r>
              <w:rPr>
                <w:rFonts w:ascii="Calibri" w:hAnsi="Calibri"/>
                <w:sz w:val="18"/>
              </w:rPr>
              <w:t>Show a role-specific use case and practical payoff.</w:t>
            </w:r>
          </w:p>
        </w:tc>
        <w:tc>
          <w:tcPr>
            <w:tcW w:type="dxa" w:w="3000"/>
            <w:vAlign w:val="top"/>
          </w:tcPr>
          <w:p>
            <w:pPr>
              <w:spacing w:after="40" w:line="259" w:lineRule="auto"/>
            </w:pPr>
            <w:r>
              <w:rPr>
                <w:rFonts w:ascii="Calibri" w:hAnsi="Calibri"/>
                <w:sz w:val="18"/>
              </w:rPr>
              <w:t>Find your role pathway</w:t>
            </w:r>
          </w:p>
        </w:tc>
      </w:tr>
      <w:tr>
        <w:trPr>
          <w:cantSplit/>
        </w:trPr>
        <w:tc>
          <w:tcPr>
            <w:tcW w:type="dxa" w:w="1500"/>
            <w:vAlign w:val="top"/>
          </w:tcPr>
          <w:p>
            <w:pPr>
              <w:spacing w:after="40" w:line="259" w:lineRule="auto"/>
            </w:pPr>
            <w:r>
              <w:rPr>
                <w:rFonts w:ascii="Calibri" w:hAnsi="Calibri"/>
                <w:sz w:val="18"/>
              </w:rPr>
              <w:t>Trust</w:t>
            </w:r>
          </w:p>
        </w:tc>
        <w:tc>
          <w:tcPr>
            <w:tcW w:type="dxa" w:w="4860"/>
            <w:vAlign w:val="top"/>
          </w:tcPr>
          <w:p>
            <w:pPr>
              <w:spacing w:after="40" w:line="259" w:lineRule="auto"/>
            </w:pPr>
            <w:r>
              <w:rPr>
                <w:rFonts w:ascii="Calibri" w:hAnsi="Calibri"/>
                <w:sz w:val="18"/>
              </w:rPr>
              <w:t>Show evidence, boundaries, examples, and review practices.</w:t>
            </w:r>
          </w:p>
        </w:tc>
        <w:tc>
          <w:tcPr>
            <w:tcW w:type="dxa" w:w="3000"/>
            <w:vAlign w:val="top"/>
          </w:tcPr>
          <w:p>
            <w:pPr>
              <w:spacing w:after="40" w:line="259" w:lineRule="auto"/>
            </w:pPr>
            <w:r>
              <w:rPr>
                <w:rFonts w:ascii="Calibri" w:hAnsi="Calibri"/>
                <w:sz w:val="18"/>
              </w:rPr>
              <w:t>Review evidence and resources</w:t>
            </w:r>
          </w:p>
        </w:tc>
      </w:tr>
      <w:tr>
        <w:trPr>
          <w:cantSplit/>
        </w:trPr>
        <w:tc>
          <w:tcPr>
            <w:tcW w:type="dxa" w:w="1500"/>
            <w:vAlign w:val="top"/>
          </w:tcPr>
          <w:p>
            <w:pPr>
              <w:spacing w:after="40" w:line="259" w:lineRule="auto"/>
            </w:pPr>
            <w:r>
              <w:rPr>
                <w:rFonts w:ascii="Calibri" w:hAnsi="Calibri"/>
                <w:sz w:val="18"/>
              </w:rPr>
              <w:t>Activation</w:t>
            </w:r>
          </w:p>
        </w:tc>
        <w:tc>
          <w:tcPr>
            <w:tcW w:type="dxa" w:w="4860"/>
            <w:vAlign w:val="top"/>
          </w:tcPr>
          <w:p>
            <w:pPr>
              <w:spacing w:after="40" w:line="259" w:lineRule="auto"/>
            </w:pPr>
            <w:r>
              <w:rPr>
                <w:rFonts w:ascii="Calibri" w:hAnsi="Calibri"/>
                <w:sz w:val="18"/>
              </w:rPr>
              <w:t>Offer a useful action worth account creation.</w:t>
            </w:r>
          </w:p>
        </w:tc>
        <w:tc>
          <w:tcPr>
            <w:tcW w:type="dxa" w:w="3000"/>
            <w:vAlign w:val="top"/>
          </w:tcPr>
          <w:p>
            <w:pPr>
              <w:spacing w:after="40" w:line="259" w:lineRule="auto"/>
            </w:pPr>
            <w:r>
              <w:rPr>
                <w:rFonts w:ascii="Calibri" w:hAnsi="Calibri"/>
                <w:sz w:val="18"/>
              </w:rPr>
              <w:t>Create a free account and save results</w:t>
            </w:r>
          </w:p>
        </w:tc>
      </w:tr>
      <w:tr>
        <w:trPr>
          <w:cantSplit/>
        </w:trPr>
        <w:tc>
          <w:tcPr>
            <w:tcW w:type="dxa" w:w="1500"/>
            <w:vAlign w:val="top"/>
          </w:tcPr>
          <w:p>
            <w:pPr>
              <w:spacing w:after="40" w:line="259" w:lineRule="auto"/>
            </w:pPr>
            <w:r>
              <w:rPr>
                <w:rFonts w:ascii="Calibri" w:hAnsi="Calibri"/>
                <w:sz w:val="18"/>
              </w:rPr>
              <w:t>Engagement</w:t>
            </w:r>
          </w:p>
        </w:tc>
        <w:tc>
          <w:tcPr>
            <w:tcW w:type="dxa" w:w="4860"/>
            <w:vAlign w:val="top"/>
          </w:tcPr>
          <w:p>
            <w:pPr>
              <w:spacing w:after="40" w:line="259" w:lineRule="auto"/>
            </w:pPr>
            <w:r>
              <w:rPr>
                <w:rFonts w:ascii="Calibri" w:hAnsi="Calibri"/>
                <w:sz w:val="18"/>
              </w:rPr>
              <w:t>Bring users back to complete an artifact or module.</w:t>
            </w:r>
          </w:p>
        </w:tc>
        <w:tc>
          <w:tcPr>
            <w:tcW w:type="dxa" w:w="3000"/>
            <w:vAlign w:val="top"/>
          </w:tcPr>
          <w:p>
            <w:pPr>
              <w:spacing w:after="40" w:line="259" w:lineRule="auto"/>
            </w:pPr>
            <w:r>
              <w:rPr>
                <w:rFonts w:ascii="Calibri" w:hAnsi="Calibri"/>
                <w:sz w:val="18"/>
              </w:rPr>
              <w:t>Continue your pathway</w:t>
            </w:r>
          </w:p>
        </w:tc>
      </w:tr>
      <w:tr>
        <w:trPr>
          <w:cantSplit/>
        </w:trPr>
        <w:tc>
          <w:tcPr>
            <w:tcW w:type="dxa" w:w="1500"/>
            <w:vAlign w:val="top"/>
          </w:tcPr>
          <w:p>
            <w:pPr>
              <w:spacing w:after="40" w:line="259" w:lineRule="auto"/>
            </w:pPr>
            <w:r>
              <w:rPr>
                <w:rFonts w:ascii="Calibri" w:hAnsi="Calibri"/>
                <w:sz w:val="18"/>
              </w:rPr>
              <w:t>Advocacy</w:t>
            </w:r>
          </w:p>
        </w:tc>
        <w:tc>
          <w:tcPr>
            <w:tcW w:type="dxa" w:w="4860"/>
            <w:vAlign w:val="top"/>
          </w:tcPr>
          <w:p>
            <w:pPr>
              <w:spacing w:after="40" w:line="259" w:lineRule="auto"/>
            </w:pPr>
            <w:r>
              <w:rPr>
                <w:rFonts w:ascii="Calibri" w:hAnsi="Calibri"/>
                <w:sz w:val="18"/>
              </w:rPr>
              <w:t>Invite structured contribution without soliciting donated IP.</w:t>
            </w:r>
          </w:p>
        </w:tc>
        <w:tc>
          <w:tcPr>
            <w:tcW w:type="dxa" w:w="3000"/>
            <w:vAlign w:val="top"/>
          </w:tcPr>
          <w:p>
            <w:pPr>
              <w:spacing w:after="40" w:line="259" w:lineRule="auto"/>
            </w:pPr>
            <w:r>
              <w:rPr>
                <w:rFonts w:ascii="Calibri" w:hAnsi="Calibri"/>
                <w:sz w:val="18"/>
              </w:rPr>
              <w:t>Apply to become a reviewer</w:t>
            </w:r>
          </w:p>
        </w:tc>
      </w:tr>
      <w:tr>
        <w:trPr>
          <w:cantSplit/>
        </w:trPr>
        <w:tc>
          <w:tcPr>
            <w:tcW w:type="dxa" w:w="1500"/>
            <w:vAlign w:val="top"/>
          </w:tcPr>
          <w:p>
            <w:pPr>
              <w:spacing w:after="40" w:line="259" w:lineRule="auto"/>
            </w:pPr>
            <w:r>
              <w:rPr>
                <w:rFonts w:ascii="Calibri" w:hAnsi="Calibri"/>
                <w:sz w:val="18"/>
              </w:rPr>
              <w:t>Conversion</w:t>
            </w:r>
          </w:p>
        </w:tc>
        <w:tc>
          <w:tcPr>
            <w:tcW w:type="dxa" w:w="4860"/>
            <w:vAlign w:val="top"/>
          </w:tcPr>
          <w:p>
            <w:pPr>
              <w:spacing w:after="40" w:line="259" w:lineRule="auto"/>
            </w:pPr>
            <w:r>
              <w:rPr>
                <w:rFonts w:ascii="Calibri" w:hAnsi="Calibri"/>
                <w:sz w:val="18"/>
              </w:rPr>
              <w:t>Identify needs beyond individual Foundation capabilities.</w:t>
            </w:r>
          </w:p>
        </w:tc>
        <w:tc>
          <w:tcPr>
            <w:tcW w:type="dxa" w:w="3000"/>
            <w:vAlign w:val="top"/>
          </w:tcPr>
          <w:p>
            <w:pPr>
              <w:spacing w:after="40" w:line="259" w:lineRule="auto"/>
            </w:pPr>
            <w:r>
              <w:rPr>
                <w:rFonts w:ascii="Calibri" w:hAnsi="Calibri"/>
                <w:sz w:val="18"/>
              </w:rPr>
              <w:t>Explore consulting or future editions</w:t>
            </w:r>
          </w:p>
        </w:tc>
      </w:tr>
    </w:tbl>
    <w:p>
      <w:pPr>
        <w:pStyle w:val="Heading1"/>
      </w:pPr>
      <w:r>
        <w:t>2. Audience priorities</w:t>
      </w:r>
    </w:p>
    <w:p>
      <w:r>
        <w:t>Initial outreach should concentrate effort where trusted intermediaries and cross-functional roles can create organizational adoption. The priority designation guides launch effort; it does not limit who can use the Foundation Edition.</w:t>
      </w:r>
    </w:p>
    <w:tbl>
      <w:tblPr>
        <w:tblW w:type="dxa" w:w="9360"/>
        <w:jc w:val="left"/>
        <w:tblLayout w:type="fixed"/>
        <w:tblLook w:firstColumn="1" w:firstRow="1" w:lastColumn="0" w:lastRow="0" w:noHBand="0" w:noVBand="1" w:val="04A0"/>
        <w:tblInd w:w="120" w:type="dxa"/>
      </w:tblPr>
      <w:tblGrid>
        <w:gridCol w:w="1200"/>
        <w:gridCol w:w="3600"/>
        <w:gridCol w:w="4560"/>
      </w:tblGrid>
      <w:tr>
        <w:trPr>
          <w:tblHeader w:val="true"/>
          <w:cantSplit/>
        </w:trPr>
        <w:tc>
          <w:tcPr>
            <w:tcW w:type="dxa" w:w="1200"/>
            <w:tcMar>
              <w:top w:w="90" w:type="dxa"/>
              <w:start w:w="120" w:type="dxa"/>
              <w:bottom w:w="90" w:type="dxa"/>
              <w:end w:w="120" w:type="dxa"/>
            </w:tcMar>
            <w:shd w:fill="073763"/>
            <w:vAlign w:val="top"/>
          </w:tcPr>
          <w:p>
            <w:pPr>
              <w:spacing w:after="40" w:line="259" w:lineRule="auto"/>
            </w:pPr>
            <w:r>
              <w:rPr>
                <w:rFonts w:ascii="Calibri" w:hAnsi="Calibri"/>
                <w:b/>
                <w:color w:val="FFFFFF"/>
                <w:sz w:val="18"/>
              </w:rPr>
              <w:t>Priority</w:t>
            </w:r>
          </w:p>
        </w:tc>
        <w:tc>
          <w:tcPr>
            <w:tcW w:type="dxa" w:w="3600"/>
            <w:tcMar>
              <w:top w:w="90" w:type="dxa"/>
              <w:start w:w="120" w:type="dxa"/>
              <w:bottom w:w="90" w:type="dxa"/>
              <w:end w:w="120" w:type="dxa"/>
            </w:tcMar>
            <w:shd w:fill="073763"/>
            <w:vAlign w:val="top"/>
          </w:tcPr>
          <w:p>
            <w:pPr>
              <w:spacing w:after="40" w:line="259" w:lineRule="auto"/>
            </w:pPr>
            <w:r>
              <w:rPr>
                <w:rFonts w:ascii="Calibri" w:hAnsi="Calibri"/>
                <w:b/>
                <w:color w:val="FFFFFF"/>
                <w:sz w:val="18"/>
              </w:rPr>
              <w:t>Roles</w:t>
            </w:r>
          </w:p>
        </w:tc>
        <w:tc>
          <w:tcPr>
            <w:tcW w:type="dxa" w:w="4560"/>
            <w:tcMar>
              <w:top w:w="90" w:type="dxa"/>
              <w:start w:w="120" w:type="dxa"/>
              <w:bottom w:w="90" w:type="dxa"/>
              <w:end w:w="120" w:type="dxa"/>
            </w:tcMar>
            <w:shd w:fill="073763"/>
            <w:vAlign w:val="top"/>
          </w:tcPr>
          <w:p>
            <w:pPr>
              <w:spacing w:after="40" w:line="259" w:lineRule="auto"/>
            </w:pPr>
            <w:r>
              <w:rPr>
                <w:rFonts w:ascii="Calibri" w:hAnsi="Calibri"/>
                <w:b/>
                <w:color w:val="FFFFFF"/>
                <w:sz w:val="18"/>
              </w:rPr>
              <w:t>Launch purpose</w:t>
            </w:r>
          </w:p>
        </w:tc>
      </w:tr>
      <w:tr>
        <w:trPr>
          <w:cantSplit/>
        </w:trPr>
        <w:tc>
          <w:tcPr>
            <w:tcW w:type="dxa" w:w="1200"/>
            <w:vAlign w:val="top"/>
          </w:tcPr>
          <w:p>
            <w:pPr>
              <w:spacing w:after="40" w:line="259" w:lineRule="auto"/>
            </w:pPr>
            <w:r>
              <w:rPr>
                <w:rFonts w:ascii="Calibri" w:hAnsi="Calibri"/>
                <w:sz w:val="18"/>
              </w:rPr>
              <w:t>Tier 1</w:t>
            </w:r>
          </w:p>
        </w:tc>
        <w:tc>
          <w:tcPr>
            <w:tcW w:type="dxa" w:w="3600"/>
            <w:vAlign w:val="top"/>
          </w:tcPr>
          <w:p>
            <w:pPr>
              <w:spacing w:after="40" w:line="259" w:lineRule="auto"/>
            </w:pPr>
            <w:r>
              <w:rPr>
                <w:rFonts w:ascii="Calibri" w:hAnsi="Calibri"/>
                <w:sz w:val="18"/>
              </w:rPr>
              <w:t>Health officers/executives; governance/privacy/legal/security; informatics directors; program managers</w:t>
            </w:r>
          </w:p>
        </w:tc>
        <w:tc>
          <w:tcPr>
            <w:tcW w:type="dxa" w:w="4560"/>
            <w:vAlign w:val="top"/>
          </w:tcPr>
          <w:p>
            <w:pPr>
              <w:spacing w:after="40" w:line="259" w:lineRule="auto"/>
            </w:pPr>
            <w:r>
              <w:rPr>
                <w:rFonts w:ascii="Calibri" w:hAnsi="Calibri"/>
                <w:sz w:val="18"/>
              </w:rPr>
              <w:t>Secure authority, organizational relevance, credible feedback, and implementation use.</w:t>
            </w:r>
          </w:p>
        </w:tc>
      </w:tr>
      <w:tr>
        <w:trPr>
          <w:cantSplit/>
        </w:trPr>
        <w:tc>
          <w:tcPr>
            <w:tcW w:type="dxa" w:w="1200"/>
            <w:vAlign w:val="top"/>
          </w:tcPr>
          <w:p>
            <w:pPr>
              <w:spacing w:after="40" w:line="259" w:lineRule="auto"/>
            </w:pPr>
            <w:r>
              <w:rPr>
                <w:rFonts w:ascii="Calibri" w:hAnsi="Calibri"/>
                <w:sz w:val="18"/>
              </w:rPr>
              <w:t>Tier 2</w:t>
            </w:r>
          </w:p>
        </w:tc>
        <w:tc>
          <w:tcPr>
            <w:tcW w:type="dxa" w:w="3600"/>
            <w:vAlign w:val="top"/>
          </w:tcPr>
          <w:p>
            <w:pPr>
              <w:spacing w:after="40" w:line="259" w:lineRule="auto"/>
            </w:pPr>
            <w:r>
              <w:rPr>
                <w:rFonts w:ascii="Calibri" w:hAnsi="Calibri"/>
                <w:sz w:val="18"/>
              </w:rPr>
              <w:t>Epidemiologists; IT/technical leads; communications; equity/community; procurement/finance/grants</w:t>
            </w:r>
          </w:p>
        </w:tc>
        <w:tc>
          <w:tcPr>
            <w:tcW w:type="dxa" w:w="4560"/>
            <w:vAlign w:val="top"/>
          </w:tcPr>
          <w:p>
            <w:pPr>
              <w:spacing w:after="40" w:line="259" w:lineRule="auto"/>
            </w:pPr>
            <w:r>
              <w:rPr>
                <w:rFonts w:ascii="Calibri" w:hAnsi="Calibri"/>
                <w:sz w:val="18"/>
              </w:rPr>
              <w:t>Demonstrate cross-functional utility and practical role fit.</w:t>
            </w:r>
          </w:p>
        </w:tc>
      </w:tr>
      <w:tr>
        <w:trPr>
          <w:cantSplit/>
        </w:trPr>
        <w:tc>
          <w:tcPr>
            <w:tcW w:type="dxa" w:w="1200"/>
            <w:vAlign w:val="top"/>
          </w:tcPr>
          <w:p>
            <w:pPr>
              <w:spacing w:after="40" w:line="259" w:lineRule="auto"/>
            </w:pPr>
            <w:r>
              <w:rPr>
                <w:rFonts w:ascii="Calibri" w:hAnsi="Calibri"/>
                <w:sz w:val="18"/>
              </w:rPr>
              <w:t>Tier 3</w:t>
            </w:r>
          </w:p>
        </w:tc>
        <w:tc>
          <w:tcPr>
            <w:tcW w:type="dxa" w:w="3600"/>
            <w:vAlign w:val="top"/>
          </w:tcPr>
          <w:p>
            <w:pPr>
              <w:spacing w:after="40" w:line="259" w:lineRule="auto"/>
            </w:pPr>
            <w:r>
              <w:rPr>
                <w:rFonts w:ascii="Calibri" w:hAnsi="Calibri"/>
                <w:sz w:val="18"/>
              </w:rPr>
              <w:t>Researchers/evaluators; workforce/training leads; students/learners; organization administrators</w:t>
            </w:r>
          </w:p>
        </w:tc>
        <w:tc>
          <w:tcPr>
            <w:tcW w:type="dxa" w:w="4560"/>
            <w:vAlign w:val="top"/>
          </w:tcPr>
          <w:p>
            <w:pPr>
              <w:spacing w:after="40" w:line="259" w:lineRule="auto"/>
            </w:pPr>
            <w:r>
              <w:rPr>
                <w:rFonts w:ascii="Calibri" w:hAnsi="Calibri"/>
                <w:sz w:val="18"/>
              </w:rPr>
              <w:t>Build evidence, learning uptake, reviewer capacity, and future organizational demand.</w:t>
            </w:r>
          </w:p>
        </w:tc>
      </w:tr>
    </w:tbl>
    <w:p>
      <w:pPr>
        <w:pStyle w:val="Heading1"/>
      </w:pPr>
      <w:r>
        <w:t>3. Role-stratified outreach playbook</w:t>
      </w:r>
    </w:p>
    <w:p>
      <w:pPr>
        <w:pStyle w:val="Heading1"/>
      </w:pPr>
      <w:r>
        <w:t>Decision and governance</w:t>
      </w:r>
    </w:p>
    <w:p>
      <w:pPr>
        <w:pStyle w:val="Heading2"/>
      </w:pPr>
      <w:r>
        <w:t>Health Officer / Executive Sponsor</w:t>
      </w:r>
    </w:p>
    <w:p>
      <w:pPr>
        <w:spacing w:after="140"/>
      </w:pPr>
      <w:r>
        <w:rPr>
          <w:rFonts w:ascii="Calibri" w:hAnsi="Calibri"/>
          <w:b/>
          <w:color w:val="073763"/>
          <w:sz w:val="23"/>
        </w:rPr>
        <w:t>Turn AI interest into an accountable, sequenced agency pathway.</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Quickly understand risk, value, readiness, ownership, and the next decision.</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You do not need to choose an AI product first. Start with mission, guardrails, readiness, governance, and an evidence-informed implementation sequence.</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13-play journey; readiness pathway; executive-oriented Plays 1–3; printable tools and decision records.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ASTHO, NACCHO, Big Cities Health Coalition and affiliate newsletters; executive webinars; conference leadership sessions; peer referrals;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Complete the readiness assessment or schedule an executive briefing.</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Send a concise pathway summary, governance prompt, and consulting option within 48 hours.</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Feature-heavy language, technical jargon, or implying that AI adoption is inevitable.</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Executive pathway starts, briefing requests, saved readiness results, and leadership referrals.</w:t>
            </w:r>
          </w:p>
        </w:tc>
      </w:tr>
    </w:tbl>
    <w:p>
      <w:pPr>
        <w:spacing w:after="0"/>
      </w:pPr>
    </w:p>
    <w:p>
      <w:pPr>
        <w:pStyle w:val="Heading2"/>
      </w:pPr>
      <w:r>
        <w:t>Governance, Privacy, Legal, Security, or Risk Lead</w:t>
      </w:r>
    </w:p>
    <w:p>
      <w:pPr>
        <w:spacing w:after="140"/>
      </w:pPr>
      <w:r>
        <w:rPr>
          <w:rFonts w:ascii="Calibri" w:hAnsi="Calibri"/>
          <w:b/>
          <w:color w:val="073763"/>
          <w:sz w:val="23"/>
        </w:rPr>
        <w:t>Establish accountable AI review even before a dedicated governance committee exists.</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Decision rights, named roles, risk-tiered review, evidence, approvals, monitoring, and escalation.</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Play 3 helps create or connect an AI governance function to existing legal, privacy, security, data, records, procurement, and executive pathways.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Readiness findings; Plays 1–3 and 12; RASCI-based guidance; policy and governance tools.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Public-sector legal/privacy/security groups, governance webinars, association committees, direct briefings,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Review Play 3 and use the governance Foundation tool.</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Offer a governance briefing, reviewer pathway, and readiness/governance consulting engagement.</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Vague labels such as 'governance' or 'equity' without naming responsible roles and authorities.</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Play 3 engagement, governance-tool use, reviewer applications, and consultation requests.</w:t>
            </w:r>
          </w:p>
        </w:tc>
      </w:tr>
    </w:tbl>
    <w:p>
      <w:pPr>
        <w:spacing w:after="0"/>
      </w:pPr>
    </w:p>
    <w:p>
      <w:pPr>
        <w:pStyle w:val="Heading2"/>
      </w:pPr>
      <w:r>
        <w:t>Procurement / Finance / Grants Lead</w:t>
      </w:r>
    </w:p>
    <w:p>
      <w:pPr>
        <w:spacing w:after="140"/>
      </w:pPr>
      <w:r>
        <w:rPr>
          <w:rFonts w:ascii="Calibri" w:hAnsi="Calibri"/>
          <w:b/>
          <w:color w:val="073763"/>
          <w:sz w:val="23"/>
        </w:rPr>
        <w:t>Evaluate the full cost, evidence, controls, and exit obligations of AI procurement.</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Requirements covering vendor claims, data rights, accessibility, auditability, funding, operations, and transition.</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Responsible AI procurement extends beyond license price. The Playbook connects acquisition to governance, validation, implementation, monitoring, and sustainment.</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Vendor evaluation and contracting learning; procurement plays; Foundation checklist; funding and sustainability guidance.</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Government procurement associations, grants-management networks, CFO/finance groups, webinars, checklists, direct partner outreach.</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Use the Foundation vendor/procurement checklist on a current or sample proposal.</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Share the vendor-evaluation module and consulting support for procurement design.</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Suggesting that the Foundation checklist replaces counsel or jurisdiction-specific procurement requirements.</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Checklist downloads, contracting-module starts, partner shares, and procurement inquiries.</w:t>
            </w:r>
          </w:p>
        </w:tc>
      </w:tr>
    </w:tbl>
    <w:p>
      <w:pPr>
        <w:spacing w:after="0"/>
      </w:pPr>
    </w:p>
    <w:p>
      <w:r>
        <w:br w:type="page"/>
      </w:r>
    </w:p>
    <w:p>
      <w:pPr>
        <w:pStyle w:val="Heading1"/>
      </w:pPr>
      <w:r>
        <w:t>Program, data, and technology</w:t>
      </w:r>
    </w:p>
    <w:p>
      <w:pPr>
        <w:pStyle w:val="Heading2"/>
      </w:pPr>
      <w:r>
        <w:t>Epidemiologist</w:t>
      </w:r>
    </w:p>
    <w:p>
      <w:pPr>
        <w:spacing w:after="140"/>
      </w:pPr>
      <w:r>
        <w:rPr>
          <w:rFonts w:ascii="Calibri" w:hAnsi="Calibri"/>
          <w:b/>
          <w:color w:val="073763"/>
          <w:sz w:val="23"/>
        </w:rPr>
        <w:t>Evaluate whether AI-assisted surveillance and analytics are scientifically and operationally fit.</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Protect validity, confidentiality, human judgment, subgroup performance, and response usefulness.</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Use public-health-specific validation, monitoring, data-quality, equity, and incident guidance before automating conclusions.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Surveillance examples; evidence sources; validation and monitoring plays; task-ready Foundation checklists.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CSTE communities, epidemiology newsletters, methods webinars, conference sessions, peer demonstrations, LinkedIn groups.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Explore a surveillance scenario and complete the aligned Foundation tool.</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Offer an evaluator-focused module, source set, and reviewer application.</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Promises of faster detection without discussing false alerts, bias, workflow burden, or validation.</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Tool completions, source clicks, reviewer applications, and evaluation-pathway use.</w:t>
            </w:r>
          </w:p>
        </w:tc>
      </w:tr>
    </w:tbl>
    <w:p>
      <w:pPr>
        <w:spacing w:after="0"/>
      </w:pPr>
    </w:p>
    <w:p>
      <w:pPr>
        <w:pStyle w:val="Heading2"/>
      </w:pPr>
      <w:r>
        <w:t>Informatics Director</w:t>
      </w:r>
    </w:p>
    <w:p>
      <w:pPr>
        <w:spacing w:after="140"/>
      </w:pPr>
      <w:r>
        <w:rPr>
          <w:rFonts w:ascii="Calibri" w:hAnsi="Calibri"/>
          <w:b/>
          <w:color w:val="073763"/>
          <w:sz w:val="23"/>
        </w:rPr>
        <w:t>Connect AI initiatives to existing data modernization, interoperability, architecture, and governance.</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Prevent duplicated systems and pilots without reusable infrastructure or sustainment.</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Use readiness findings to map each AI use case to data, standards, governance, workforce, funding, and implementation dependencies.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Dependency-rich plays; shared content IDs; architecture resources; structured implementation tools.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PHII, HIMSS public-sector groups, CDC data modernization communities, informatics forums, technical briefings,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Run the readiness assessment and map one current use case to the 13-play pathway.</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Share an architecture-focused demonstration and future organization-edition capabilities.</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Presenting the site as a replacement for enterprise architecture or data governance.</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Readiness completions, architecture-resource use, return visits, and organization inquiries.</w:t>
            </w:r>
          </w:p>
        </w:tc>
      </w:tr>
    </w:tbl>
    <w:p>
      <w:pPr>
        <w:spacing w:after="0"/>
      </w:pPr>
    </w:p>
    <w:p>
      <w:pPr>
        <w:pStyle w:val="Heading2"/>
      </w:pPr>
      <w:r>
        <w:t>Program Manager</w:t>
      </w:r>
    </w:p>
    <w:p>
      <w:pPr>
        <w:spacing w:after="140"/>
      </w:pPr>
      <w:r>
        <w:rPr>
          <w:rFonts w:ascii="Calibri" w:hAnsi="Calibri"/>
          <w:b/>
          <w:color w:val="073763"/>
          <w:sz w:val="23"/>
        </w:rPr>
        <w:t>Turn a service or workflow problem into a review-ready, measurable AI use case.</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Plain-language guidance that connects outcomes, workflow, people, change, risk, and sustainment.</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Begin with the public health problem—not the technology. The Playbook guides the cross-functional work needed to decide whether and how AI fits.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Public health scenarios; guided tools; dynamically documented selections; owners, activities, and due dates.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Program-specific associations and listservs; state/local practice networks; short demonstrations; partner newsletters; webinars.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Choose the play closest to your current problem and use its Foundation tool.</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Provide a relevant case example, next play, and consulting option for facilitated implementation.</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Abstract AI language or examples detached from public health workflows.</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Play-to-tool transitions, saved tasks, repeat use, and implementation-support inquiries.</w:t>
            </w:r>
          </w:p>
        </w:tc>
      </w:tr>
    </w:tbl>
    <w:p>
      <w:pPr>
        <w:spacing w:after="0"/>
      </w:pPr>
    </w:p>
    <w:p>
      <w:pPr>
        <w:pStyle w:val="Heading2"/>
      </w:pPr>
      <w:r>
        <w:t>IT / Technical Lead</w:t>
      </w:r>
    </w:p>
    <w:p>
      <w:pPr>
        <w:spacing w:after="140"/>
      </w:pPr>
      <w:r>
        <w:rPr>
          <w:rFonts w:ascii="Calibri" w:hAnsi="Calibri"/>
          <w:b/>
          <w:color w:val="073763"/>
          <w:sz w:val="23"/>
        </w:rPr>
        <w:t>Define the controls and operational conditions required for safe, supportable deployment.</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Clear requirements for identity, data, integration, vendors, monitoring, incidents, and rollback.</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The Foundation Edition helps translate approved public health needs into documented technical and operational requirements; it is not a coding toolkit.</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Security, privacy, vendor, deployment, monitoring, and retirement guidance; explicit non-PHI boundary.</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Government IT communities, NASCIO affiliates, health IT forums, security webinars, architecture demos,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Review the technical implementation pathway and test a Foundation checklist.</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Share the production architecture brief and invite technical review.</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Suggesting that checklists replace local security engineering, threat modeling, or compliance review.</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Technical resource downloads, checklist completions, reviewer participation, and architecture inquiries.</w:t>
            </w:r>
          </w:p>
        </w:tc>
      </w:tr>
    </w:tbl>
    <w:p>
      <w:pPr>
        <w:spacing w:after="0"/>
      </w:pPr>
    </w:p>
    <w:p>
      <w:r>
        <w:br w:type="page"/>
      </w:r>
    </w:p>
    <w:p>
      <w:pPr>
        <w:pStyle w:val="Heading1"/>
      </w:pPr>
      <w:r>
        <w:t>Trust, evidence, and community</w:t>
      </w:r>
    </w:p>
    <w:p>
      <w:pPr>
        <w:pStyle w:val="Heading2"/>
      </w:pPr>
      <w:r>
        <w:t>Communications Professional</w:t>
      </w:r>
    </w:p>
    <w:p>
      <w:pPr>
        <w:spacing w:after="140"/>
      </w:pPr>
      <w:r>
        <w:rPr>
          <w:rFonts w:ascii="Calibri" w:hAnsi="Calibri"/>
          <w:b/>
          <w:color w:val="073763"/>
          <w:sz w:val="23"/>
        </w:rPr>
        <w:t>Use AI-assisted drafting while preserving accuracy, accessibility, language access, and public trust.</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Practical review and approval pathways for time-sensitive public information.</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AI can support bounded drafting and adaptation only when source verification, subject-matter review, accessibility, disclosure, and approval remain explicit.</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Public advisory scenarios; safe-use modules; human-review and communications tools.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NPHIC, APHA communications communities, PIO networks, webinars, newsletters, conference workshops,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Review the public-information scenario and download the communications Foundation tool.</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Send safe-use learning, reviewer invitation, and a communications checklist reminder.</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Generic productivity claims or implying that AI can replace public-information judgment.</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Module completions, tool downloads, webinar engagement, and reviewer applications.</w:t>
            </w:r>
          </w:p>
        </w:tc>
      </w:tr>
    </w:tbl>
    <w:p>
      <w:pPr>
        <w:spacing w:after="0"/>
      </w:pPr>
    </w:p>
    <w:p>
      <w:pPr>
        <w:pStyle w:val="Heading2"/>
      </w:pPr>
      <w:r>
        <w:t>Researcher / Evaluator</w:t>
      </w:r>
    </w:p>
    <w:p>
      <w:pPr>
        <w:spacing w:after="140"/>
      </w:pPr>
      <w:r>
        <w:rPr>
          <w:rFonts w:ascii="Calibri" w:hAnsi="Calibri"/>
          <w:b/>
          <w:color w:val="073763"/>
          <w:sz w:val="23"/>
        </w:rPr>
        <w:t>Trace claims to evidence and design evaluations that measure benefits, harms, equity, workflow, and sustainment.</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Provenance, evidence labels, limitations, stable citations, and field-relevant measures.</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The Playbook distinguishes promising practice from stronger evidence and helps users test implementation claims rather than repeat them.</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Curated resources; project summaries; evidence status; evaluation and monitoring guidance.</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AJPH/APHA communities, schools and programs of public health, evaluation networks, webinars, research newsletters, LinkedIn.</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Review the evidence collection and apply to evaluate prerelease materials.</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Invite source corrections, evidence feedback, and structured review—not donated tools.</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Overstating evidence strength or presenting vendor claims as outcomes.</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Citation/resource use, evidence feedback, evaluation-tool use, and reviewer retention.</w:t>
            </w:r>
          </w:p>
        </w:tc>
      </w:tr>
    </w:tbl>
    <w:p>
      <w:pPr>
        <w:spacing w:after="0"/>
      </w:pPr>
    </w:p>
    <w:p>
      <w:pPr>
        <w:pStyle w:val="Heading2"/>
      </w:pPr>
      <w:r>
        <w:t>Equity &amp; Community Engagement Lead / Community Partner</w:t>
      </w:r>
    </w:p>
    <w:p>
      <w:pPr>
        <w:spacing w:after="140"/>
      </w:pPr>
      <w:r>
        <w:rPr>
          <w:rFonts w:ascii="Calibri" w:hAnsi="Calibri"/>
          <w:b/>
          <w:color w:val="073763"/>
          <w:sz w:val="23"/>
        </w:rPr>
        <w:t>Bring affected communities, access barriers, and decision influence into AI work early.</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Plain-language participation, data-use boundaries, documented concerns, mitigations, and accountable response.</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Equitable AI is a lifecycle governance responsibility. Community input should change decisions, not merely validate them after the fact.</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Equity governance standard; community examples; Tribal data sovereignty content; mitigation and monitoring tools.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Community health networks, Tribal public health partners, health-equity coalitions, accessible webinars, partner briefings, facilitated sessions.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Explore the equity and community-engagement pathway and provide structured feedback.</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Share accessible materials, show how feedback is handled, and invite appropriately matched review.</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Extractive consultation, technical framing, or implying one person represents an entire community.</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Feedback quality, community-partner referrals, equity-tool use, and documented corrections.</w:t>
            </w:r>
          </w:p>
        </w:tc>
      </w:tr>
    </w:tbl>
    <w:p>
      <w:pPr>
        <w:spacing w:after="0"/>
      </w:pPr>
    </w:p>
    <w:p>
      <w:r>
        <w:br w:type="page"/>
      </w:r>
    </w:p>
    <w:p>
      <w:pPr>
        <w:pStyle w:val="Heading1"/>
      </w:pPr>
      <w:r>
        <w:t>Learning and coordination</w:t>
      </w:r>
    </w:p>
    <w:p>
      <w:pPr>
        <w:pStyle w:val="Heading2"/>
      </w:pPr>
      <w:r>
        <w:t>Student / Learner</w:t>
      </w:r>
    </w:p>
    <w:p>
      <w:pPr>
        <w:spacing w:after="140"/>
      </w:pPr>
      <w:r>
        <w:rPr>
          <w:rFonts w:ascii="Calibri" w:hAnsi="Calibri"/>
          <w:b/>
          <w:color w:val="073763"/>
          <w:sz w:val="23"/>
        </w:rPr>
        <w:t>Build role-appropriate public health AI competence through a clear, personalized starting path.</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Plain-language foundations, realistic examples, visible progress, and confidence about when to escalate.</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You do not need a technical background. Start with shared Foundation modules, then use the role-based assessment to identify the modules most relevant to your responsibilities.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Nine Foundation modules; personalized learning assessment; saved recommendations and progress.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Schools and programs of public health, career centers, student associations, faculty partners, webinars, social media, newsletters.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Create a free account and take the personalized learning-pathway assessment.</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Send recommended modules in order and a reminder to continue progress.</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Calling modules full courses or making foundational questions unnecessarily technical.</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Account creation, assessment completion, module progress, and return rate.</w:t>
            </w:r>
          </w:p>
        </w:tc>
      </w:tr>
    </w:tbl>
    <w:p>
      <w:pPr>
        <w:spacing w:after="0"/>
      </w:pPr>
    </w:p>
    <w:p>
      <w:pPr>
        <w:pStyle w:val="Heading2"/>
      </w:pPr>
      <w:r>
        <w:t>Workforce / Training Lead or AI Champion</w:t>
      </w:r>
    </w:p>
    <w:p>
      <w:pPr>
        <w:spacing w:after="140"/>
      </w:pPr>
      <w:r>
        <w:rPr>
          <w:rFonts w:ascii="Calibri" w:hAnsi="Calibri"/>
          <w:b/>
          <w:color w:val="073763"/>
          <w:sz w:val="23"/>
        </w:rPr>
        <w:t>Build the competencies staff need to develop, use, and govern AI responsibly.</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Role-aligned learning that connects shared foundations to workplace responsibilities and projects.</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All staff need common foundations; role pathways then deepen the competencies required for leadership, governance, programs, communications, procurement, data, informatics, IT, or technical work.</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Curriculum overview; role-based learning pathways; personalized assessment; required environmental module; progress tracking.</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Public health training centers, HR/workforce networks, academic partners, learning webinars, newsletters, conference sessions.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Review the curriculum overview and complete the personalized learning assessment.</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Share pathway results, implementation guidance for supervisors, and future organization-level tracking.</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Equating module completion with competence or promoting one-size-fits-all training.</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Learning assessments, pathway use, module completion, and workforce-support inquiries.</w:t>
            </w:r>
          </w:p>
        </w:tc>
      </w:tr>
    </w:tbl>
    <w:p>
      <w:pPr>
        <w:spacing w:after="0"/>
      </w:pPr>
    </w:p>
    <w:p>
      <w:pPr>
        <w:pStyle w:val="Heading2"/>
      </w:pPr>
      <w:r>
        <w:t>Organization Administrator</w:t>
      </w:r>
    </w:p>
    <w:p>
      <w:pPr>
        <w:spacing w:after="140"/>
      </w:pPr>
      <w:r>
        <w:rPr>
          <w:rFonts w:ascii="Calibri" w:hAnsi="Calibri"/>
          <w:b/>
          <w:color w:val="073763"/>
          <w:sz w:val="23"/>
        </w:rPr>
        <w:t>Start individuals safely now and understand when organization-level coordination is needed.</w:t>
      </w:r>
    </w:p>
    <w:tbl>
      <w:tblPr>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F2F4F7"/>
            <w:vAlign w:val="top"/>
          </w:tcPr>
          <w:p>
            <w:pPr>
              <w:spacing w:after="40" w:line="259" w:lineRule="auto"/>
            </w:pPr>
            <w:r>
              <w:rPr>
                <w:rFonts w:ascii="Calibri" w:hAnsi="Calibri"/>
                <w:b/>
                <w:color w:val="073763"/>
                <w:sz w:val="18"/>
              </w:rPr>
              <w:t>Primary need</w:t>
            </w:r>
          </w:p>
        </w:tc>
        <w:tc>
          <w:tcPr>
            <w:tcW w:type="dxa" w:w="6960"/>
            <w:vAlign w:val="top"/>
          </w:tcPr>
          <w:p>
            <w:pPr>
              <w:spacing w:after="40" w:line="259" w:lineRule="auto"/>
            </w:pPr>
            <w:r>
              <w:rPr>
                <w:rFonts w:ascii="Calibri" w:hAnsi="Calibri"/>
                <w:sz w:val="18"/>
              </w:rPr>
              <w:t>Clear boundaries between personal accounts, future shared workspaces, permissions, reporting, and administration.</w:t>
            </w:r>
          </w:p>
        </w:tc>
      </w:tr>
      <w:tr>
        <w:trPr>
          <w:cantSplit/>
        </w:trPr>
        <w:tc>
          <w:tcPr>
            <w:tcW w:type="dxa" w:w="2400"/>
            <w:shd w:fill="F2F4F7"/>
            <w:vAlign w:val="top"/>
          </w:tcPr>
          <w:p>
            <w:pPr>
              <w:spacing w:after="40" w:line="259" w:lineRule="auto"/>
            </w:pPr>
            <w:r>
              <w:rPr>
                <w:rFonts w:ascii="Calibri" w:hAnsi="Calibri"/>
                <w:b/>
                <w:color w:val="073763"/>
                <w:sz w:val="18"/>
              </w:rPr>
              <w:t>Message</w:t>
            </w:r>
          </w:p>
        </w:tc>
        <w:tc>
          <w:tcPr>
            <w:tcW w:type="dxa" w:w="6960"/>
            <w:vAlign w:val="top"/>
          </w:tcPr>
          <w:p>
            <w:pPr>
              <w:spacing w:after="40" w:line="259" w:lineRule="auto"/>
            </w:pPr>
            <w:r>
              <w:rPr>
                <w:rFonts w:ascii="Calibri" w:hAnsi="Calibri"/>
                <w:sz w:val="18"/>
              </w:rPr>
              <w:t>Foundation My Account supports an individual's saved work and learning. Organization and Enterprise Editions will add shared administration, team visibility, dashboards, and organizational workflows.</w:t>
            </w:r>
          </w:p>
        </w:tc>
      </w:tr>
      <w:tr>
        <w:trPr>
          <w:cantSplit/>
        </w:trPr>
        <w:tc>
          <w:tcPr>
            <w:tcW w:type="dxa" w:w="2400"/>
            <w:shd w:fill="F2F4F7"/>
            <w:vAlign w:val="top"/>
          </w:tcPr>
          <w:p>
            <w:pPr>
              <w:spacing w:after="40" w:line="259" w:lineRule="auto"/>
            </w:pPr>
            <w:r>
              <w:rPr>
                <w:rFonts w:ascii="Calibri" w:hAnsi="Calibri"/>
                <w:b/>
                <w:color w:val="073763"/>
                <w:sz w:val="18"/>
              </w:rPr>
              <w:t>Proof</w:t>
            </w:r>
          </w:p>
        </w:tc>
        <w:tc>
          <w:tcPr>
            <w:tcW w:type="dxa" w:w="6960"/>
            <w:vAlign w:val="top"/>
          </w:tcPr>
          <w:p>
            <w:pPr>
              <w:spacing w:after="40" w:line="259" w:lineRule="auto"/>
            </w:pPr>
            <w:r>
              <w:rPr>
                <w:rFonts w:ascii="Calibri" w:hAnsi="Calibri"/>
                <w:sz w:val="18"/>
              </w:rPr>
              <w:t>Edition comparison; simple My Account; production account architecture; consulting pathways.</w:t>
            </w:r>
          </w:p>
        </w:tc>
      </w:tr>
      <w:tr>
        <w:trPr>
          <w:cantSplit/>
        </w:trPr>
        <w:tc>
          <w:tcPr>
            <w:tcW w:type="dxa" w:w="2400"/>
            <w:shd w:fill="F2F4F7"/>
            <w:vAlign w:val="top"/>
          </w:tcPr>
          <w:p>
            <w:pPr>
              <w:spacing w:after="40" w:line="259" w:lineRule="auto"/>
            </w:pPr>
            <w:r>
              <w:rPr>
                <w:rFonts w:ascii="Calibri" w:hAnsi="Calibri"/>
                <w:b/>
                <w:color w:val="073763"/>
                <w:sz w:val="18"/>
              </w:rPr>
              <w:t>Best channels</w:t>
            </w:r>
          </w:p>
        </w:tc>
        <w:tc>
          <w:tcPr>
            <w:tcW w:type="dxa" w:w="6960"/>
            <w:vAlign w:val="top"/>
          </w:tcPr>
          <w:p>
            <w:pPr>
              <w:spacing w:after="40" w:line="259" w:lineRule="auto"/>
            </w:pPr>
            <w:r>
              <w:rPr>
                <w:rFonts w:ascii="Calibri" w:hAnsi="Calibri"/>
                <w:sz w:val="18"/>
              </w:rPr>
              <w:t>Direct demonstrations, onboarding materials, administrator briefings, partner referrals, customer-support communications.</w:t>
            </w:r>
          </w:p>
        </w:tc>
      </w:tr>
      <w:tr>
        <w:trPr>
          <w:cantSplit/>
        </w:trPr>
        <w:tc>
          <w:tcPr>
            <w:tcW w:type="dxa" w:w="2400"/>
            <w:shd w:fill="F2F4F7"/>
            <w:vAlign w:val="top"/>
          </w:tcPr>
          <w:p>
            <w:pPr>
              <w:spacing w:after="40" w:line="259" w:lineRule="auto"/>
            </w:pPr>
            <w:r>
              <w:rPr>
                <w:rFonts w:ascii="Calibri" w:hAnsi="Calibri"/>
                <w:b/>
                <w:color w:val="073763"/>
                <w:sz w:val="18"/>
              </w:rPr>
              <w:t>Primary CTA</w:t>
            </w:r>
          </w:p>
        </w:tc>
        <w:tc>
          <w:tcPr>
            <w:tcW w:type="dxa" w:w="6960"/>
            <w:vAlign w:val="top"/>
          </w:tcPr>
          <w:p>
            <w:pPr>
              <w:spacing w:after="40" w:line="259" w:lineRule="auto"/>
            </w:pPr>
            <w:r>
              <w:rPr>
                <w:rFonts w:ascii="Calibri" w:hAnsi="Calibri"/>
                <w:sz w:val="18"/>
              </w:rPr>
              <w:t>Create a Foundation account and review the edition comparison.</w:t>
            </w:r>
          </w:p>
        </w:tc>
      </w:tr>
      <w:tr>
        <w:trPr>
          <w:cantSplit/>
        </w:trPr>
        <w:tc>
          <w:tcPr>
            <w:tcW w:type="dxa" w:w="2400"/>
            <w:shd w:fill="F2F4F7"/>
            <w:vAlign w:val="top"/>
          </w:tcPr>
          <w:p>
            <w:pPr>
              <w:spacing w:after="40" w:line="259" w:lineRule="auto"/>
            </w:pPr>
            <w:r>
              <w:rPr>
                <w:rFonts w:ascii="Calibri" w:hAnsi="Calibri"/>
                <w:b/>
                <w:color w:val="073763"/>
                <w:sz w:val="18"/>
              </w:rPr>
              <w:t>Follow-up</w:t>
            </w:r>
          </w:p>
        </w:tc>
        <w:tc>
          <w:tcPr>
            <w:tcW w:type="dxa" w:w="6960"/>
            <w:vAlign w:val="top"/>
          </w:tcPr>
          <w:p>
            <w:pPr>
              <w:spacing w:after="40" w:line="259" w:lineRule="auto"/>
            </w:pPr>
            <w:r>
              <w:rPr>
                <w:rFonts w:ascii="Calibri" w:hAnsi="Calibri"/>
                <w:sz w:val="18"/>
              </w:rPr>
              <w:t>Offer a requirements conversation for organization-level membership and administration.</w:t>
            </w:r>
          </w:p>
        </w:tc>
      </w:tr>
      <w:tr>
        <w:trPr>
          <w:cantSplit/>
        </w:trPr>
        <w:tc>
          <w:tcPr>
            <w:tcW w:type="dxa" w:w="2400"/>
            <w:shd w:fill="F2F4F7"/>
            <w:vAlign w:val="top"/>
          </w:tcPr>
          <w:p>
            <w:pPr>
              <w:spacing w:after="40" w:line="259" w:lineRule="auto"/>
            </w:pPr>
            <w:r>
              <w:rPr>
                <w:rFonts w:ascii="Calibri" w:hAnsi="Calibri"/>
                <w:b/>
                <w:color w:val="073763"/>
                <w:sz w:val="18"/>
              </w:rPr>
              <w:t>Avoid</w:t>
            </w:r>
          </w:p>
        </w:tc>
        <w:tc>
          <w:tcPr>
            <w:tcW w:type="dxa" w:w="6960"/>
            <w:vAlign w:val="top"/>
          </w:tcPr>
          <w:p>
            <w:pPr>
              <w:spacing w:after="40" w:line="259" w:lineRule="auto"/>
            </w:pPr>
            <w:r>
              <w:rPr>
                <w:rFonts w:ascii="Calibri" w:hAnsi="Calibri"/>
                <w:sz w:val="18"/>
              </w:rPr>
              <w:t>Implying Foundation administrators can view other users or manage organization-wide data.</w:t>
            </w:r>
          </w:p>
        </w:tc>
      </w:tr>
      <w:tr>
        <w:trPr>
          <w:cantSplit/>
        </w:trPr>
        <w:tc>
          <w:tcPr>
            <w:tcW w:type="dxa" w:w="2400"/>
            <w:shd w:fill="F2F4F7"/>
            <w:vAlign w:val="top"/>
          </w:tcPr>
          <w:p>
            <w:pPr>
              <w:spacing w:after="40" w:line="259" w:lineRule="auto"/>
            </w:pPr>
            <w:r>
              <w:rPr>
                <w:rFonts w:ascii="Calibri" w:hAnsi="Calibri"/>
                <w:b/>
                <w:color w:val="073763"/>
                <w:sz w:val="18"/>
              </w:rPr>
              <w:t>Success signal</w:t>
            </w:r>
          </w:p>
        </w:tc>
        <w:tc>
          <w:tcPr>
            <w:tcW w:type="dxa" w:w="6960"/>
            <w:vAlign w:val="top"/>
          </w:tcPr>
          <w:p>
            <w:pPr>
              <w:spacing w:after="40" w:line="259" w:lineRule="auto"/>
            </w:pPr>
            <w:r>
              <w:rPr>
                <w:rFonts w:ascii="Calibri" w:hAnsi="Calibri"/>
                <w:sz w:val="18"/>
              </w:rPr>
              <w:t>Account activation, edition-comparison views, organization inquiries, and demo requests.</w:t>
            </w:r>
          </w:p>
        </w:tc>
      </w:tr>
    </w:tbl>
    <w:p>
      <w:pPr>
        <w:spacing w:after="0"/>
      </w:pPr>
    </w:p>
    <w:p>
      <w:pPr>
        <w:pStyle w:val="Heading1"/>
      </w:pPr>
      <w:r>
        <w:t>4. Channel strategy</w:t>
      </w:r>
    </w:p>
    <w:tbl>
      <w:tblPr>
        <w:tblW w:type="dxa" w:w="9360"/>
        <w:jc w:val="left"/>
        <w:tblLayout w:type="fixed"/>
        <w:tblLook w:firstColumn="1" w:firstRow="1" w:lastColumn="0" w:lastRow="0" w:noHBand="0" w:noVBand="1" w:val="04A0"/>
        <w:tblInd w:w="120" w:type="dxa"/>
      </w:tblPr>
      <w:tblGrid>
        <w:gridCol w:w="1900"/>
        <w:gridCol w:w="3500"/>
        <w:gridCol w:w="3960"/>
      </w:tblGrid>
      <w:tr>
        <w:trPr>
          <w:tblHeader w:val="true"/>
          <w:cantSplit/>
        </w:trPr>
        <w:tc>
          <w:tcPr>
            <w:tcW w:type="dxa" w:w="1900"/>
            <w:tcMar>
              <w:top w:w="90" w:type="dxa"/>
              <w:start w:w="120" w:type="dxa"/>
              <w:bottom w:w="90" w:type="dxa"/>
              <w:end w:w="120" w:type="dxa"/>
            </w:tcMar>
            <w:shd w:fill="073763"/>
            <w:vAlign w:val="top"/>
          </w:tcPr>
          <w:p>
            <w:pPr>
              <w:spacing w:after="40" w:line="259" w:lineRule="auto"/>
            </w:pPr>
            <w:r>
              <w:rPr>
                <w:rFonts w:ascii="Calibri" w:hAnsi="Calibri"/>
                <w:b/>
                <w:color w:val="FFFFFF"/>
                <w:sz w:val="18"/>
              </w:rPr>
              <w:t>Channel</w:t>
            </w:r>
          </w:p>
        </w:tc>
        <w:tc>
          <w:tcPr>
            <w:tcW w:type="dxa" w:w="3500"/>
            <w:tcMar>
              <w:top w:w="90" w:type="dxa"/>
              <w:start w:w="120" w:type="dxa"/>
              <w:bottom w:w="90" w:type="dxa"/>
              <w:end w:w="120" w:type="dxa"/>
            </w:tcMar>
            <w:shd w:fill="073763"/>
            <w:vAlign w:val="top"/>
          </w:tcPr>
          <w:p>
            <w:pPr>
              <w:spacing w:after="40" w:line="259" w:lineRule="auto"/>
            </w:pPr>
            <w:r>
              <w:rPr>
                <w:rFonts w:ascii="Calibri" w:hAnsi="Calibri"/>
                <w:b/>
                <w:color w:val="FFFFFF"/>
                <w:sz w:val="18"/>
              </w:rPr>
              <w:t>Role in the plan</w:t>
            </w:r>
          </w:p>
        </w:tc>
        <w:tc>
          <w:tcPr>
            <w:tcW w:type="dxa" w:w="3960"/>
            <w:tcMar>
              <w:top w:w="90" w:type="dxa"/>
              <w:start w:w="120" w:type="dxa"/>
              <w:bottom w:w="90" w:type="dxa"/>
              <w:end w:w="120" w:type="dxa"/>
            </w:tcMar>
            <w:shd w:fill="073763"/>
            <w:vAlign w:val="top"/>
          </w:tcPr>
          <w:p>
            <w:pPr>
              <w:spacing w:after="40" w:line="259" w:lineRule="auto"/>
            </w:pPr>
            <w:r>
              <w:rPr>
                <w:rFonts w:ascii="Calibri" w:hAnsi="Calibri"/>
                <w:b/>
                <w:color w:val="FFFFFF"/>
                <w:sz w:val="18"/>
              </w:rPr>
              <w:t>Recommended use</w:t>
            </w:r>
          </w:p>
        </w:tc>
      </w:tr>
      <w:tr>
        <w:trPr>
          <w:cantSplit/>
        </w:trPr>
        <w:tc>
          <w:tcPr>
            <w:tcW w:type="dxa" w:w="1900"/>
            <w:vAlign w:val="top"/>
          </w:tcPr>
          <w:p>
            <w:pPr>
              <w:spacing w:after="40" w:line="259" w:lineRule="auto"/>
            </w:pPr>
            <w:r>
              <w:rPr>
                <w:rFonts w:ascii="Calibri" w:hAnsi="Calibri"/>
                <w:sz w:val="18"/>
              </w:rPr>
              <w:t>Association and partner newsletters</w:t>
            </w:r>
          </w:p>
        </w:tc>
        <w:tc>
          <w:tcPr>
            <w:tcW w:type="dxa" w:w="3500"/>
            <w:vAlign w:val="top"/>
          </w:tcPr>
          <w:p>
            <w:pPr>
              <w:spacing w:after="40" w:line="259" w:lineRule="auto"/>
            </w:pPr>
            <w:r>
              <w:rPr>
                <w:rFonts w:ascii="Calibri" w:hAnsi="Calibri"/>
                <w:sz w:val="18"/>
              </w:rPr>
              <w:t>Borrow trust and reach defined professional audiences.</w:t>
            </w:r>
          </w:p>
        </w:tc>
        <w:tc>
          <w:tcPr>
            <w:tcW w:type="dxa" w:w="3960"/>
            <w:vAlign w:val="top"/>
          </w:tcPr>
          <w:p>
            <w:pPr>
              <w:spacing w:after="40" w:line="259" w:lineRule="auto"/>
            </w:pPr>
            <w:r>
              <w:rPr>
                <w:rFonts w:ascii="Calibri" w:hAnsi="Calibri"/>
                <w:sz w:val="18"/>
              </w:rPr>
              <w:t>Short role-specific articles, launch notices, webinars, and member benefits.</w:t>
            </w:r>
          </w:p>
        </w:tc>
      </w:tr>
      <w:tr>
        <w:trPr>
          <w:cantSplit/>
        </w:trPr>
        <w:tc>
          <w:tcPr>
            <w:tcW w:type="dxa" w:w="1900"/>
            <w:vAlign w:val="top"/>
          </w:tcPr>
          <w:p>
            <w:pPr>
              <w:spacing w:after="40" w:line="259" w:lineRule="auto"/>
            </w:pPr>
            <w:r>
              <w:rPr>
                <w:rFonts w:ascii="Calibri" w:hAnsi="Calibri"/>
                <w:sz w:val="18"/>
              </w:rPr>
              <w:t>Webinars and demonstrations</w:t>
            </w:r>
          </w:p>
        </w:tc>
        <w:tc>
          <w:tcPr>
            <w:tcW w:type="dxa" w:w="3500"/>
            <w:vAlign w:val="top"/>
          </w:tcPr>
          <w:p>
            <w:pPr>
              <w:spacing w:after="40" w:line="259" w:lineRule="auto"/>
            </w:pPr>
            <w:r>
              <w:rPr>
                <w:rFonts w:ascii="Calibri" w:hAnsi="Calibri"/>
                <w:sz w:val="18"/>
              </w:rPr>
              <w:t>Show the pathway and practical value before asking for an account.</w:t>
            </w:r>
          </w:p>
        </w:tc>
        <w:tc>
          <w:tcPr>
            <w:tcW w:type="dxa" w:w="3960"/>
            <w:vAlign w:val="top"/>
          </w:tcPr>
          <w:p>
            <w:pPr>
              <w:spacing w:after="40" w:line="259" w:lineRule="auto"/>
            </w:pPr>
            <w:r>
              <w:rPr>
                <w:rFonts w:ascii="Calibri" w:hAnsi="Calibri"/>
                <w:sz w:val="18"/>
              </w:rPr>
              <w:t>Separate executive, implementation, governance, communications, procurement, and learning sessions.</w:t>
            </w:r>
          </w:p>
        </w:tc>
      </w:tr>
      <w:tr>
        <w:trPr>
          <w:cantSplit/>
        </w:trPr>
        <w:tc>
          <w:tcPr>
            <w:tcW w:type="dxa" w:w="1900"/>
            <w:vAlign w:val="top"/>
          </w:tcPr>
          <w:p>
            <w:pPr>
              <w:spacing w:after="40" w:line="259" w:lineRule="auto"/>
            </w:pPr>
            <w:r>
              <w:rPr>
                <w:rFonts w:ascii="Calibri" w:hAnsi="Calibri"/>
                <w:sz w:val="18"/>
              </w:rPr>
              <w:t>Conference sessions and workshops</w:t>
            </w:r>
          </w:p>
        </w:tc>
        <w:tc>
          <w:tcPr>
            <w:tcW w:type="dxa" w:w="3500"/>
            <w:vAlign w:val="top"/>
          </w:tcPr>
          <w:p>
            <w:pPr>
              <w:spacing w:after="40" w:line="259" w:lineRule="auto"/>
            </w:pPr>
            <w:r>
              <w:rPr>
                <w:rFonts w:ascii="Calibri" w:hAnsi="Calibri"/>
                <w:sz w:val="18"/>
              </w:rPr>
              <w:t>Build credibility and collect structured feedback.</w:t>
            </w:r>
          </w:p>
        </w:tc>
        <w:tc>
          <w:tcPr>
            <w:tcW w:type="dxa" w:w="3960"/>
            <w:vAlign w:val="top"/>
          </w:tcPr>
          <w:p>
            <w:pPr>
              <w:spacing w:after="40" w:line="259" w:lineRule="auto"/>
            </w:pPr>
            <w:r>
              <w:rPr>
                <w:rFonts w:ascii="Calibri" w:hAnsi="Calibri"/>
                <w:sz w:val="18"/>
              </w:rPr>
              <w:t>Scenario-led demonstrations; readiness, governance, equity, and workforce workshops.</w:t>
            </w:r>
          </w:p>
        </w:tc>
      </w:tr>
      <w:tr>
        <w:trPr>
          <w:cantSplit/>
        </w:trPr>
        <w:tc>
          <w:tcPr>
            <w:tcW w:type="dxa" w:w="1900"/>
            <w:vAlign w:val="top"/>
          </w:tcPr>
          <w:p>
            <w:pPr>
              <w:spacing w:after="40" w:line="259" w:lineRule="auto"/>
            </w:pPr>
            <w:r>
              <w:rPr>
                <w:rFonts w:ascii="Calibri" w:hAnsi="Calibri"/>
                <w:sz w:val="18"/>
              </w:rPr>
              <w:t>LinkedIn</w:t>
            </w:r>
          </w:p>
        </w:tc>
        <w:tc>
          <w:tcPr>
            <w:tcW w:type="dxa" w:w="3500"/>
            <w:vAlign w:val="top"/>
          </w:tcPr>
          <w:p>
            <w:pPr>
              <w:spacing w:after="40" w:line="259" w:lineRule="auto"/>
            </w:pPr>
            <w:r>
              <w:rPr>
                <w:rFonts w:ascii="Calibri" w:hAnsi="Calibri"/>
                <w:sz w:val="18"/>
              </w:rPr>
              <w:t>Maintain professional awareness and reusable proof.</w:t>
            </w:r>
          </w:p>
        </w:tc>
        <w:tc>
          <w:tcPr>
            <w:tcW w:type="dxa" w:w="3960"/>
            <w:vAlign w:val="top"/>
          </w:tcPr>
          <w:p>
            <w:pPr>
              <w:spacing w:after="40" w:line="259" w:lineRule="auto"/>
            </w:pPr>
            <w:r>
              <w:rPr>
                <w:rFonts w:ascii="Calibri" w:hAnsi="Calibri"/>
                <w:sz w:val="18"/>
              </w:rPr>
              <w:t>Role-based short posts, tool demonstrations, resource updates, reviewer invitations, and partner amplification.</w:t>
            </w:r>
          </w:p>
        </w:tc>
      </w:tr>
      <w:tr>
        <w:trPr>
          <w:cantSplit/>
        </w:trPr>
        <w:tc>
          <w:tcPr>
            <w:tcW w:type="dxa" w:w="1900"/>
            <w:vAlign w:val="top"/>
          </w:tcPr>
          <w:p>
            <w:pPr>
              <w:spacing w:after="40" w:line="259" w:lineRule="auto"/>
            </w:pPr>
            <w:r>
              <w:rPr>
                <w:rFonts w:ascii="Calibri" w:hAnsi="Calibri"/>
                <w:sz w:val="18"/>
              </w:rPr>
              <w:t>Email lifecycle</w:t>
            </w:r>
          </w:p>
        </w:tc>
        <w:tc>
          <w:tcPr>
            <w:tcW w:type="dxa" w:w="3500"/>
            <w:vAlign w:val="top"/>
          </w:tcPr>
          <w:p>
            <w:pPr>
              <w:spacing w:after="40" w:line="259" w:lineRule="auto"/>
            </w:pPr>
            <w:r>
              <w:rPr>
                <w:rFonts w:ascii="Calibri" w:hAnsi="Calibri"/>
                <w:sz w:val="18"/>
              </w:rPr>
              <w:t>Convert interest into progress without over-messaging.</w:t>
            </w:r>
          </w:p>
        </w:tc>
        <w:tc>
          <w:tcPr>
            <w:tcW w:type="dxa" w:w="3960"/>
            <w:vAlign w:val="top"/>
          </w:tcPr>
          <w:p>
            <w:pPr>
              <w:spacing w:after="40" w:line="259" w:lineRule="auto"/>
            </w:pPr>
            <w:r>
              <w:rPr>
                <w:rFonts w:ascii="Calibri" w:hAnsi="Calibri"/>
                <w:sz w:val="18"/>
              </w:rPr>
              <w:t>Welcome, assessment result, incomplete-pathway reminder, module/tool follow-up, reviewer, and edition-interest sequences.</w:t>
            </w:r>
          </w:p>
        </w:tc>
      </w:tr>
      <w:tr>
        <w:trPr>
          <w:cantSplit/>
        </w:trPr>
        <w:tc>
          <w:tcPr>
            <w:tcW w:type="dxa" w:w="1900"/>
            <w:vAlign w:val="top"/>
          </w:tcPr>
          <w:p>
            <w:pPr>
              <w:spacing w:after="40" w:line="259" w:lineRule="auto"/>
            </w:pPr>
            <w:r>
              <w:rPr>
                <w:rFonts w:ascii="Calibri" w:hAnsi="Calibri"/>
                <w:sz w:val="18"/>
              </w:rPr>
              <w:t>Direct outreach</w:t>
            </w:r>
          </w:p>
        </w:tc>
        <w:tc>
          <w:tcPr>
            <w:tcW w:type="dxa" w:w="3500"/>
            <w:vAlign w:val="top"/>
          </w:tcPr>
          <w:p>
            <w:pPr>
              <w:spacing w:after="40" w:line="259" w:lineRule="auto"/>
            </w:pPr>
            <w:r>
              <w:rPr>
                <w:rFonts w:ascii="Calibri" w:hAnsi="Calibri"/>
                <w:sz w:val="18"/>
              </w:rPr>
              <w:t>Reach high-value organizations and intermediaries.</w:t>
            </w:r>
          </w:p>
        </w:tc>
        <w:tc>
          <w:tcPr>
            <w:tcW w:type="dxa" w:w="3960"/>
            <w:vAlign w:val="top"/>
          </w:tcPr>
          <w:p>
            <w:pPr>
              <w:spacing w:after="40" w:line="259" w:lineRule="auto"/>
            </w:pPr>
            <w:r>
              <w:rPr>
                <w:rFonts w:ascii="Calibri" w:hAnsi="Calibri"/>
                <w:sz w:val="18"/>
              </w:rPr>
              <w:t>Personalized notes referencing role, agency context, relevant play, and one clear next action.</w:t>
            </w:r>
          </w:p>
        </w:tc>
      </w:tr>
      <w:tr>
        <w:trPr>
          <w:cantSplit/>
        </w:trPr>
        <w:tc>
          <w:tcPr>
            <w:tcW w:type="dxa" w:w="1900"/>
            <w:vAlign w:val="top"/>
          </w:tcPr>
          <w:p>
            <w:pPr>
              <w:spacing w:after="40" w:line="259" w:lineRule="auto"/>
            </w:pPr>
            <w:r>
              <w:rPr>
                <w:rFonts w:ascii="Calibri" w:hAnsi="Calibri"/>
                <w:sz w:val="18"/>
              </w:rPr>
              <w:t>Site content and search</w:t>
            </w:r>
          </w:p>
        </w:tc>
        <w:tc>
          <w:tcPr>
            <w:tcW w:type="dxa" w:w="3500"/>
            <w:vAlign w:val="top"/>
          </w:tcPr>
          <w:p>
            <w:pPr>
              <w:spacing w:after="40" w:line="259" w:lineRule="auto"/>
            </w:pPr>
            <w:r>
              <w:rPr>
                <w:rFonts w:ascii="Calibri" w:hAnsi="Calibri"/>
                <w:sz w:val="18"/>
              </w:rPr>
              <w:t>Make every campaign land on a relevant, trustworthy experience.</w:t>
            </w:r>
          </w:p>
        </w:tc>
        <w:tc>
          <w:tcPr>
            <w:tcW w:type="dxa" w:w="3960"/>
            <w:vAlign w:val="top"/>
          </w:tcPr>
          <w:p>
            <w:pPr>
              <w:spacing w:after="40" w:line="259" w:lineRule="auto"/>
            </w:pPr>
            <w:r>
              <w:rPr>
                <w:rFonts w:ascii="Calibri" w:hAnsi="Calibri"/>
                <w:sz w:val="18"/>
              </w:rPr>
              <w:t>Role landing links, play/tool/module deep links, clear account gates, evidence, and consulting routes.</w:t>
            </w:r>
          </w:p>
        </w:tc>
      </w:tr>
    </w:tbl>
    <w:p>
      <w:pPr>
        <w:pStyle w:val="Heading1"/>
      </w:pPr>
      <w:r>
        <w:t>5. Launch sequence</w:t>
      </w:r>
    </w:p>
    <w:tbl>
      <w:tblPr>
        <w:tblW w:type="dxa" w:w="9360"/>
        <w:jc w:val="left"/>
        <w:tblLayout w:type="fixed"/>
        <w:tblLook w:firstColumn="1" w:firstRow="1" w:lastColumn="0" w:lastRow="0" w:noHBand="0" w:noVBand="1" w:val="04A0"/>
        <w:tblInd w:w="120" w:type="dxa"/>
      </w:tblPr>
      <w:tblGrid>
        <w:gridCol w:w="1200"/>
        <w:gridCol w:w="1700"/>
        <w:gridCol w:w="4160"/>
        <w:gridCol w:w="2300"/>
      </w:tblGrid>
      <w:tr>
        <w:trPr>
          <w:tblHeader w:val="true"/>
          <w:cantSplit/>
        </w:trPr>
        <w:tc>
          <w:tcPr>
            <w:tcW w:type="dxa" w:w="1200"/>
            <w:tcMar>
              <w:top w:w="90" w:type="dxa"/>
              <w:start w:w="120" w:type="dxa"/>
              <w:bottom w:w="90" w:type="dxa"/>
              <w:end w:w="120" w:type="dxa"/>
            </w:tcMar>
            <w:shd w:fill="073763"/>
            <w:vAlign w:val="top"/>
          </w:tcPr>
          <w:p>
            <w:pPr>
              <w:spacing w:after="40" w:line="259" w:lineRule="auto"/>
            </w:pPr>
            <w:r>
              <w:rPr>
                <w:rFonts w:ascii="Calibri" w:hAnsi="Calibri"/>
                <w:b/>
                <w:color w:val="FFFFFF"/>
                <w:sz w:val="18"/>
              </w:rPr>
              <w:t>Period</w:t>
            </w:r>
          </w:p>
        </w:tc>
        <w:tc>
          <w:tcPr>
            <w:tcW w:type="dxa" w:w="1700"/>
            <w:tcMar>
              <w:top w:w="90" w:type="dxa"/>
              <w:start w:w="120" w:type="dxa"/>
              <w:bottom w:w="90" w:type="dxa"/>
              <w:end w:w="120" w:type="dxa"/>
            </w:tcMar>
            <w:shd w:fill="073763"/>
            <w:vAlign w:val="top"/>
          </w:tcPr>
          <w:p>
            <w:pPr>
              <w:spacing w:after="40" w:line="259" w:lineRule="auto"/>
            </w:pPr>
            <w:r>
              <w:rPr>
                <w:rFonts w:ascii="Calibri" w:hAnsi="Calibri"/>
                <w:b/>
                <w:color w:val="FFFFFF"/>
                <w:sz w:val="18"/>
              </w:rPr>
              <w:t>Objective</w:t>
            </w:r>
          </w:p>
        </w:tc>
        <w:tc>
          <w:tcPr>
            <w:tcW w:type="dxa" w:w="4160"/>
            <w:tcMar>
              <w:top w:w="90" w:type="dxa"/>
              <w:start w:w="120" w:type="dxa"/>
              <w:bottom w:w="90" w:type="dxa"/>
              <w:end w:w="120" w:type="dxa"/>
            </w:tcMar>
            <w:shd w:fill="073763"/>
            <w:vAlign w:val="top"/>
          </w:tcPr>
          <w:p>
            <w:pPr>
              <w:spacing w:after="40" w:line="259" w:lineRule="auto"/>
            </w:pPr>
            <w:r>
              <w:rPr>
                <w:rFonts w:ascii="Calibri" w:hAnsi="Calibri"/>
                <w:b/>
                <w:color w:val="FFFFFF"/>
                <w:sz w:val="18"/>
              </w:rPr>
              <w:t>Key actions</w:t>
            </w:r>
          </w:p>
        </w:tc>
        <w:tc>
          <w:tcPr>
            <w:tcW w:type="dxa" w:w="2300"/>
            <w:tcMar>
              <w:top w:w="90" w:type="dxa"/>
              <w:start w:w="120" w:type="dxa"/>
              <w:bottom w:w="90" w:type="dxa"/>
              <w:end w:w="120" w:type="dxa"/>
            </w:tcMar>
            <w:shd w:fill="073763"/>
            <w:vAlign w:val="top"/>
          </w:tcPr>
          <w:p>
            <w:pPr>
              <w:spacing w:after="40" w:line="259" w:lineRule="auto"/>
            </w:pPr>
            <w:r>
              <w:rPr>
                <w:rFonts w:ascii="Calibri" w:hAnsi="Calibri"/>
                <w:b/>
                <w:color w:val="FFFFFF"/>
                <w:sz w:val="18"/>
              </w:rPr>
              <w:t>Primary audiences</w:t>
            </w:r>
          </w:p>
        </w:tc>
      </w:tr>
      <w:tr>
        <w:trPr>
          <w:cantSplit/>
        </w:trPr>
        <w:tc>
          <w:tcPr>
            <w:tcW w:type="dxa" w:w="1200"/>
            <w:vAlign w:val="top"/>
          </w:tcPr>
          <w:p>
            <w:pPr>
              <w:spacing w:after="40" w:line="259" w:lineRule="auto"/>
            </w:pPr>
            <w:r>
              <w:rPr>
                <w:rFonts w:ascii="Calibri" w:hAnsi="Calibri"/>
                <w:sz w:val="18"/>
              </w:rPr>
              <w:t>Weeks -6 to -4</w:t>
            </w:r>
          </w:p>
        </w:tc>
        <w:tc>
          <w:tcPr>
            <w:tcW w:type="dxa" w:w="1700"/>
            <w:vAlign w:val="top"/>
          </w:tcPr>
          <w:p>
            <w:pPr>
              <w:spacing w:after="40" w:line="259" w:lineRule="auto"/>
            </w:pPr>
            <w:r>
              <w:rPr>
                <w:rFonts w:ascii="Calibri" w:hAnsi="Calibri"/>
                <w:sz w:val="18"/>
              </w:rPr>
              <w:t>Validate and prepare</w:t>
            </w:r>
          </w:p>
        </w:tc>
        <w:tc>
          <w:tcPr>
            <w:tcW w:type="dxa" w:w="4160"/>
            <w:vAlign w:val="top"/>
          </w:tcPr>
          <w:p>
            <w:pPr>
              <w:spacing w:after="40" w:line="259" w:lineRule="auto"/>
            </w:pPr>
            <w:r>
              <w:rPr>
                <w:rFonts w:ascii="Calibri" w:hAnsi="Calibri"/>
                <w:sz w:val="18"/>
              </w:rPr>
              <w:t>Recruit 20–30 role-diverse reviewers; finalize role messages, landing links, email flows, demonstration scripts, analytics events, and response procedures.</w:t>
            </w:r>
          </w:p>
        </w:tc>
        <w:tc>
          <w:tcPr>
            <w:tcW w:type="dxa" w:w="2300"/>
            <w:vAlign w:val="top"/>
          </w:tcPr>
          <w:p>
            <w:pPr>
              <w:spacing w:after="40" w:line="259" w:lineRule="auto"/>
            </w:pPr>
            <w:r>
              <w:rPr>
                <w:rFonts w:ascii="Calibri" w:hAnsi="Calibri"/>
                <w:sz w:val="18"/>
              </w:rPr>
              <w:t>All personas; emphasis on Tier 1 and trusted intermediaries</w:t>
            </w:r>
          </w:p>
        </w:tc>
      </w:tr>
      <w:tr>
        <w:trPr>
          <w:cantSplit/>
        </w:trPr>
        <w:tc>
          <w:tcPr>
            <w:tcW w:type="dxa" w:w="1200"/>
            <w:vAlign w:val="top"/>
          </w:tcPr>
          <w:p>
            <w:pPr>
              <w:spacing w:after="40" w:line="259" w:lineRule="auto"/>
            </w:pPr>
            <w:r>
              <w:rPr>
                <w:rFonts w:ascii="Calibri" w:hAnsi="Calibri"/>
                <w:sz w:val="18"/>
              </w:rPr>
              <w:t>Weeks -3 to -1</w:t>
            </w:r>
          </w:p>
        </w:tc>
        <w:tc>
          <w:tcPr>
            <w:tcW w:type="dxa" w:w="1700"/>
            <w:vAlign w:val="top"/>
          </w:tcPr>
          <w:p>
            <w:pPr>
              <w:spacing w:after="40" w:line="259" w:lineRule="auto"/>
            </w:pPr>
            <w:r>
              <w:rPr>
                <w:rFonts w:ascii="Calibri" w:hAnsi="Calibri"/>
                <w:sz w:val="18"/>
              </w:rPr>
              <w:t>Build qualified anticipation</w:t>
            </w:r>
          </w:p>
        </w:tc>
        <w:tc>
          <w:tcPr>
            <w:tcW w:type="dxa" w:w="4160"/>
            <w:vAlign w:val="top"/>
          </w:tcPr>
          <w:p>
            <w:pPr>
              <w:spacing w:after="40" w:line="259" w:lineRule="auto"/>
            </w:pPr>
            <w:r>
              <w:rPr>
                <w:rFonts w:ascii="Calibri" w:hAnsi="Calibri"/>
                <w:sz w:val="18"/>
              </w:rPr>
              <w:t>Partner briefings; preview webinars; association submissions; reviewer testimonials with permission; launch-date email capture.</w:t>
            </w:r>
          </w:p>
        </w:tc>
        <w:tc>
          <w:tcPr>
            <w:tcW w:type="dxa" w:w="2300"/>
            <w:vAlign w:val="top"/>
          </w:tcPr>
          <w:p>
            <w:pPr>
              <w:spacing w:after="40" w:line="259" w:lineRule="auto"/>
            </w:pPr>
            <w:r>
              <w:rPr>
                <w:rFonts w:ascii="Calibri" w:hAnsi="Calibri"/>
                <w:sz w:val="18"/>
              </w:rPr>
              <w:t>Executives, governance, informatics, programs, workforce</w:t>
            </w:r>
          </w:p>
        </w:tc>
      </w:tr>
      <w:tr>
        <w:trPr>
          <w:cantSplit/>
        </w:trPr>
        <w:tc>
          <w:tcPr>
            <w:tcW w:type="dxa" w:w="1200"/>
            <w:vAlign w:val="top"/>
          </w:tcPr>
          <w:p>
            <w:pPr>
              <w:spacing w:after="40" w:line="259" w:lineRule="auto"/>
            </w:pPr>
            <w:r>
              <w:rPr>
                <w:rFonts w:ascii="Calibri" w:hAnsi="Calibri"/>
                <w:sz w:val="18"/>
              </w:rPr>
              <w:t>Launch week</w:t>
            </w:r>
          </w:p>
        </w:tc>
        <w:tc>
          <w:tcPr>
            <w:tcW w:type="dxa" w:w="1700"/>
            <w:vAlign w:val="top"/>
          </w:tcPr>
          <w:p>
            <w:pPr>
              <w:spacing w:after="40" w:line="259" w:lineRule="auto"/>
            </w:pPr>
            <w:r>
              <w:rPr>
                <w:rFonts w:ascii="Calibri" w:hAnsi="Calibri"/>
                <w:sz w:val="18"/>
              </w:rPr>
              <w:t>Create concentrated awareness</w:t>
            </w:r>
          </w:p>
        </w:tc>
        <w:tc>
          <w:tcPr>
            <w:tcW w:type="dxa" w:w="4160"/>
            <w:vAlign w:val="top"/>
          </w:tcPr>
          <w:p>
            <w:pPr>
              <w:spacing w:after="40" w:line="259" w:lineRule="auto"/>
            </w:pPr>
            <w:r>
              <w:rPr>
                <w:rFonts w:ascii="Calibri" w:hAnsi="Calibri"/>
                <w:sz w:val="18"/>
              </w:rPr>
              <w:t>Coordinated announcement; role-specific posts; two live demonstrations; partner amplification; clear Foundation/other-edition comparison.</w:t>
            </w:r>
          </w:p>
        </w:tc>
        <w:tc>
          <w:tcPr>
            <w:tcW w:type="dxa" w:w="2300"/>
            <w:vAlign w:val="top"/>
          </w:tcPr>
          <w:p>
            <w:pPr>
              <w:spacing w:after="40" w:line="259" w:lineRule="auto"/>
            </w:pPr>
            <w:r>
              <w:rPr>
                <w:rFonts w:ascii="Calibri" w:hAnsi="Calibri"/>
                <w:sz w:val="18"/>
              </w:rPr>
              <w:t>All personas</w:t>
            </w:r>
          </w:p>
        </w:tc>
      </w:tr>
      <w:tr>
        <w:trPr>
          <w:cantSplit/>
        </w:trPr>
        <w:tc>
          <w:tcPr>
            <w:tcW w:type="dxa" w:w="1200"/>
            <w:vAlign w:val="top"/>
          </w:tcPr>
          <w:p>
            <w:pPr>
              <w:spacing w:after="40" w:line="259" w:lineRule="auto"/>
            </w:pPr>
            <w:r>
              <w:rPr>
                <w:rFonts w:ascii="Calibri" w:hAnsi="Calibri"/>
                <w:sz w:val="18"/>
              </w:rPr>
              <w:t>Weeks 2–4</w:t>
            </w:r>
          </w:p>
        </w:tc>
        <w:tc>
          <w:tcPr>
            <w:tcW w:type="dxa" w:w="1700"/>
            <w:vAlign w:val="top"/>
          </w:tcPr>
          <w:p>
            <w:pPr>
              <w:spacing w:after="40" w:line="259" w:lineRule="auto"/>
            </w:pPr>
            <w:r>
              <w:rPr>
                <w:rFonts w:ascii="Calibri" w:hAnsi="Calibri"/>
                <w:sz w:val="18"/>
              </w:rPr>
              <w:t>Drive first meaningful action</w:t>
            </w:r>
          </w:p>
        </w:tc>
        <w:tc>
          <w:tcPr>
            <w:tcW w:type="dxa" w:w="4160"/>
            <w:vAlign w:val="top"/>
          </w:tcPr>
          <w:p>
            <w:pPr>
              <w:spacing w:after="40" w:line="259" w:lineRule="auto"/>
            </w:pPr>
            <w:r>
              <w:rPr>
                <w:rFonts w:ascii="Calibri" w:hAnsi="Calibri"/>
                <w:sz w:val="18"/>
              </w:rPr>
              <w:t>Assessment, tool, and module campaigns segmented by role; office hours; incomplete-action reminders; feedback response.</w:t>
            </w:r>
          </w:p>
        </w:tc>
        <w:tc>
          <w:tcPr>
            <w:tcW w:type="dxa" w:w="2300"/>
            <w:vAlign w:val="top"/>
          </w:tcPr>
          <w:p>
            <w:pPr>
              <w:spacing w:after="40" w:line="259" w:lineRule="auto"/>
            </w:pPr>
            <w:r>
              <w:rPr>
                <w:rFonts w:ascii="Calibri" w:hAnsi="Calibri"/>
                <w:sz w:val="18"/>
              </w:rPr>
              <w:t>Free members and high-intent visitors</w:t>
            </w:r>
          </w:p>
        </w:tc>
      </w:tr>
      <w:tr>
        <w:trPr>
          <w:cantSplit/>
        </w:trPr>
        <w:tc>
          <w:tcPr>
            <w:tcW w:type="dxa" w:w="1200"/>
            <w:vAlign w:val="top"/>
          </w:tcPr>
          <w:p>
            <w:pPr>
              <w:spacing w:after="40" w:line="259" w:lineRule="auto"/>
            </w:pPr>
            <w:r>
              <w:rPr>
                <w:rFonts w:ascii="Calibri" w:hAnsi="Calibri"/>
                <w:sz w:val="18"/>
              </w:rPr>
              <w:t>Weeks 5–8</w:t>
            </w:r>
          </w:p>
        </w:tc>
        <w:tc>
          <w:tcPr>
            <w:tcW w:type="dxa" w:w="1700"/>
            <w:vAlign w:val="top"/>
          </w:tcPr>
          <w:p>
            <w:pPr>
              <w:spacing w:after="40" w:line="259" w:lineRule="auto"/>
            </w:pPr>
            <w:r>
              <w:rPr>
                <w:rFonts w:ascii="Calibri" w:hAnsi="Calibri"/>
                <w:sz w:val="18"/>
              </w:rPr>
              <w:t>Build proof and advocacy</w:t>
            </w:r>
          </w:p>
        </w:tc>
        <w:tc>
          <w:tcPr>
            <w:tcW w:type="dxa" w:w="4160"/>
            <w:vAlign w:val="top"/>
          </w:tcPr>
          <w:p>
            <w:pPr>
              <w:spacing w:after="40" w:line="259" w:lineRule="auto"/>
            </w:pPr>
            <w:r>
              <w:rPr>
                <w:rFonts w:ascii="Calibri" w:hAnsi="Calibri"/>
                <w:sz w:val="18"/>
              </w:rPr>
              <w:t>Publish use patterns, corrections, reviewer opportunities, and public health scenarios; invite consulting conversations where needs exceed Foundation.</w:t>
            </w:r>
          </w:p>
        </w:tc>
        <w:tc>
          <w:tcPr>
            <w:tcW w:type="dxa" w:w="2300"/>
            <w:vAlign w:val="top"/>
          </w:tcPr>
          <w:p>
            <w:pPr>
              <w:spacing w:after="40" w:line="259" w:lineRule="auto"/>
            </w:pPr>
            <w:r>
              <w:rPr>
                <w:rFonts w:ascii="Calibri" w:hAnsi="Calibri"/>
                <w:sz w:val="18"/>
              </w:rPr>
              <w:t>Active members, reviewers, organizations</w:t>
            </w:r>
          </w:p>
        </w:tc>
      </w:tr>
      <w:tr>
        <w:trPr>
          <w:cantSplit/>
        </w:trPr>
        <w:tc>
          <w:tcPr>
            <w:tcW w:type="dxa" w:w="1200"/>
            <w:vAlign w:val="top"/>
          </w:tcPr>
          <w:p>
            <w:pPr>
              <w:spacing w:after="40" w:line="259" w:lineRule="auto"/>
            </w:pPr>
            <w:r>
              <w:rPr>
                <w:rFonts w:ascii="Calibri" w:hAnsi="Calibri"/>
                <w:sz w:val="18"/>
              </w:rPr>
              <w:t>Weeks 9–12</w:t>
            </w:r>
          </w:p>
        </w:tc>
        <w:tc>
          <w:tcPr>
            <w:tcW w:type="dxa" w:w="1700"/>
            <w:vAlign w:val="top"/>
          </w:tcPr>
          <w:p>
            <w:pPr>
              <w:spacing w:after="40" w:line="259" w:lineRule="auto"/>
            </w:pPr>
            <w:r>
              <w:rPr>
                <w:rFonts w:ascii="Calibri" w:hAnsi="Calibri"/>
                <w:sz w:val="18"/>
              </w:rPr>
              <w:t>Optimize and sustain</w:t>
            </w:r>
          </w:p>
        </w:tc>
        <w:tc>
          <w:tcPr>
            <w:tcW w:type="dxa" w:w="4160"/>
            <w:vAlign w:val="top"/>
          </w:tcPr>
          <w:p>
            <w:pPr>
              <w:spacing w:after="40" w:line="259" w:lineRule="auto"/>
            </w:pPr>
            <w:r>
              <w:rPr>
                <w:rFonts w:ascii="Calibri" w:hAnsi="Calibri"/>
                <w:sz w:val="18"/>
              </w:rPr>
              <w:t>Compare role conversion, channel quality, tool/module engagement, and support burden; improve weak pathways and establish monthly cadence.</w:t>
            </w:r>
          </w:p>
        </w:tc>
        <w:tc>
          <w:tcPr>
            <w:tcW w:type="dxa" w:w="2300"/>
            <w:vAlign w:val="top"/>
          </w:tcPr>
          <w:p>
            <w:pPr>
              <w:spacing w:after="40" w:line="259" w:lineRule="auto"/>
            </w:pPr>
            <w:r>
              <w:rPr>
                <w:rFonts w:ascii="Calibri" w:hAnsi="Calibri"/>
                <w:sz w:val="18"/>
              </w:rPr>
              <w:t>Internal launch team and partners</w:t>
            </w:r>
          </w:p>
        </w:tc>
      </w:tr>
    </w:tbl>
    <w:p>
      <w:pPr>
        <w:pStyle w:val="Heading1"/>
      </w:pPr>
      <w:r>
        <w:t>6. Content and communications cadence</w:t>
      </w:r>
    </w:p>
    <w:tbl>
      <w:tblPr>
        <w:tblW w:type="dxa" w:w="9360"/>
        <w:jc w:val="left"/>
        <w:tblLayout w:type="fixed"/>
        <w:tblLook w:firstColumn="1" w:firstRow="1" w:lastColumn="0" w:lastRow="0" w:noHBand="0" w:noVBand="1" w:val="04A0"/>
        <w:tblInd w:w="120" w:type="dxa"/>
      </w:tblPr>
      <w:tblGrid>
        <w:gridCol w:w="1500"/>
        <w:gridCol w:w="3000"/>
        <w:gridCol w:w="2600"/>
        <w:gridCol w:w="2260"/>
      </w:tblGrid>
      <w:tr>
        <w:trPr>
          <w:tblHeader w:val="true"/>
          <w:cantSplit/>
        </w:trPr>
        <w:tc>
          <w:tcPr>
            <w:tcW w:type="dxa" w:w="1500"/>
            <w:tcMar>
              <w:top w:w="90" w:type="dxa"/>
              <w:start w:w="120" w:type="dxa"/>
              <w:bottom w:w="90" w:type="dxa"/>
              <w:end w:w="120" w:type="dxa"/>
            </w:tcMar>
            <w:shd w:fill="073763"/>
            <w:vAlign w:val="top"/>
          </w:tcPr>
          <w:p>
            <w:pPr>
              <w:spacing w:after="40" w:line="259" w:lineRule="auto"/>
            </w:pPr>
            <w:r>
              <w:rPr>
                <w:rFonts w:ascii="Calibri" w:hAnsi="Calibri"/>
                <w:b/>
                <w:color w:val="FFFFFF"/>
                <w:sz w:val="18"/>
              </w:rPr>
              <w:t>Frequency</w:t>
            </w:r>
          </w:p>
        </w:tc>
        <w:tc>
          <w:tcPr>
            <w:tcW w:type="dxa" w:w="3000"/>
            <w:tcMar>
              <w:top w:w="90" w:type="dxa"/>
              <w:start w:w="120" w:type="dxa"/>
              <w:bottom w:w="90" w:type="dxa"/>
              <w:end w:w="120" w:type="dxa"/>
            </w:tcMar>
            <w:shd w:fill="073763"/>
            <w:vAlign w:val="top"/>
          </w:tcPr>
          <w:p>
            <w:pPr>
              <w:spacing w:after="40" w:line="259" w:lineRule="auto"/>
            </w:pPr>
            <w:r>
              <w:rPr>
                <w:rFonts w:ascii="Calibri" w:hAnsi="Calibri"/>
                <w:b/>
                <w:color w:val="FFFFFF"/>
                <w:sz w:val="18"/>
              </w:rPr>
              <w:t>Asset</w:t>
            </w:r>
          </w:p>
        </w:tc>
        <w:tc>
          <w:tcPr>
            <w:tcW w:type="dxa" w:w="2600"/>
            <w:tcMar>
              <w:top w:w="90" w:type="dxa"/>
              <w:start w:w="120" w:type="dxa"/>
              <w:bottom w:w="90" w:type="dxa"/>
              <w:end w:w="120" w:type="dxa"/>
            </w:tcMar>
            <w:shd w:fill="073763"/>
            <w:vAlign w:val="top"/>
          </w:tcPr>
          <w:p>
            <w:pPr>
              <w:spacing w:after="40" w:line="259" w:lineRule="auto"/>
            </w:pPr>
            <w:r>
              <w:rPr>
                <w:rFonts w:ascii="Calibri" w:hAnsi="Calibri"/>
                <w:b/>
                <w:color w:val="FFFFFF"/>
                <w:sz w:val="18"/>
              </w:rPr>
              <w:t>Role focus</w:t>
            </w:r>
          </w:p>
        </w:tc>
        <w:tc>
          <w:tcPr>
            <w:tcW w:type="dxa" w:w="2260"/>
            <w:tcMar>
              <w:top w:w="90" w:type="dxa"/>
              <w:start w:w="120" w:type="dxa"/>
              <w:bottom w:w="90" w:type="dxa"/>
              <w:end w:w="120" w:type="dxa"/>
            </w:tcMar>
            <w:shd w:fill="073763"/>
            <w:vAlign w:val="top"/>
          </w:tcPr>
          <w:p>
            <w:pPr>
              <w:spacing w:after="40" w:line="259" w:lineRule="auto"/>
            </w:pPr>
            <w:r>
              <w:rPr>
                <w:rFonts w:ascii="Calibri" w:hAnsi="Calibri"/>
                <w:b/>
                <w:color w:val="FFFFFF"/>
                <w:sz w:val="18"/>
              </w:rPr>
              <w:t>Purpose</w:t>
            </w:r>
          </w:p>
        </w:tc>
      </w:tr>
      <w:tr>
        <w:trPr>
          <w:cantSplit/>
        </w:trPr>
        <w:tc>
          <w:tcPr>
            <w:tcW w:type="dxa" w:w="1500"/>
            <w:vAlign w:val="top"/>
          </w:tcPr>
          <w:p>
            <w:pPr>
              <w:spacing w:after="40" w:line="259" w:lineRule="auto"/>
            </w:pPr>
            <w:r>
              <w:rPr>
                <w:rFonts w:ascii="Calibri" w:hAnsi="Calibri"/>
                <w:sz w:val="18"/>
              </w:rPr>
              <w:t>Weekly during launch</w:t>
            </w:r>
          </w:p>
        </w:tc>
        <w:tc>
          <w:tcPr>
            <w:tcW w:type="dxa" w:w="3000"/>
            <w:vAlign w:val="top"/>
          </w:tcPr>
          <w:p>
            <w:pPr>
              <w:spacing w:after="40" w:line="259" w:lineRule="auto"/>
            </w:pPr>
            <w:r>
              <w:rPr>
                <w:rFonts w:ascii="Calibri" w:hAnsi="Calibri"/>
                <w:sz w:val="18"/>
              </w:rPr>
              <w:t>One role-based problem/solution post</w:t>
            </w:r>
          </w:p>
        </w:tc>
        <w:tc>
          <w:tcPr>
            <w:tcW w:type="dxa" w:w="2600"/>
            <w:vAlign w:val="top"/>
          </w:tcPr>
          <w:p>
            <w:pPr>
              <w:spacing w:after="40" w:line="259" w:lineRule="auto"/>
            </w:pPr>
            <w:r>
              <w:rPr>
                <w:rFonts w:ascii="Calibri" w:hAnsi="Calibri"/>
                <w:sz w:val="18"/>
              </w:rPr>
              <w:t>Rotate across all 13 personas</w:t>
            </w:r>
          </w:p>
        </w:tc>
        <w:tc>
          <w:tcPr>
            <w:tcW w:type="dxa" w:w="2260"/>
            <w:vAlign w:val="top"/>
          </w:tcPr>
          <w:p>
            <w:pPr>
              <w:spacing w:after="40" w:line="259" w:lineRule="auto"/>
            </w:pPr>
            <w:r>
              <w:rPr>
                <w:rFonts w:ascii="Calibri" w:hAnsi="Calibri"/>
                <w:sz w:val="18"/>
              </w:rPr>
              <w:t>Relevance and pathway entry</w:t>
            </w:r>
          </w:p>
        </w:tc>
      </w:tr>
      <w:tr>
        <w:trPr>
          <w:cantSplit/>
        </w:trPr>
        <w:tc>
          <w:tcPr>
            <w:tcW w:type="dxa" w:w="1500"/>
            <w:vAlign w:val="top"/>
          </w:tcPr>
          <w:p>
            <w:pPr>
              <w:spacing w:after="40" w:line="259" w:lineRule="auto"/>
            </w:pPr>
            <w:r>
              <w:rPr>
                <w:rFonts w:ascii="Calibri" w:hAnsi="Calibri"/>
                <w:sz w:val="18"/>
              </w:rPr>
              <w:t>Weekly during launch</w:t>
            </w:r>
          </w:p>
        </w:tc>
        <w:tc>
          <w:tcPr>
            <w:tcW w:type="dxa" w:w="3000"/>
            <w:vAlign w:val="top"/>
          </w:tcPr>
          <w:p>
            <w:pPr>
              <w:spacing w:after="40" w:line="259" w:lineRule="auto"/>
            </w:pPr>
            <w:r>
              <w:rPr>
                <w:rFonts w:ascii="Calibri" w:hAnsi="Calibri"/>
                <w:sz w:val="18"/>
              </w:rPr>
              <w:t>Short tool or module demonstration</w:t>
            </w:r>
          </w:p>
        </w:tc>
        <w:tc>
          <w:tcPr>
            <w:tcW w:type="dxa" w:w="2600"/>
            <w:vAlign w:val="top"/>
          </w:tcPr>
          <w:p>
            <w:pPr>
              <w:spacing w:after="40" w:line="259" w:lineRule="auto"/>
            </w:pPr>
            <w:r>
              <w:rPr>
                <w:rFonts w:ascii="Calibri" w:hAnsi="Calibri"/>
                <w:sz w:val="18"/>
              </w:rPr>
              <w:t>Program, governance, communications, procurement, learners</w:t>
            </w:r>
          </w:p>
        </w:tc>
        <w:tc>
          <w:tcPr>
            <w:tcW w:type="dxa" w:w="2260"/>
            <w:vAlign w:val="top"/>
          </w:tcPr>
          <w:p>
            <w:pPr>
              <w:spacing w:after="40" w:line="259" w:lineRule="auto"/>
            </w:pPr>
            <w:r>
              <w:rPr>
                <w:rFonts w:ascii="Calibri" w:hAnsi="Calibri"/>
                <w:sz w:val="18"/>
              </w:rPr>
              <w:t>Activation</w:t>
            </w:r>
          </w:p>
        </w:tc>
      </w:tr>
      <w:tr>
        <w:trPr>
          <w:cantSplit/>
        </w:trPr>
        <w:tc>
          <w:tcPr>
            <w:tcW w:type="dxa" w:w="1500"/>
            <w:vAlign w:val="top"/>
          </w:tcPr>
          <w:p>
            <w:pPr>
              <w:spacing w:after="40" w:line="259" w:lineRule="auto"/>
            </w:pPr>
            <w:r>
              <w:rPr>
                <w:rFonts w:ascii="Calibri" w:hAnsi="Calibri"/>
                <w:sz w:val="18"/>
              </w:rPr>
              <w:t>Every two weeks</w:t>
            </w:r>
          </w:p>
        </w:tc>
        <w:tc>
          <w:tcPr>
            <w:tcW w:type="dxa" w:w="3000"/>
            <w:vAlign w:val="top"/>
          </w:tcPr>
          <w:p>
            <w:pPr>
              <w:spacing w:after="40" w:line="259" w:lineRule="auto"/>
            </w:pPr>
            <w:r>
              <w:rPr>
                <w:rFonts w:ascii="Calibri" w:hAnsi="Calibri"/>
                <w:sz w:val="18"/>
              </w:rPr>
              <w:t>Live webinar or office hour</w:t>
            </w:r>
          </w:p>
        </w:tc>
        <w:tc>
          <w:tcPr>
            <w:tcW w:type="dxa" w:w="2600"/>
            <w:vAlign w:val="top"/>
          </w:tcPr>
          <w:p>
            <w:pPr>
              <w:spacing w:after="40" w:line="259" w:lineRule="auto"/>
            </w:pPr>
            <w:r>
              <w:rPr>
                <w:rFonts w:ascii="Calibri" w:hAnsi="Calibri"/>
                <w:sz w:val="18"/>
              </w:rPr>
              <w:t>Alternate executive and practitioner sessions</w:t>
            </w:r>
          </w:p>
        </w:tc>
        <w:tc>
          <w:tcPr>
            <w:tcW w:type="dxa" w:w="2260"/>
            <w:vAlign w:val="top"/>
          </w:tcPr>
          <w:p>
            <w:pPr>
              <w:spacing w:after="40" w:line="259" w:lineRule="auto"/>
            </w:pPr>
            <w:r>
              <w:rPr>
                <w:rFonts w:ascii="Calibri" w:hAnsi="Calibri"/>
                <w:sz w:val="18"/>
              </w:rPr>
              <w:t>Trust, demonstration, questions</w:t>
            </w:r>
          </w:p>
        </w:tc>
      </w:tr>
      <w:tr>
        <w:trPr>
          <w:cantSplit/>
        </w:trPr>
        <w:tc>
          <w:tcPr>
            <w:tcW w:type="dxa" w:w="1500"/>
            <w:vAlign w:val="top"/>
          </w:tcPr>
          <w:p>
            <w:pPr>
              <w:spacing w:after="40" w:line="259" w:lineRule="auto"/>
            </w:pPr>
            <w:r>
              <w:rPr>
                <w:rFonts w:ascii="Calibri" w:hAnsi="Calibri"/>
                <w:sz w:val="18"/>
              </w:rPr>
              <w:t>Monthly</w:t>
            </w:r>
          </w:p>
        </w:tc>
        <w:tc>
          <w:tcPr>
            <w:tcW w:type="dxa" w:w="3000"/>
            <w:vAlign w:val="top"/>
          </w:tcPr>
          <w:p>
            <w:pPr>
              <w:spacing w:after="40" w:line="259" w:lineRule="auto"/>
            </w:pPr>
            <w:r>
              <w:rPr>
                <w:rFonts w:ascii="Calibri" w:hAnsi="Calibri"/>
                <w:sz w:val="18"/>
              </w:rPr>
              <w:t>Evidence and resource update</w:t>
            </w:r>
          </w:p>
        </w:tc>
        <w:tc>
          <w:tcPr>
            <w:tcW w:type="dxa" w:w="2600"/>
            <w:vAlign w:val="top"/>
          </w:tcPr>
          <w:p>
            <w:pPr>
              <w:spacing w:after="40" w:line="259" w:lineRule="auto"/>
            </w:pPr>
            <w:r>
              <w:rPr>
                <w:rFonts w:ascii="Calibri" w:hAnsi="Calibri"/>
                <w:sz w:val="18"/>
              </w:rPr>
              <w:t>Researchers, governance, epidemiology, informatics</w:t>
            </w:r>
          </w:p>
        </w:tc>
        <w:tc>
          <w:tcPr>
            <w:tcW w:type="dxa" w:w="2260"/>
            <w:vAlign w:val="top"/>
          </w:tcPr>
          <w:p>
            <w:pPr>
              <w:spacing w:after="40" w:line="259" w:lineRule="auto"/>
            </w:pPr>
            <w:r>
              <w:rPr>
                <w:rFonts w:ascii="Calibri" w:hAnsi="Calibri"/>
                <w:sz w:val="18"/>
              </w:rPr>
              <w:t>Credibility and return visits</w:t>
            </w:r>
          </w:p>
        </w:tc>
      </w:tr>
      <w:tr>
        <w:trPr>
          <w:cantSplit/>
        </w:trPr>
        <w:tc>
          <w:tcPr>
            <w:tcW w:type="dxa" w:w="1500"/>
            <w:vAlign w:val="top"/>
          </w:tcPr>
          <w:p>
            <w:pPr>
              <w:spacing w:after="40" w:line="259" w:lineRule="auto"/>
            </w:pPr>
            <w:r>
              <w:rPr>
                <w:rFonts w:ascii="Calibri" w:hAnsi="Calibri"/>
                <w:sz w:val="18"/>
              </w:rPr>
              <w:t>Monthly</w:t>
            </w:r>
          </w:p>
        </w:tc>
        <w:tc>
          <w:tcPr>
            <w:tcW w:type="dxa" w:w="3000"/>
            <w:vAlign w:val="top"/>
          </w:tcPr>
          <w:p>
            <w:pPr>
              <w:spacing w:after="40" w:line="259" w:lineRule="auto"/>
            </w:pPr>
            <w:r>
              <w:rPr>
                <w:rFonts w:ascii="Calibri" w:hAnsi="Calibri"/>
                <w:sz w:val="18"/>
              </w:rPr>
              <w:t>Reviewer opportunity</w:t>
            </w:r>
          </w:p>
        </w:tc>
        <w:tc>
          <w:tcPr>
            <w:tcW w:type="dxa" w:w="2600"/>
            <w:vAlign w:val="top"/>
          </w:tcPr>
          <w:p>
            <w:pPr>
              <w:spacing w:after="40" w:line="259" w:lineRule="auto"/>
            </w:pPr>
            <w:r>
              <w:rPr>
                <w:rFonts w:ascii="Calibri" w:hAnsi="Calibri"/>
                <w:sz w:val="18"/>
              </w:rPr>
              <w:t>Role matched</w:t>
            </w:r>
          </w:p>
        </w:tc>
        <w:tc>
          <w:tcPr>
            <w:tcW w:type="dxa" w:w="2260"/>
            <w:vAlign w:val="top"/>
          </w:tcPr>
          <w:p>
            <w:pPr>
              <w:spacing w:after="40" w:line="259" w:lineRule="auto"/>
            </w:pPr>
            <w:r>
              <w:rPr>
                <w:rFonts w:ascii="Calibri" w:hAnsi="Calibri"/>
                <w:sz w:val="18"/>
              </w:rPr>
              <w:t>Structured feedback and advocacy</w:t>
            </w:r>
          </w:p>
        </w:tc>
      </w:tr>
      <w:tr>
        <w:trPr>
          <w:cantSplit/>
        </w:trPr>
        <w:tc>
          <w:tcPr>
            <w:tcW w:type="dxa" w:w="1500"/>
            <w:vAlign w:val="top"/>
          </w:tcPr>
          <w:p>
            <w:pPr>
              <w:spacing w:after="40" w:line="259" w:lineRule="auto"/>
            </w:pPr>
            <w:r>
              <w:rPr>
                <w:rFonts w:ascii="Calibri" w:hAnsi="Calibri"/>
                <w:sz w:val="18"/>
              </w:rPr>
              <w:t>Quarterly</w:t>
            </w:r>
          </w:p>
        </w:tc>
        <w:tc>
          <w:tcPr>
            <w:tcW w:type="dxa" w:w="3000"/>
            <w:vAlign w:val="top"/>
          </w:tcPr>
          <w:p>
            <w:pPr>
              <w:spacing w:after="40" w:line="259" w:lineRule="auto"/>
            </w:pPr>
            <w:r>
              <w:rPr>
                <w:rFonts w:ascii="Calibri" w:hAnsi="Calibri"/>
                <w:sz w:val="18"/>
              </w:rPr>
              <w:t>Foundation impact and roadmap update</w:t>
            </w:r>
          </w:p>
        </w:tc>
        <w:tc>
          <w:tcPr>
            <w:tcW w:type="dxa" w:w="2600"/>
            <w:vAlign w:val="top"/>
          </w:tcPr>
          <w:p>
            <w:pPr>
              <w:spacing w:after="40" w:line="259" w:lineRule="auto"/>
            </w:pPr>
            <w:r>
              <w:rPr>
                <w:rFonts w:ascii="Calibri" w:hAnsi="Calibri"/>
                <w:sz w:val="18"/>
              </w:rPr>
              <w:t>All audiences and partners</w:t>
            </w:r>
          </w:p>
        </w:tc>
        <w:tc>
          <w:tcPr>
            <w:tcW w:type="dxa" w:w="2260"/>
            <w:vAlign w:val="top"/>
          </w:tcPr>
          <w:p>
            <w:pPr>
              <w:spacing w:after="40" w:line="259" w:lineRule="auto"/>
            </w:pPr>
            <w:r>
              <w:rPr>
                <w:rFonts w:ascii="Calibri" w:hAnsi="Calibri"/>
                <w:sz w:val="18"/>
              </w:rPr>
              <w:t>Transparency, retention, future-edition interest</w:t>
            </w:r>
          </w:p>
        </w:tc>
      </w:tr>
    </w:tbl>
    <w:p>
      <w:pPr>
        <w:pStyle w:val="Heading1"/>
      </w:pPr>
      <w:r>
        <w:t>7. Email lifecycle</w:t>
      </w:r>
    </w:p>
    <w:p>
      <w:pPr>
        <w:pStyle w:val="ListNumber"/>
      </w:pPr>
      <w:r>
        <w:t>Welcome immediately: confirm membership, explain account boundaries, and offer three choices—assess readiness, personalize learning, or explore the 13 plays.</w:t>
      </w:r>
    </w:p>
    <w:p>
      <w:pPr>
        <w:pStyle w:val="ListNumber"/>
      </w:pPr>
      <w:r>
        <w:t>Role follow-up within 24 hours: show the role's most relevant pathway, one scenario, and one practical Foundation tool or module.</w:t>
      </w:r>
    </w:p>
    <w:p>
      <w:pPr>
        <w:pStyle w:val="ListNumber"/>
      </w:pPr>
      <w:r>
        <w:t>Progress reminder after 3–5 days: return the user to an incomplete assessment, tool, task list, or module without manufacturing urgency.</w:t>
      </w:r>
    </w:p>
    <w:p>
      <w:pPr>
        <w:pStyle w:val="ListNumber"/>
      </w:pPr>
      <w:r>
        <w:t>Value reinforcement after 10–14 days: share an evidence update, public health example, or next recommended play/module.</w:t>
      </w:r>
    </w:p>
    <w:p>
      <w:pPr>
        <w:pStyle w:val="ListNumber"/>
      </w:pPr>
      <w:r>
        <w:t>Reviewer invitation after demonstrated engagement: explain benefits, eligibility, topic matching, and non-redistribution expectations.</w:t>
      </w:r>
    </w:p>
    <w:p>
      <w:pPr>
        <w:pStyle w:val="ListNumber"/>
      </w:pPr>
      <w:r>
        <w:t>Edition or consulting invitation only after need is visible: relate the offer to collaboration, reporting, additional tools, facilitation, training, or organizational implementation—not to artificial scarcity.</w:t>
      </w:r>
    </w:p>
    <w:p>
      <w:pPr>
        <w:pStyle w:val="Heading1"/>
      </w:pPr>
      <w:r>
        <w:t>8. Measurement framework</w:t>
      </w:r>
    </w:p>
    <w:tbl>
      <w:tblPr>
        <w:tblW w:type="dxa" w:w="9360"/>
        <w:jc w:val="left"/>
        <w:tblLayout w:type="fixed"/>
        <w:tblLook w:firstColumn="1" w:firstRow="1" w:lastColumn="0" w:lastRow="0" w:noHBand="0" w:noVBand="1" w:val="04A0"/>
        <w:tblInd w:w="120" w:type="dxa"/>
      </w:tblPr>
      <w:tblGrid>
        <w:gridCol w:w="1300"/>
        <w:gridCol w:w="4300"/>
        <w:gridCol w:w="3760"/>
      </w:tblGrid>
      <w:tr>
        <w:trPr>
          <w:tblHeader w:val="true"/>
          <w:cantSplit/>
        </w:trPr>
        <w:tc>
          <w:tcPr>
            <w:tcW w:type="dxa" w:w="1300"/>
            <w:tcMar>
              <w:top w:w="90" w:type="dxa"/>
              <w:start w:w="120" w:type="dxa"/>
              <w:bottom w:w="90" w:type="dxa"/>
              <w:end w:w="120" w:type="dxa"/>
            </w:tcMar>
            <w:shd w:fill="073763"/>
            <w:vAlign w:val="top"/>
          </w:tcPr>
          <w:p>
            <w:pPr>
              <w:spacing w:after="40" w:line="259" w:lineRule="auto"/>
            </w:pPr>
            <w:r>
              <w:rPr>
                <w:rFonts w:ascii="Calibri" w:hAnsi="Calibri"/>
                <w:b/>
                <w:color w:val="FFFFFF"/>
                <w:sz w:val="18"/>
              </w:rPr>
              <w:t>Level</w:t>
            </w:r>
          </w:p>
        </w:tc>
        <w:tc>
          <w:tcPr>
            <w:tcW w:type="dxa" w:w="4300"/>
            <w:tcMar>
              <w:top w:w="90" w:type="dxa"/>
              <w:start w:w="120" w:type="dxa"/>
              <w:bottom w:w="90" w:type="dxa"/>
              <w:end w:w="120" w:type="dxa"/>
            </w:tcMar>
            <w:shd w:fill="073763"/>
            <w:vAlign w:val="top"/>
          </w:tcPr>
          <w:p>
            <w:pPr>
              <w:spacing w:after="40" w:line="259" w:lineRule="auto"/>
            </w:pPr>
            <w:r>
              <w:rPr>
                <w:rFonts w:ascii="Calibri" w:hAnsi="Calibri"/>
                <w:b/>
                <w:color w:val="FFFFFF"/>
                <w:sz w:val="18"/>
              </w:rPr>
              <w:t>Measures</w:t>
            </w:r>
          </w:p>
        </w:tc>
        <w:tc>
          <w:tcPr>
            <w:tcW w:type="dxa" w:w="3760"/>
            <w:tcMar>
              <w:top w:w="90" w:type="dxa"/>
              <w:start w:w="120" w:type="dxa"/>
              <w:bottom w:w="90" w:type="dxa"/>
              <w:end w:w="120" w:type="dxa"/>
            </w:tcMar>
            <w:shd w:fill="073763"/>
            <w:vAlign w:val="top"/>
          </w:tcPr>
          <w:p>
            <w:pPr>
              <w:spacing w:after="40" w:line="259" w:lineRule="auto"/>
            </w:pPr>
            <w:r>
              <w:rPr>
                <w:rFonts w:ascii="Calibri" w:hAnsi="Calibri"/>
                <w:b/>
                <w:color w:val="FFFFFF"/>
                <w:sz w:val="18"/>
              </w:rPr>
              <w:t>Interpretation</w:t>
            </w:r>
          </w:p>
        </w:tc>
      </w:tr>
      <w:tr>
        <w:trPr>
          <w:cantSplit/>
        </w:trPr>
        <w:tc>
          <w:tcPr>
            <w:tcW w:type="dxa" w:w="1300"/>
            <w:vAlign w:val="top"/>
          </w:tcPr>
          <w:p>
            <w:pPr>
              <w:spacing w:after="40" w:line="259" w:lineRule="auto"/>
            </w:pPr>
            <w:r>
              <w:rPr>
                <w:rFonts w:ascii="Calibri" w:hAnsi="Calibri"/>
                <w:sz w:val="18"/>
              </w:rPr>
              <w:t>Reach</w:t>
            </w:r>
          </w:p>
        </w:tc>
        <w:tc>
          <w:tcPr>
            <w:tcW w:type="dxa" w:w="4300"/>
            <w:vAlign w:val="top"/>
          </w:tcPr>
          <w:p>
            <w:pPr>
              <w:spacing w:after="40" w:line="259" w:lineRule="auto"/>
            </w:pPr>
            <w:r>
              <w:rPr>
                <w:rFonts w:ascii="Calibri" w:hAnsi="Calibri"/>
                <w:sz w:val="18"/>
              </w:rPr>
              <w:t>Qualified visits by channel, partner referrals, webinar registrations, role-page entry</w:t>
            </w:r>
          </w:p>
        </w:tc>
        <w:tc>
          <w:tcPr>
            <w:tcW w:type="dxa" w:w="3760"/>
            <w:vAlign w:val="top"/>
          </w:tcPr>
          <w:p>
            <w:pPr>
              <w:spacing w:after="40" w:line="259" w:lineRule="auto"/>
            </w:pPr>
            <w:r>
              <w:rPr>
                <w:rFonts w:ascii="Calibri" w:hAnsi="Calibri"/>
                <w:sz w:val="18"/>
              </w:rPr>
              <w:t>Whether outreach reaches public health audiences—not merely total traffic.</w:t>
            </w:r>
          </w:p>
        </w:tc>
      </w:tr>
      <w:tr>
        <w:trPr>
          <w:cantSplit/>
        </w:trPr>
        <w:tc>
          <w:tcPr>
            <w:tcW w:type="dxa" w:w="1300"/>
            <w:vAlign w:val="top"/>
          </w:tcPr>
          <w:p>
            <w:pPr>
              <w:spacing w:after="40" w:line="259" w:lineRule="auto"/>
            </w:pPr>
            <w:r>
              <w:rPr>
                <w:rFonts w:ascii="Calibri" w:hAnsi="Calibri"/>
                <w:sz w:val="18"/>
              </w:rPr>
              <w:t>Relevance</w:t>
            </w:r>
          </w:p>
        </w:tc>
        <w:tc>
          <w:tcPr>
            <w:tcW w:type="dxa" w:w="4300"/>
            <w:vAlign w:val="top"/>
          </w:tcPr>
          <w:p>
            <w:pPr>
              <w:spacing w:after="40" w:line="259" w:lineRule="auto"/>
            </w:pPr>
            <w:r>
              <w:rPr>
                <w:rFonts w:ascii="Calibri" w:hAnsi="Calibri"/>
                <w:sz w:val="18"/>
              </w:rPr>
              <w:t>Role selection, pathway views, assessment starts, play-to-tool transitions</w:t>
            </w:r>
          </w:p>
        </w:tc>
        <w:tc>
          <w:tcPr>
            <w:tcW w:type="dxa" w:w="3760"/>
            <w:vAlign w:val="top"/>
          </w:tcPr>
          <w:p>
            <w:pPr>
              <w:spacing w:after="40" w:line="259" w:lineRule="auto"/>
            </w:pPr>
            <w:r>
              <w:rPr>
                <w:rFonts w:ascii="Calibri" w:hAnsi="Calibri"/>
                <w:sz w:val="18"/>
              </w:rPr>
              <w:t>Whether visitors recognize that the product addresses their responsibilities.</w:t>
            </w:r>
          </w:p>
        </w:tc>
      </w:tr>
      <w:tr>
        <w:trPr>
          <w:cantSplit/>
        </w:trPr>
        <w:tc>
          <w:tcPr>
            <w:tcW w:type="dxa" w:w="1300"/>
            <w:vAlign w:val="top"/>
          </w:tcPr>
          <w:p>
            <w:pPr>
              <w:spacing w:after="40" w:line="259" w:lineRule="auto"/>
            </w:pPr>
            <w:r>
              <w:rPr>
                <w:rFonts w:ascii="Calibri" w:hAnsi="Calibri"/>
                <w:sz w:val="18"/>
              </w:rPr>
              <w:t>Activation</w:t>
            </w:r>
          </w:p>
        </w:tc>
        <w:tc>
          <w:tcPr>
            <w:tcW w:type="dxa" w:w="4300"/>
            <w:vAlign w:val="top"/>
          </w:tcPr>
          <w:p>
            <w:pPr>
              <w:spacing w:after="40" w:line="259" w:lineRule="auto"/>
            </w:pPr>
            <w:r>
              <w:rPr>
                <w:rFonts w:ascii="Calibri" w:hAnsi="Calibri"/>
                <w:sz w:val="18"/>
              </w:rPr>
              <w:t>Verified accounts, completed assessments, saved recommendations, tool downloads, module starts</w:t>
            </w:r>
          </w:p>
        </w:tc>
        <w:tc>
          <w:tcPr>
            <w:tcW w:type="dxa" w:w="3760"/>
            <w:vAlign w:val="top"/>
          </w:tcPr>
          <w:p>
            <w:pPr>
              <w:spacing w:after="40" w:line="259" w:lineRule="auto"/>
            </w:pPr>
            <w:r>
              <w:rPr>
                <w:rFonts w:ascii="Calibri" w:hAnsi="Calibri"/>
                <w:sz w:val="18"/>
              </w:rPr>
              <w:t>Whether the account exchange produces immediate value.</w:t>
            </w:r>
          </w:p>
        </w:tc>
      </w:tr>
      <w:tr>
        <w:trPr>
          <w:cantSplit/>
        </w:trPr>
        <w:tc>
          <w:tcPr>
            <w:tcW w:type="dxa" w:w="1300"/>
            <w:vAlign w:val="top"/>
          </w:tcPr>
          <w:p>
            <w:pPr>
              <w:spacing w:after="40" w:line="259" w:lineRule="auto"/>
            </w:pPr>
            <w:r>
              <w:rPr>
                <w:rFonts w:ascii="Calibri" w:hAnsi="Calibri"/>
                <w:sz w:val="18"/>
              </w:rPr>
              <w:t>Depth</w:t>
            </w:r>
          </w:p>
        </w:tc>
        <w:tc>
          <w:tcPr>
            <w:tcW w:type="dxa" w:w="4300"/>
            <w:vAlign w:val="top"/>
          </w:tcPr>
          <w:p>
            <w:pPr>
              <w:spacing w:after="40" w:line="259" w:lineRule="auto"/>
            </w:pPr>
            <w:r>
              <w:rPr>
                <w:rFonts w:ascii="Calibri" w:hAnsi="Calibri"/>
                <w:sz w:val="18"/>
              </w:rPr>
              <w:t>Return visits, saved tasks, module completion, multiple play/tool use</w:t>
            </w:r>
          </w:p>
        </w:tc>
        <w:tc>
          <w:tcPr>
            <w:tcW w:type="dxa" w:w="3760"/>
            <w:vAlign w:val="top"/>
          </w:tcPr>
          <w:p>
            <w:pPr>
              <w:spacing w:after="40" w:line="259" w:lineRule="auto"/>
            </w:pPr>
            <w:r>
              <w:rPr>
                <w:rFonts w:ascii="Calibri" w:hAnsi="Calibri"/>
                <w:sz w:val="18"/>
              </w:rPr>
              <w:t>Whether Foundation supports ongoing work rather than a single download.</w:t>
            </w:r>
          </w:p>
        </w:tc>
      </w:tr>
      <w:tr>
        <w:trPr>
          <w:cantSplit/>
        </w:trPr>
        <w:tc>
          <w:tcPr>
            <w:tcW w:type="dxa" w:w="1300"/>
            <w:vAlign w:val="top"/>
          </w:tcPr>
          <w:p>
            <w:pPr>
              <w:spacing w:after="40" w:line="259" w:lineRule="auto"/>
            </w:pPr>
            <w:r>
              <w:rPr>
                <w:rFonts w:ascii="Calibri" w:hAnsi="Calibri"/>
                <w:sz w:val="18"/>
              </w:rPr>
              <w:t>Trust</w:t>
            </w:r>
          </w:p>
        </w:tc>
        <w:tc>
          <w:tcPr>
            <w:tcW w:type="dxa" w:w="4300"/>
            <w:vAlign w:val="top"/>
          </w:tcPr>
          <w:p>
            <w:pPr>
              <w:spacing w:after="40" w:line="259" w:lineRule="auto"/>
            </w:pPr>
            <w:r>
              <w:rPr>
                <w:rFonts w:ascii="Calibri" w:hAnsi="Calibri"/>
                <w:sz w:val="18"/>
              </w:rPr>
              <w:t>Evidence clicks, corrections, reviewer applications, webinar questions, low unsubscribe/complaint rate</w:t>
            </w:r>
          </w:p>
        </w:tc>
        <w:tc>
          <w:tcPr>
            <w:tcW w:type="dxa" w:w="3760"/>
            <w:vAlign w:val="top"/>
          </w:tcPr>
          <w:p>
            <w:pPr>
              <w:spacing w:after="40" w:line="259" w:lineRule="auto"/>
            </w:pPr>
            <w:r>
              <w:rPr>
                <w:rFonts w:ascii="Calibri" w:hAnsi="Calibri"/>
                <w:sz w:val="18"/>
              </w:rPr>
              <w:t>Whether users perceive credibility and safe boundaries.</w:t>
            </w:r>
          </w:p>
        </w:tc>
      </w:tr>
      <w:tr>
        <w:trPr>
          <w:cantSplit/>
        </w:trPr>
        <w:tc>
          <w:tcPr>
            <w:tcW w:type="dxa" w:w="1300"/>
            <w:vAlign w:val="top"/>
          </w:tcPr>
          <w:p>
            <w:pPr>
              <w:spacing w:after="40" w:line="259" w:lineRule="auto"/>
            </w:pPr>
            <w:r>
              <w:rPr>
                <w:rFonts w:ascii="Calibri" w:hAnsi="Calibri"/>
                <w:sz w:val="18"/>
              </w:rPr>
              <w:t>Conversion</w:t>
            </w:r>
          </w:p>
        </w:tc>
        <w:tc>
          <w:tcPr>
            <w:tcW w:type="dxa" w:w="4300"/>
            <w:vAlign w:val="top"/>
          </w:tcPr>
          <w:p>
            <w:pPr>
              <w:spacing w:after="40" w:line="259" w:lineRule="auto"/>
            </w:pPr>
            <w:r>
              <w:rPr>
                <w:rFonts w:ascii="Calibri" w:hAnsi="Calibri"/>
                <w:sz w:val="18"/>
              </w:rPr>
              <w:t>Consulting inquiries, demonstration requests, organization/enterprise interest, partner opportunities</w:t>
            </w:r>
          </w:p>
        </w:tc>
        <w:tc>
          <w:tcPr>
            <w:tcW w:type="dxa" w:w="3760"/>
            <w:vAlign w:val="top"/>
          </w:tcPr>
          <w:p>
            <w:pPr>
              <w:spacing w:after="40" w:line="259" w:lineRule="auto"/>
            </w:pPr>
            <w:r>
              <w:rPr>
                <w:rFonts w:ascii="Calibri" w:hAnsi="Calibri"/>
                <w:sz w:val="18"/>
              </w:rPr>
              <w:t>Whether unmet organizational needs become qualified—not pressured—commercial conversations.</w:t>
            </w:r>
          </w:p>
        </w:tc>
      </w:tr>
    </w:tbl>
    <w:tbl>
      <w:tblPr>
        <w:tblW w:type="dxa" w:w="9360"/>
        <w:jc w:val="left"/>
        <w:tblLayout w:type="fixed"/>
        <w:tblLook w:firstColumn="1" w:firstRow="1" w:lastColumn="0" w:lastRow="0" w:noHBand="0" w:noVBand="1" w:val="04A0"/>
        <w:tblInd w:w="120" w:type="dxa"/>
      </w:tblPr>
      <w:tblGrid>
        <w:gridCol w:w="9360"/>
      </w:tblGrid>
      <w:tr>
        <w:trPr>
          <w:tblHeader w:val="true"/>
          <w:cantSplit/>
        </w:trPr>
        <w:tc>
          <w:tcPr>
            <w:tcW w:type="dxa" w:w="9360"/>
            <w:tcMar>
              <w:top w:w="90" w:type="dxa"/>
              <w:start w:w="120" w:type="dxa"/>
              <w:bottom w:w="90" w:type="dxa"/>
              <w:end w:w="120" w:type="dxa"/>
            </w:tcMar>
            <w:shd w:fill="EDF6EE"/>
            <w:vAlign w:val="top"/>
          </w:tcPr>
          <w:p>
            <w:pPr>
              <w:spacing w:after="40" w:line="259" w:lineRule="auto"/>
            </w:pPr>
            <w:r>
              <w:rPr>
                <w:rFonts w:ascii="Calibri" w:hAnsi="Calibri"/>
                <w:b/>
                <w:color w:val="073763"/>
                <w:sz w:val="18"/>
              </w:rPr>
              <w:t xml:space="preserve">North-star measure  </w:t>
            </w:r>
            <w:r>
              <w:rPr>
                <w:rFonts w:ascii="Calibri" w:hAnsi="Calibri"/>
                <w:sz w:val="18"/>
              </w:rPr>
              <w:t>Percentage of verified members who complete at least one meaningful action within 14 days, segmented by persona and acquisition source.</w:t>
            </w:r>
          </w:p>
        </w:tc>
      </w:tr>
    </w:tbl>
    <w:p>
      <w:pPr>
        <w:spacing w:after="0"/>
      </w:pPr>
    </w:p>
    <w:p>
      <w:pPr>
        <w:pStyle w:val="Heading1"/>
      </w:pPr>
      <w:r>
        <w:t>9. Governance and operating responsibilities</w:t>
      </w:r>
    </w:p>
    <w:tbl>
      <w:tblPr>
        <w:tblW w:type="dxa" w:w="9360"/>
        <w:jc w:val="left"/>
        <w:tblLayout w:type="fixed"/>
        <w:tblLook w:firstColumn="1" w:firstRow="1" w:lastColumn="0" w:lastRow="0" w:noHBand="0" w:noVBand="1" w:val="04A0"/>
        <w:tblInd w:w="120" w:type="dxa"/>
      </w:tblPr>
      <w:tblGrid>
        <w:gridCol w:w="3600"/>
        <w:gridCol w:w="2400"/>
        <w:gridCol w:w="3360"/>
      </w:tblGrid>
      <w:tr>
        <w:trPr>
          <w:tblHeader w:val="true"/>
          <w:cantSplit/>
        </w:trPr>
        <w:tc>
          <w:tcPr>
            <w:tcW w:type="dxa" w:w="3600"/>
            <w:tcMar>
              <w:top w:w="90" w:type="dxa"/>
              <w:start w:w="120" w:type="dxa"/>
              <w:bottom w:w="90" w:type="dxa"/>
              <w:end w:w="120" w:type="dxa"/>
            </w:tcMar>
            <w:shd w:fill="073763"/>
            <w:vAlign w:val="top"/>
          </w:tcPr>
          <w:p>
            <w:pPr>
              <w:spacing w:after="40" w:line="259" w:lineRule="auto"/>
            </w:pPr>
            <w:r>
              <w:rPr>
                <w:rFonts w:ascii="Calibri" w:hAnsi="Calibri"/>
                <w:b/>
                <w:color w:val="FFFFFF"/>
                <w:sz w:val="18"/>
              </w:rPr>
              <w:t>Responsibility</w:t>
            </w:r>
          </w:p>
        </w:tc>
        <w:tc>
          <w:tcPr>
            <w:tcW w:type="dxa" w:w="2400"/>
            <w:tcMar>
              <w:top w:w="90" w:type="dxa"/>
              <w:start w:w="120" w:type="dxa"/>
              <w:bottom w:w="90" w:type="dxa"/>
              <w:end w:w="120" w:type="dxa"/>
            </w:tcMar>
            <w:shd w:fill="073763"/>
            <w:vAlign w:val="top"/>
          </w:tcPr>
          <w:p>
            <w:pPr>
              <w:spacing w:after="40" w:line="259" w:lineRule="auto"/>
            </w:pPr>
            <w:r>
              <w:rPr>
                <w:rFonts w:ascii="Calibri" w:hAnsi="Calibri"/>
                <w:b/>
                <w:color w:val="FFFFFF"/>
                <w:sz w:val="18"/>
              </w:rPr>
              <w:t>Accountable role</w:t>
            </w:r>
          </w:p>
        </w:tc>
        <w:tc>
          <w:tcPr>
            <w:tcW w:type="dxa" w:w="3360"/>
            <w:tcMar>
              <w:top w:w="90" w:type="dxa"/>
              <w:start w:w="120" w:type="dxa"/>
              <w:bottom w:w="90" w:type="dxa"/>
              <w:end w:w="120" w:type="dxa"/>
            </w:tcMar>
            <w:shd w:fill="073763"/>
            <w:vAlign w:val="top"/>
          </w:tcPr>
          <w:p>
            <w:pPr>
              <w:spacing w:after="40" w:line="259" w:lineRule="auto"/>
            </w:pPr>
            <w:r>
              <w:rPr>
                <w:rFonts w:ascii="Calibri" w:hAnsi="Calibri"/>
                <w:b/>
                <w:color w:val="FFFFFF"/>
                <w:sz w:val="18"/>
              </w:rPr>
              <w:t>Required review</w:t>
            </w:r>
          </w:p>
        </w:tc>
      </w:tr>
      <w:tr>
        <w:trPr>
          <w:cantSplit/>
        </w:trPr>
        <w:tc>
          <w:tcPr>
            <w:tcW w:type="dxa" w:w="3600"/>
            <w:vAlign w:val="top"/>
          </w:tcPr>
          <w:p>
            <w:pPr>
              <w:spacing w:after="40" w:line="259" w:lineRule="auto"/>
            </w:pPr>
            <w:r>
              <w:rPr>
                <w:rFonts w:ascii="Calibri" w:hAnsi="Calibri"/>
                <w:sz w:val="18"/>
              </w:rPr>
              <w:t>Positioning and edition claims</w:t>
            </w:r>
          </w:p>
        </w:tc>
        <w:tc>
          <w:tcPr>
            <w:tcW w:type="dxa" w:w="2400"/>
            <w:vAlign w:val="top"/>
          </w:tcPr>
          <w:p>
            <w:pPr>
              <w:spacing w:after="40" w:line="259" w:lineRule="auto"/>
            </w:pPr>
            <w:r>
              <w:rPr>
                <w:rFonts w:ascii="Calibri" w:hAnsi="Calibri"/>
                <w:sz w:val="18"/>
              </w:rPr>
              <w:t>Product owner</w:t>
            </w:r>
          </w:p>
        </w:tc>
        <w:tc>
          <w:tcPr>
            <w:tcW w:type="dxa" w:w="3360"/>
            <w:vAlign w:val="top"/>
          </w:tcPr>
          <w:p>
            <w:pPr>
              <w:spacing w:after="40" w:line="259" w:lineRule="auto"/>
            </w:pPr>
            <w:r>
              <w:rPr>
                <w:rFonts w:ascii="Calibri" w:hAnsi="Calibri"/>
                <w:sz w:val="18"/>
              </w:rPr>
              <w:t>Business and product review</w:t>
            </w:r>
          </w:p>
        </w:tc>
      </w:tr>
      <w:tr>
        <w:trPr>
          <w:cantSplit/>
        </w:trPr>
        <w:tc>
          <w:tcPr>
            <w:tcW w:type="dxa" w:w="3600"/>
            <w:vAlign w:val="top"/>
          </w:tcPr>
          <w:p>
            <w:pPr>
              <w:spacing w:after="40" w:line="259" w:lineRule="auto"/>
            </w:pPr>
            <w:r>
              <w:rPr>
                <w:rFonts w:ascii="Calibri" w:hAnsi="Calibri"/>
                <w:sz w:val="18"/>
              </w:rPr>
              <w:t>Public health accuracy</w:t>
            </w:r>
          </w:p>
        </w:tc>
        <w:tc>
          <w:tcPr>
            <w:tcW w:type="dxa" w:w="2400"/>
            <w:vAlign w:val="top"/>
          </w:tcPr>
          <w:p>
            <w:pPr>
              <w:spacing w:after="40" w:line="259" w:lineRule="auto"/>
            </w:pPr>
            <w:r>
              <w:rPr>
                <w:rFonts w:ascii="Calibri" w:hAnsi="Calibri"/>
                <w:sz w:val="18"/>
              </w:rPr>
              <w:t>Content lead</w:t>
            </w:r>
          </w:p>
        </w:tc>
        <w:tc>
          <w:tcPr>
            <w:tcW w:type="dxa" w:w="3360"/>
            <w:vAlign w:val="top"/>
          </w:tcPr>
          <w:p>
            <w:pPr>
              <w:spacing w:after="40" w:line="259" w:lineRule="auto"/>
            </w:pPr>
            <w:r>
              <w:rPr>
                <w:rFonts w:ascii="Calibri" w:hAnsi="Calibri"/>
                <w:sz w:val="18"/>
              </w:rPr>
              <w:t>Relevant subject-matter reviewer</w:t>
            </w:r>
          </w:p>
        </w:tc>
      </w:tr>
      <w:tr>
        <w:trPr>
          <w:cantSplit/>
        </w:trPr>
        <w:tc>
          <w:tcPr>
            <w:tcW w:type="dxa" w:w="3600"/>
            <w:vAlign w:val="top"/>
          </w:tcPr>
          <w:p>
            <w:pPr>
              <w:spacing w:after="40" w:line="259" w:lineRule="auto"/>
            </w:pPr>
            <w:r>
              <w:rPr>
                <w:rFonts w:ascii="Calibri" w:hAnsi="Calibri"/>
                <w:sz w:val="18"/>
              </w:rPr>
              <w:t>Evidence claims and citations</w:t>
            </w:r>
          </w:p>
        </w:tc>
        <w:tc>
          <w:tcPr>
            <w:tcW w:type="dxa" w:w="2400"/>
            <w:vAlign w:val="top"/>
          </w:tcPr>
          <w:p>
            <w:pPr>
              <w:spacing w:after="40" w:line="259" w:lineRule="auto"/>
            </w:pPr>
            <w:r>
              <w:rPr>
                <w:rFonts w:ascii="Calibri" w:hAnsi="Calibri"/>
                <w:sz w:val="18"/>
              </w:rPr>
              <w:t>Evidence lead</w:t>
            </w:r>
          </w:p>
        </w:tc>
        <w:tc>
          <w:tcPr>
            <w:tcW w:type="dxa" w:w="3360"/>
            <w:vAlign w:val="top"/>
          </w:tcPr>
          <w:p>
            <w:pPr>
              <w:spacing w:after="40" w:line="259" w:lineRule="auto"/>
            </w:pPr>
            <w:r>
              <w:rPr>
                <w:rFonts w:ascii="Calibri" w:hAnsi="Calibri"/>
                <w:sz w:val="18"/>
              </w:rPr>
              <w:t>Research/evaluation review</w:t>
            </w:r>
          </w:p>
        </w:tc>
      </w:tr>
      <w:tr>
        <w:trPr>
          <w:cantSplit/>
        </w:trPr>
        <w:tc>
          <w:tcPr>
            <w:tcW w:type="dxa" w:w="3600"/>
            <w:vAlign w:val="top"/>
          </w:tcPr>
          <w:p>
            <w:pPr>
              <w:spacing w:after="40" w:line="259" w:lineRule="auto"/>
            </w:pPr>
            <w:r>
              <w:rPr>
                <w:rFonts w:ascii="Calibri" w:hAnsi="Calibri"/>
                <w:sz w:val="18"/>
              </w:rPr>
              <w:t>Privacy, data collection, and account messaging</w:t>
            </w:r>
          </w:p>
        </w:tc>
        <w:tc>
          <w:tcPr>
            <w:tcW w:type="dxa" w:w="2400"/>
            <w:vAlign w:val="top"/>
          </w:tcPr>
          <w:p>
            <w:pPr>
              <w:spacing w:after="40" w:line="259" w:lineRule="auto"/>
            </w:pPr>
            <w:r>
              <w:rPr>
                <w:rFonts w:ascii="Calibri" w:hAnsi="Calibri"/>
                <w:sz w:val="18"/>
              </w:rPr>
              <w:t>Privacy/legal lead</w:t>
            </w:r>
          </w:p>
        </w:tc>
        <w:tc>
          <w:tcPr>
            <w:tcW w:type="dxa" w:w="3360"/>
            <w:vAlign w:val="top"/>
          </w:tcPr>
          <w:p>
            <w:pPr>
              <w:spacing w:after="40" w:line="259" w:lineRule="auto"/>
            </w:pPr>
            <w:r>
              <w:rPr>
                <w:rFonts w:ascii="Calibri" w:hAnsi="Calibri"/>
                <w:sz w:val="18"/>
              </w:rPr>
              <w:t>Security and product review</w:t>
            </w:r>
          </w:p>
        </w:tc>
      </w:tr>
      <w:tr>
        <w:trPr>
          <w:cantSplit/>
        </w:trPr>
        <w:tc>
          <w:tcPr>
            <w:tcW w:type="dxa" w:w="3600"/>
            <w:vAlign w:val="top"/>
          </w:tcPr>
          <w:p>
            <w:pPr>
              <w:spacing w:after="40" w:line="259" w:lineRule="auto"/>
            </w:pPr>
            <w:r>
              <w:rPr>
                <w:rFonts w:ascii="Calibri" w:hAnsi="Calibri"/>
                <w:sz w:val="18"/>
              </w:rPr>
              <w:t>Equity, accessibility, language, and community content</w:t>
            </w:r>
          </w:p>
        </w:tc>
        <w:tc>
          <w:tcPr>
            <w:tcW w:type="dxa" w:w="2400"/>
            <w:vAlign w:val="top"/>
          </w:tcPr>
          <w:p>
            <w:pPr>
              <w:spacing w:after="40" w:line="259" w:lineRule="auto"/>
            </w:pPr>
            <w:r>
              <w:rPr>
                <w:rFonts w:ascii="Calibri" w:hAnsi="Calibri"/>
                <w:sz w:val="18"/>
              </w:rPr>
              <w:t>Equity/accessibility lead</w:t>
            </w:r>
          </w:p>
        </w:tc>
        <w:tc>
          <w:tcPr>
            <w:tcW w:type="dxa" w:w="3360"/>
            <w:vAlign w:val="top"/>
          </w:tcPr>
          <w:p>
            <w:pPr>
              <w:spacing w:after="40" w:line="259" w:lineRule="auto"/>
            </w:pPr>
            <w:r>
              <w:rPr>
                <w:rFonts w:ascii="Calibri" w:hAnsi="Calibri"/>
                <w:sz w:val="18"/>
              </w:rPr>
              <w:t>Affected-role or community review where appropriate</w:t>
            </w:r>
          </w:p>
        </w:tc>
      </w:tr>
      <w:tr>
        <w:trPr>
          <w:cantSplit/>
        </w:trPr>
        <w:tc>
          <w:tcPr>
            <w:tcW w:type="dxa" w:w="3600"/>
            <w:vAlign w:val="top"/>
          </w:tcPr>
          <w:p>
            <w:pPr>
              <w:spacing w:after="40" w:line="259" w:lineRule="auto"/>
            </w:pPr>
            <w:r>
              <w:rPr>
                <w:rFonts w:ascii="Calibri" w:hAnsi="Calibri"/>
                <w:sz w:val="18"/>
              </w:rPr>
              <w:t>Email operations and consent</w:t>
            </w:r>
          </w:p>
        </w:tc>
        <w:tc>
          <w:tcPr>
            <w:tcW w:type="dxa" w:w="2400"/>
            <w:vAlign w:val="top"/>
          </w:tcPr>
          <w:p>
            <w:pPr>
              <w:spacing w:after="40" w:line="259" w:lineRule="auto"/>
            </w:pPr>
            <w:r>
              <w:rPr>
                <w:rFonts w:ascii="Calibri" w:hAnsi="Calibri"/>
                <w:sz w:val="18"/>
              </w:rPr>
              <w:t>Communications lead</w:t>
            </w:r>
          </w:p>
        </w:tc>
        <w:tc>
          <w:tcPr>
            <w:tcW w:type="dxa" w:w="3360"/>
            <w:vAlign w:val="top"/>
          </w:tcPr>
          <w:p>
            <w:pPr>
              <w:spacing w:after="40" w:line="259" w:lineRule="auto"/>
            </w:pPr>
            <w:r>
              <w:rPr>
                <w:rFonts w:ascii="Calibri" w:hAnsi="Calibri"/>
                <w:sz w:val="18"/>
              </w:rPr>
              <w:t>Privacy and deliverability review</w:t>
            </w:r>
          </w:p>
        </w:tc>
      </w:tr>
      <w:tr>
        <w:trPr>
          <w:cantSplit/>
        </w:trPr>
        <w:tc>
          <w:tcPr>
            <w:tcW w:type="dxa" w:w="3600"/>
            <w:vAlign w:val="top"/>
          </w:tcPr>
          <w:p>
            <w:pPr>
              <w:spacing w:after="40" w:line="259" w:lineRule="auto"/>
            </w:pPr>
            <w:r>
              <w:rPr>
                <w:rFonts w:ascii="Calibri" w:hAnsi="Calibri"/>
                <w:sz w:val="18"/>
              </w:rPr>
              <w:t>Analytics and reporting</w:t>
            </w:r>
          </w:p>
        </w:tc>
        <w:tc>
          <w:tcPr>
            <w:tcW w:type="dxa" w:w="2400"/>
            <w:vAlign w:val="top"/>
          </w:tcPr>
          <w:p>
            <w:pPr>
              <w:spacing w:after="40" w:line="259" w:lineRule="auto"/>
            </w:pPr>
            <w:r>
              <w:rPr>
                <w:rFonts w:ascii="Calibri" w:hAnsi="Calibri"/>
                <w:sz w:val="18"/>
              </w:rPr>
              <w:t>Product/analytics lead</w:t>
            </w:r>
          </w:p>
        </w:tc>
        <w:tc>
          <w:tcPr>
            <w:tcW w:type="dxa" w:w="3360"/>
            <w:vAlign w:val="top"/>
          </w:tcPr>
          <w:p>
            <w:pPr>
              <w:spacing w:after="40" w:line="259" w:lineRule="auto"/>
            </w:pPr>
            <w:r>
              <w:rPr>
                <w:rFonts w:ascii="Calibri" w:hAnsi="Calibri"/>
                <w:sz w:val="18"/>
              </w:rPr>
              <w:t>Privacy review; no sensitive assessment content in analytics</w:t>
            </w:r>
          </w:p>
        </w:tc>
      </w:tr>
      <w:tr>
        <w:trPr>
          <w:cantSplit/>
        </w:trPr>
        <w:tc>
          <w:tcPr>
            <w:tcW w:type="dxa" w:w="3600"/>
            <w:vAlign w:val="top"/>
          </w:tcPr>
          <w:p>
            <w:pPr>
              <w:spacing w:after="40" w:line="259" w:lineRule="auto"/>
            </w:pPr>
            <w:r>
              <w:rPr>
                <w:rFonts w:ascii="Calibri" w:hAnsi="Calibri"/>
                <w:sz w:val="18"/>
              </w:rPr>
              <w:t>Corrections and incidents</w:t>
            </w:r>
          </w:p>
        </w:tc>
        <w:tc>
          <w:tcPr>
            <w:tcW w:type="dxa" w:w="2400"/>
            <w:vAlign w:val="top"/>
          </w:tcPr>
          <w:p>
            <w:pPr>
              <w:spacing w:after="40" w:line="259" w:lineRule="auto"/>
            </w:pPr>
            <w:r>
              <w:rPr>
                <w:rFonts w:ascii="Calibri" w:hAnsi="Calibri"/>
                <w:sz w:val="18"/>
              </w:rPr>
              <w:t>Content or incident owner</w:t>
            </w:r>
          </w:p>
        </w:tc>
        <w:tc>
          <w:tcPr>
            <w:tcW w:type="dxa" w:w="3360"/>
            <w:vAlign w:val="top"/>
          </w:tcPr>
          <w:p>
            <w:pPr>
              <w:spacing w:after="40" w:line="259" w:lineRule="auto"/>
            </w:pPr>
            <w:r>
              <w:rPr>
                <w:rFonts w:ascii="Calibri" w:hAnsi="Calibri"/>
                <w:sz w:val="18"/>
              </w:rPr>
              <w:t>Escalation based on severity</w:t>
            </w:r>
          </w:p>
        </w:tc>
      </w:tr>
    </w:tbl>
    <w:p>
      <w:pPr>
        <w:pStyle w:val="Heading1"/>
      </w:pPr>
      <w:r>
        <w:t>10. Trust and accessibility guardrails</w:t>
      </w:r>
    </w:p>
    <w:p>
      <w:pPr>
        <w:pStyle w:val="ListBullet"/>
      </w:pPr>
      <w:r>
        <w:t>Do not describe completed but unreleased capabilities as under development.</w:t>
      </w:r>
    </w:p>
    <w:p>
      <w:pPr>
        <w:pStyle w:val="ListBullet"/>
      </w:pPr>
      <w:r>
        <w:t>Do not imply that the Foundation Edition includes organization-wide administration, all 49 tools, or advanced modules available only in other editions.</w:t>
      </w:r>
    </w:p>
    <w:p>
      <w:pPr>
        <w:pStyle w:val="ListBullet"/>
      </w:pPr>
      <w:r>
        <w:t>Do not market the toolkit as software-development guidance; clearly describe the technical learning that does exist for technical roles.</w:t>
      </w:r>
    </w:p>
    <w:p>
      <w:pPr>
        <w:pStyle w:val="ListBullet"/>
      </w:pPr>
      <w:r>
        <w:t>Do not collect or invite PHI, PII, confidential agency information, credentials, procurement-sensitive information, or security details.</w:t>
      </w:r>
    </w:p>
    <w:p>
      <w:pPr>
        <w:pStyle w:val="ListBullet"/>
      </w:pPr>
      <w:r>
        <w:t>Use accessible language, meaningful link text, captions/transcripts, mobile-safe layouts, sufficient contrast, and downloadable alternatives.</w:t>
      </w:r>
    </w:p>
    <w:p>
      <w:pPr>
        <w:pStyle w:val="ListBullet"/>
      </w:pPr>
      <w:r>
        <w:t>Use role names precisely. Name the person or function that is responsible, accountable, consulted, supporting, or informed; avoid vague references to an entire 'equity' or 'governance' department.</w:t>
      </w:r>
    </w:p>
    <w:p>
      <w:pPr>
        <w:pStyle w:val="ListBullet"/>
      </w:pPr>
      <w:r>
        <w:t>Do not solicit donated tools or intellectual property. Invite corrections, evidence suggestions, usability feedback, and structured prerelease review.</w:t>
      </w:r>
    </w:p>
    <w:p>
      <w:pPr>
        <w:pStyle w:val="ListBullet"/>
      </w:pPr>
      <w:r>
        <w:t>Separate educational communications, transactional account messages, reviewer invitations, and marketing consent.</w:t>
      </w:r>
    </w:p>
    <w:p>
      <w:pPr>
        <w:pStyle w:val="Heading1"/>
      </w:pPr>
      <w:r>
        <w:t>11. First 30-day action checklist</w:t>
      </w:r>
    </w:p>
    <w:p>
      <w:pPr>
        <w:pStyle w:val="ListBullet"/>
      </w:pPr>
      <w:r>
        <w:t>Approve core positioning, Foundation boundaries, product name, and account-value statement.</w:t>
      </w:r>
    </w:p>
    <w:p>
      <w:pPr>
        <w:pStyle w:val="ListBullet"/>
      </w:pPr>
      <w:r>
        <w:t>Create role-tagged landing URLs or campaign parameters for all 13 personas.</w:t>
      </w:r>
    </w:p>
    <w:p>
      <w:pPr>
        <w:pStyle w:val="ListBullet"/>
      </w:pPr>
      <w:r>
        <w:t>Prepare six anchor demonstrations: executive/readiness, governance, program/use case, communications, procurement/vendor, and learning pathways.</w:t>
      </w:r>
    </w:p>
    <w:p>
      <w:pPr>
        <w:pStyle w:val="ListBullet"/>
      </w:pPr>
      <w:r>
        <w:t>Build the welcome and role-follow-up email sequence with consent and suppression rules.</w:t>
      </w:r>
    </w:p>
    <w:p>
      <w:pPr>
        <w:pStyle w:val="ListBullet"/>
      </w:pPr>
      <w:r>
        <w:t>Create a partner outreach list covering national associations, state/regional networks, training centers, academic partners, and trusted communities of practice.</w:t>
      </w:r>
    </w:p>
    <w:p>
      <w:pPr>
        <w:pStyle w:val="ListBullet"/>
      </w:pPr>
      <w:r>
        <w:t>Recruit and onboard a balanced reviewer cohort across agency size, jurisdiction, function, and experience.</w:t>
      </w:r>
    </w:p>
    <w:p>
      <w:pPr>
        <w:pStyle w:val="ListBullet"/>
      </w:pPr>
      <w:r>
        <w:t>Configure privacy-minimizing analytics for the north-star action and funnel events.</w:t>
      </w:r>
    </w:p>
    <w:p>
      <w:pPr>
        <w:pStyle w:val="ListBullet"/>
      </w:pPr>
      <w:r>
        <w:t>Establish a weekly launch review covering reach, activation, support burden, corrections, role gaps, and content changes.</w:t>
      </w:r>
    </w:p>
    <w:p>
      <w:pPr>
        <w:pStyle w:val="Heading1"/>
      </w:pPr>
      <w:r>
        <w:t>12. Source foundation</w:t>
      </w:r>
    </w:p>
    <w:p>
      <w:pPr>
        <w:pStyle w:val="ListBullet"/>
      </w:pPr>
      <w:r>
        <w:t>AI Playbook Knowledge Platform User Personas (docs/architecture/user-personas.md)</w:t>
      </w:r>
    </w:p>
    <w:p>
      <w:pPr>
        <w:pStyle w:val="ListBullet"/>
      </w:pPr>
      <w:r>
        <w:t>Foundation Edition home page, account, learning, reviewer, consulting, privacy, plays, tools, and resources content</w:t>
      </w:r>
    </w:p>
    <w:p>
      <w:pPr>
        <w:pStyle w:val="ListBullet"/>
      </w:pPr>
      <w:r>
        <w:t>Foundation Edition Production Launch Plan</w:t>
      </w:r>
    </w:p>
    <w:p>
      <w:pPr>
        <w:pStyle w:val="ListBullet"/>
      </w:pPr>
      <w:r>
        <w:t>Foundation Edition User Persona Storyboards</w:t>
      </w:r>
    </w:p>
    <w:p>
      <w:pPr>
        <w:pStyle w:val="ListBullet"/>
      </w:pPr>
      <w:r>
        <w:t>Foundation Edition Launch Budget</w:t>
      </w:r>
    </w:p>
    <w:p>
      <w:r>
        <w:t>This plan should be updated after each launch research cycle using observed role selection, task completion, interview findings, reviewer feedback, and partner performance. Personas remain hypotheses to validate rather than fixed stereotypes.</w:t>
      </w:r>
    </w:p>
    <w:sectPr w:rsidR="00FC693F" w:rsidRPr="0006063C" w:rsidSect="00034616">
      <w:headerReference w:type="default" r:id="rId9"/>
      <w:footerReference w:type="default" r:id="rId10"/>
      <w:pgSz w:w="12240" w:h="15840"/>
      <w:pgMar w:top="1224" w:right="1440" w:bottom="1152"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873"/>
        <w:sz w:val="16"/>
      </w:rPr>
      <w:t xml:space="preserve">Public Health AI Strategy and Implementation Playbook  |  </w:t>
    </w:r>
    <w:r>
      <w:rPr>
        <w:rFonts w:ascii="Calibri" w:hAnsi="Calibri"/>
        <w:color w:val="5B6873"/>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B6873"/>
        <w:sz w:val="17"/>
      </w:rPr>
      <w:t>FOUNDATION EDITION  |  OUTREACH AND COMMUNICATIONS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B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68B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68B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Foundation Edition Outreach and Communications Plan</dc:title>
  <dc:subject>Role-stratified launch communications and outreach plan</dc:subject>
  <dc:creator>PHI Solutions</dc:creator>
  <cp:keywords>public health AI, Foundation Edition, outreach, communications, personas, launch</cp:keywords>
  <dc:description>generated by python-docx</dc:description>
  <cp:lastModifiedBy/>
  <cp:revision>1</cp:revision>
  <dcterms:created xsi:type="dcterms:W3CDTF">2013-12-23T23:15:00Z</dcterms:created>
  <dcterms:modified xsi:type="dcterms:W3CDTF">2013-12-23T23:15:00Z</dcterms:modified>
  <cp:category/>
</cp:coreProperties>
</file>