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0068B7"/>
          <w:sz w:val="20"/>
        </w:rPr>
        <w:t>COMMERCIAL OPERATIONS GUIDE</w:t>
      </w:r>
    </w:p>
    <w:p>
      <w:pPr>
        <w:spacing w:after="40"/>
      </w:pPr>
      <w:r>
        <w:rPr>
          <w:rFonts w:ascii="Calibri" w:hAnsi="Calibri"/>
          <w:b/>
          <w:color w:val="073763"/>
          <w:sz w:val="60"/>
        </w:rPr>
        <w:t>Essentials Edition</w:t>
      </w:r>
    </w:p>
    <w:p>
      <w:pPr>
        <w:spacing w:after="140"/>
      </w:pPr>
      <w:r>
        <w:rPr>
          <w:rFonts w:ascii="Calibri" w:hAnsi="Calibri"/>
          <w:b/>
          <w:color w:val="073763"/>
          <w:sz w:val="34"/>
        </w:rPr>
        <w:t>Government Purchasing and Payment Options</w:t>
      </w:r>
    </w:p>
    <w:p>
      <w:pPr>
        <w:spacing w:after="320"/>
      </w:pPr>
      <w:r>
        <w:rPr>
          <w:rFonts w:ascii="Calibri" w:hAnsi="Calibri"/>
          <w:color w:val="5B6873"/>
          <w:sz w:val="25"/>
        </w:rPr>
        <w:t>A flexible purchasing model for state, local, territorial, Tribal, and other governmental public health organizations.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Primary use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Product, finance, procurement, contracting, and website planning</w:t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Operating principle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Offer online self-service and government quote/invoice paths in parallel</w:t>
            </w:r>
          </w:p>
        </w:tc>
      </w:tr>
    </w:tbl>
    <w:p/>
    <w:p>
      <w:pPr>
        <w:pStyle w:val="Heading1"/>
      </w:pPr>
      <w:r>
        <w:t>Executive recommendation</w:t>
      </w:r>
    </w:p>
    <w:p>
      <w:r>
        <w:t>Do not require every government customer to complete a standard online subscription checkout. Maintain two visible purchasing paths: a self-service online path for authorized card or ACH purchases, and a government purchasing path for quotes, purchase orders, invoices, vendor registration, grant or sponsor funding, and negotiated organization or enterprise agreements.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DF6EE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073763"/>
                <w:sz w:val="18"/>
              </w:rPr>
              <w:t xml:space="preserve">Recommended launch approach  </w:t>
            </w:r>
            <w:r>
              <w:rPr>
                <w:rFonts w:ascii="Calibri" w:hAnsi="Calibri"/>
                <w:sz w:val="18"/>
              </w:rPr>
              <w:t>Essentials accounts may remain free at launch while the commercial infrastructure is prepared. When paid access begins, support annual invoicing and purchase orders from the outset; add card checkout as a convenience, not as the exclusive route.</w:t>
            </w:r>
          </w:p>
        </w:tc>
      </w:tr>
    </w:tbl>
    <w:p>
      <w:pPr>
        <w:spacing w:after="0"/>
      </w:pPr>
    </w:p>
    <w:p>
      <w:pPr>
        <w:pStyle w:val="Heading1"/>
      </w:pPr>
      <w:r>
        <w:t>1. Purchasing routes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100"/>
        <w:gridCol w:w="3960"/>
      </w:tblGrid>
      <w:tr>
        <w:trPr>
          <w:tblHeader w:val="true"/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shd w:fill="073763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Route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shd w:fill="073763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Best fit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shd w:fill="073763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Required capability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Free individual membership</w:t>
            </w:r>
          </w:p>
        </w:tc>
        <w:tc>
          <w:tcPr>
            <w:tcW w:type="dxa" w:w="31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Essentials access that is intentionally free</w:t>
            </w:r>
          </w:p>
        </w:tc>
        <w:tc>
          <w:tcPr>
            <w:tcW w:type="dxa" w:w="396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Verified account, acceptance of terms, no payment data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Credit or purchasing card</w:t>
            </w:r>
          </w:p>
        </w:tc>
        <w:tc>
          <w:tcPr>
            <w:tcW w:type="dxa" w:w="31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Low-dollar purchases within delegated authority</w:t>
            </w:r>
          </w:p>
        </w:tc>
        <w:tc>
          <w:tcPr>
            <w:tcW w:type="dxa" w:w="396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Secure checkout, receipts, tax-exempt handling, refund and renewal controls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ACH / electronic funds transfer</w:t>
            </w:r>
          </w:p>
        </w:tc>
        <w:tc>
          <w:tcPr>
            <w:tcW w:type="dxa" w:w="31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Agencies that prefer bank payment</w:t>
            </w:r>
          </w:p>
        </w:tc>
        <w:tc>
          <w:tcPr>
            <w:tcW w:type="dxa" w:w="396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Invoice or checkout instructions, reconciliation, bank controls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Purchase order and invoice</w:t>
            </w:r>
          </w:p>
        </w:tc>
        <w:tc>
          <w:tcPr>
            <w:tcW w:type="dxa" w:w="31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Departments with formal procurement processes</w:t>
            </w:r>
          </w:p>
        </w:tc>
        <w:tc>
          <w:tcPr>
            <w:tcW w:type="dxa" w:w="396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Quote, PO intake, invoice, Net terms, account provisioning after authorization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Check payment</w:t>
            </w:r>
          </w:p>
        </w:tc>
        <w:tc>
          <w:tcPr>
            <w:tcW w:type="dxa" w:w="31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Jurisdictions retaining check-based payment</w:t>
            </w:r>
          </w:p>
        </w:tc>
        <w:tc>
          <w:tcPr>
            <w:tcW w:type="dxa" w:w="396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Remittance instructions, deposit and reconciliation process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Annual or multi-year contract</w:t>
            </w:r>
          </w:p>
        </w:tc>
        <w:tc>
          <w:tcPr>
            <w:tcW w:type="dxa" w:w="31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Organization, enterprise, or multi-jurisdiction access</w:t>
            </w:r>
          </w:p>
        </w:tc>
        <w:tc>
          <w:tcPr>
            <w:tcW w:type="dxa" w:w="396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Order form or contract, defined users/term, renewal and termination language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Grant-funded purchase</w:t>
            </w:r>
          </w:p>
        </w:tc>
        <w:tc>
          <w:tcPr>
            <w:tcW w:type="dxa" w:w="31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Time-limited or restricted funding</w:t>
            </w:r>
          </w:p>
        </w:tc>
        <w:tc>
          <w:tcPr>
            <w:tcW w:type="dxa" w:w="396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Allowable-cost description, period of performance, invoicing and reporting support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Sponsored access</w:t>
            </w:r>
          </w:p>
        </w:tc>
        <w:tc>
          <w:tcPr>
            <w:tcW w:type="dxa" w:w="31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Association, state, foundation, or federal sponsor</w:t>
            </w:r>
          </w:p>
        </w:tc>
        <w:tc>
          <w:tcPr>
            <w:tcW w:type="dxa" w:w="396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Cohort or jurisdiction entitlement, sponsor reporting, privacy boundaries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Consulting engagement</w:t>
            </w:r>
          </w:p>
        </w:tc>
        <w:tc>
          <w:tcPr>
            <w:tcW w:type="dxa" w:w="31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Facilitated readiness, governance, training, or implementation</w:t>
            </w:r>
          </w:p>
        </w:tc>
        <w:tc>
          <w:tcPr>
            <w:tcW w:type="dxa" w:w="396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Statement of work; platform access included or separately itemized</w:t>
            </w:r>
          </w:p>
        </w:tc>
      </w:tr>
    </w:tbl>
    <w:p>
      <w:pPr>
        <w:pStyle w:val="Heading1"/>
      </w:pPr>
      <w:r>
        <w:t>2. Purchasing approach by product level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000"/>
        <w:gridCol w:w="4060"/>
      </w:tblGrid>
      <w:tr>
        <w:trPr>
          <w:tblHeader w:val="true"/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shd w:fill="073763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Product level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shd w:fill="073763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Preferred methods</w:t>
            </w:r>
          </w:p>
        </w:tc>
        <w:tc>
          <w:tcPr>
            <w:tcW w:type="dxa" w:w="4060"/>
            <w:tcMar>
              <w:top w:w="90" w:type="dxa"/>
              <w:start w:w="120" w:type="dxa"/>
              <w:bottom w:w="90" w:type="dxa"/>
              <w:end w:w="120" w:type="dxa"/>
            </w:tcMar>
            <w:shd w:fill="073763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Commercial treatment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Essentials individual</w:t>
            </w:r>
          </w:p>
        </w:tc>
        <w:tc>
          <w:tcPr>
            <w:tcW w:type="dxa" w:w="30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Free membership; card if a paid individual option is introduced</w:t>
            </w:r>
          </w:p>
        </w:tc>
        <w:tc>
          <w:tcPr>
            <w:tcW w:type="dxa" w:w="406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Immediate activation; simple terms; downloadable receipt; no organization administration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Small department or team</w:t>
            </w:r>
          </w:p>
        </w:tc>
        <w:tc>
          <w:tcPr>
            <w:tcW w:type="dxa" w:w="30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Card, PO, ACH, check, or annual invoice</w:t>
            </w:r>
          </w:p>
        </w:tc>
        <w:tc>
          <w:tcPr>
            <w:tcW w:type="dxa" w:w="406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Named organization; defined seat band; annual term; standard support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Organization Edition</w:t>
            </w:r>
          </w:p>
        </w:tc>
        <w:tc>
          <w:tcPr>
            <w:tcW w:type="dxa" w:w="30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Government quote, PO, contract, ACH/check, annual invoice</w:t>
            </w:r>
          </w:p>
        </w:tc>
        <w:tc>
          <w:tcPr>
            <w:tcW w:type="dxa" w:w="406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Multi-user workspace, administrators, implementation and support terms, data and security documentation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Enterprise or multi-jurisdiction</w:t>
            </w:r>
          </w:p>
        </w:tc>
        <w:tc>
          <w:tcPr>
            <w:tcW w:type="dxa" w:w="30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Negotiated contract; milestone or annual invoicing</w:t>
            </w:r>
          </w:p>
        </w:tc>
        <w:tc>
          <w:tcPr>
            <w:tcW w:type="dxa" w:w="406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Custom entitlement, SSO/integration where offered, governance, reporting, onboarding, service commitments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Consulting and training</w:t>
            </w:r>
          </w:p>
        </w:tc>
        <w:tc>
          <w:tcPr>
            <w:tcW w:type="dxa" w:w="30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Statement of work; PO; milestone, fixed-fee, or time-and-materials invoice</w:t>
            </w:r>
          </w:p>
        </w:tc>
        <w:tc>
          <w:tcPr>
            <w:tcW w:type="dxa" w:w="406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Scope, deliverables, schedule, responsibilities, acceptance, travel and platform access</w:t>
            </w:r>
          </w:p>
        </w:tc>
      </w:tr>
    </w:tbl>
    <w:p>
      <w:pPr>
        <w:pStyle w:val="Heading1"/>
      </w:pPr>
      <w:r>
        <w:t>3. Government purchasing package</w:t>
      </w:r>
    </w:p>
    <w:p>
      <w:r>
        <w:t>Maintain a reusable procurement package so agencies do not have to request foundational documents one at a time.</w:t>
      </w:r>
    </w:p>
    <w:p>
      <w:pPr>
        <w:pStyle w:val="ListBullet"/>
      </w:pPr>
      <w:r>
        <w:t>W-9, legal entity name, tax identification and remittance information.</w:t>
      </w:r>
    </w:p>
    <w:p>
      <w:pPr>
        <w:pStyle w:val="ListBullet"/>
      </w:pPr>
      <w:r>
        <w:t>Vendor-registration information and points of contact for procurement, billing, security and support.</w:t>
      </w:r>
    </w:p>
    <w:p>
      <w:pPr>
        <w:pStyle w:val="ListBullet"/>
      </w:pPr>
      <w:r>
        <w:t>Standard quotation, order form and invoice templates with unique identifiers and validity dates.</w:t>
      </w:r>
    </w:p>
    <w:p>
      <w:pPr>
        <w:pStyle w:val="ListBullet"/>
      </w:pPr>
      <w:r>
        <w:t>Product descriptions, edition comparison, seat or organization definitions and pricing schedule.</w:t>
      </w:r>
    </w:p>
    <w:p>
      <w:pPr>
        <w:pStyle w:val="ListBullet"/>
      </w:pPr>
      <w:r>
        <w:t>Accessibility documentation and roadmap, including a VPAT when the product is sufficiently stable for formal evaluation.</w:t>
      </w:r>
    </w:p>
    <w:p>
      <w:pPr>
        <w:pStyle w:val="ListBullet"/>
      </w:pPr>
      <w:r>
        <w:t>Privacy, security, hosting, subprocesser, data-retention, backup, incident-response and account-deletion documentation.</w:t>
      </w:r>
    </w:p>
    <w:p>
      <w:pPr>
        <w:pStyle w:val="ListBullet"/>
      </w:pPr>
      <w:r>
        <w:t>Terms of service, acceptable-use terms, data-processing terms and any customer agreement templates.</w:t>
      </w:r>
    </w:p>
    <w:p>
      <w:pPr>
        <w:pStyle w:val="ListBullet"/>
      </w:pPr>
      <w:r>
        <w:t>Insurance certificates when required and appropriate for the contract value and services.</w:t>
      </w:r>
    </w:p>
    <w:p>
      <w:pPr>
        <w:pStyle w:val="ListBullet"/>
      </w:pPr>
      <w:r>
        <w:t>Implementation, onboarding, support, service-boundary and escalation descriptions.</w:t>
      </w:r>
    </w:p>
    <w:p>
      <w:pPr>
        <w:pStyle w:val="ListBullet"/>
      </w:pPr>
      <w:r>
        <w:t>Renewal, price-change, cancellation, termination, data-export and data-deletion terms.</w:t>
      </w:r>
    </w:p>
    <w:p>
      <w:pPr>
        <w:pStyle w:val="ListBullet"/>
      </w:pPr>
      <w:r>
        <w:t>Sole-source or limited-source justification language only when factually supportable; never promise that a jurisdiction will accept it.</w:t>
      </w:r>
    </w:p>
    <w:p>
      <w:pPr>
        <w:pStyle w:val="Heading1"/>
      </w:pPr>
      <w:r>
        <w:t>4. Quote and invoice standards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700"/>
        <w:gridCol w:w="2860"/>
      </w:tblGrid>
      <w:tr>
        <w:trPr>
          <w:tblHeader w:val="true"/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shd w:fill="073763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shd w:fill="073763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Minimum contents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shd w:fill="073763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Control</w:t>
            </w:r>
          </w:p>
        </w:tc>
      </w:tr>
      <w:tr>
        <w:trPr>
          <w:cantSplit/>
        </w:trPr>
        <w:tc>
          <w:tcPr>
            <w:tcW w:type="dxa" w:w="18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Quote</w:t>
            </w:r>
          </w:p>
        </w:tc>
        <w:tc>
          <w:tcPr>
            <w:tcW w:type="dxa" w:w="47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Customer legal name; product/edition; users or organization scope; term; price; taxes; implementation; support; validity date</w:t>
            </w:r>
          </w:p>
        </w:tc>
        <w:tc>
          <w:tcPr>
            <w:tcW w:type="dxa" w:w="286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Unique quote number; 60-90 day validity unless otherwise approved</w:t>
            </w:r>
          </w:p>
        </w:tc>
      </w:tr>
      <w:tr>
        <w:trPr>
          <w:cantSplit/>
        </w:trPr>
        <w:tc>
          <w:tcPr>
            <w:tcW w:type="dxa" w:w="18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Order form</w:t>
            </w:r>
          </w:p>
        </w:tc>
        <w:tc>
          <w:tcPr>
            <w:tcW w:type="dxa" w:w="47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Contract reference; subscription dates; entitlements; authorized contacts; billing schedule; special terms</w:t>
            </w:r>
          </w:p>
        </w:tc>
        <w:tc>
          <w:tcPr>
            <w:tcW w:type="dxa" w:w="286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Signed or PO-backed authorization before provisioning paid access</w:t>
            </w:r>
          </w:p>
        </w:tc>
      </w:tr>
      <w:tr>
        <w:trPr>
          <w:cantSplit/>
        </w:trPr>
        <w:tc>
          <w:tcPr>
            <w:tcW w:type="dxa" w:w="18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Invoice</w:t>
            </w:r>
          </w:p>
        </w:tc>
        <w:tc>
          <w:tcPr>
            <w:tcW w:type="dxa" w:w="47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PO number; bill-to/remit-to; service period; line items; payment terms; ACH/check instructions</w:t>
            </w:r>
          </w:p>
        </w:tc>
        <w:tc>
          <w:tcPr>
            <w:tcW w:type="dxa" w:w="286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Reconcile to quote/order form; prohibit unapproved scope changes</w:t>
            </w:r>
          </w:p>
        </w:tc>
      </w:tr>
      <w:tr>
        <w:trPr>
          <w:cantSplit/>
        </w:trPr>
        <w:tc>
          <w:tcPr>
            <w:tcW w:type="dxa" w:w="18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Statement of work</w:t>
            </w:r>
          </w:p>
        </w:tc>
        <w:tc>
          <w:tcPr>
            <w:tcW w:type="dxa" w:w="47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Objectives; scope; deliverables; responsibilities; schedule; acceptance; fees; expenses; change process</w:t>
            </w:r>
          </w:p>
        </w:tc>
        <w:tc>
          <w:tcPr>
            <w:tcW w:type="dxa" w:w="286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Required for consulting, customization, onboarding or substantial training</w:t>
            </w:r>
          </w:p>
        </w:tc>
      </w:tr>
      <w:tr>
        <w:trPr>
          <w:cantSplit/>
        </w:trPr>
        <w:tc>
          <w:tcPr>
            <w:tcW w:type="dxa" w:w="18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Renewal notice</w:t>
            </w:r>
          </w:p>
        </w:tc>
        <w:tc>
          <w:tcPr>
            <w:tcW w:type="dxa" w:w="47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Current services; next term; price; changes; response date; cancellation/export options</w:t>
            </w:r>
          </w:p>
        </w:tc>
        <w:tc>
          <w:tcPr>
            <w:tcW w:type="dxa" w:w="286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Send early enough for government fiscal and procurement cycles</w:t>
            </w:r>
          </w:p>
        </w:tc>
      </w:tr>
    </w:tbl>
    <w:p>
      <w:pPr>
        <w:pStyle w:val="Heading1"/>
      </w:pPr>
      <w:r>
        <w:t>5. Payment and contract terms</w:t>
      </w:r>
    </w:p>
    <w:p>
      <w:pPr>
        <w:pStyle w:val="ListBullet"/>
      </w:pPr>
      <w:r>
        <w:t>Offer annual billing as the default government option; monthly billing may remain available for card customers.</w:t>
      </w:r>
    </w:p>
    <w:p>
      <w:pPr>
        <w:pStyle w:val="ListBullet"/>
      </w:pPr>
      <w:r>
        <w:t>Support Net 30 and be prepared to approve Net 45 or Net 60 when agency requirements and cash flow permit.</w:t>
      </w:r>
    </w:p>
    <w:p>
      <w:pPr>
        <w:pStyle w:val="ListBullet"/>
      </w:pPr>
      <w:r>
        <w:t>Display taxes separately and capture tax-exempt documentation where applicable; do not assume all government-related entities are exempt.</w:t>
      </w:r>
    </w:p>
    <w:p>
      <w:pPr>
        <w:pStyle w:val="ListBullet"/>
      </w:pPr>
      <w:r>
        <w:t>Set clear service-start rules for PO-backed purchases so access is not delayed unnecessarily while preserving authorization controls.</w:t>
      </w:r>
    </w:p>
    <w:p>
      <w:pPr>
        <w:pStyle w:val="ListBullet"/>
      </w:pPr>
      <w:r>
        <w:t>Avoid automatic renewal as the only option. Support renewal notices and affirmative purchase orders where required.</w:t>
      </w:r>
    </w:p>
    <w:p>
      <w:pPr>
        <w:pStyle w:val="ListBullet"/>
      </w:pPr>
      <w:r>
        <w:t>Use stable pricing during the quoted validity period and disclose usage-based or overage charges before purchase.</w:t>
      </w:r>
    </w:p>
    <w:p>
      <w:pPr>
        <w:pStyle w:val="ListBullet"/>
      </w:pPr>
      <w:r>
        <w:t>Define refund, cancellation, termination for convenience, non-appropriation and data-return positions for review by counsel.</w:t>
      </w:r>
    </w:p>
    <w:p>
      <w:pPr>
        <w:pStyle w:val="ListBullet"/>
      </w:pPr>
      <w:r>
        <w:t>Do not accept agency-specific legal terms without documented business, privacy, security and financial review.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FF4D6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073763"/>
                <w:sz w:val="18"/>
              </w:rPr>
              <w:t xml:space="preserve">Legal review required  </w:t>
            </w:r>
            <w:r>
              <w:rPr>
                <w:rFonts w:ascii="Calibri" w:hAnsi="Calibri"/>
                <w:sz w:val="18"/>
              </w:rPr>
              <w:t>Contract language, tax treatment, non-appropriation clauses, public-records obligations, indemnification, liability, governing law, data terms and accessibility requirements vary by jurisdiction. This guide is an operating framework, not legal advice.</w:t>
            </w:r>
          </w:p>
        </w:tc>
      </w:tr>
    </w:tbl>
    <w:p>
      <w:pPr>
        <w:spacing w:after="0"/>
      </w:pPr>
    </w:p>
    <w:p>
      <w:pPr>
        <w:pStyle w:val="Heading1"/>
      </w:pPr>
      <w:r>
        <w:t>6. Website and account requirements</w:t>
      </w:r>
    </w:p>
    <w:p>
      <w:r>
        <w:t>The pricing and account experience should make purchasing flexibility obvious without overwhelming individual users.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4400"/>
        <w:gridCol w:w="2760"/>
      </w:tblGrid>
      <w:tr>
        <w:trPr>
          <w:tblHeader w:val="true"/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shd w:fill="073763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Website element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  <w:shd w:fill="073763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Required behavior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shd w:fill="073763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Essentials treatment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Primary purchase actions</w:t>
            </w:r>
          </w:p>
        </w:tc>
        <w:tc>
          <w:tcPr>
            <w:tcW w:type="dxa" w:w="44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Show both 'Purchase online' and 'Request a government quote.'</w:t>
            </w:r>
          </w:p>
        </w:tc>
        <w:tc>
          <w:tcPr>
            <w:tcW w:type="dxa" w:w="276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If Essentials is free, use 'Create free account' plus 'Government or organization options.'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Government quote form</w:t>
            </w:r>
          </w:p>
        </w:tc>
        <w:tc>
          <w:tcPr>
            <w:tcW w:type="dxa" w:w="44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Collect organization, jurisdiction, contact, edition interest, user range, purchasing method, fiscal timing and accessibility/security needs.</w:t>
            </w:r>
          </w:p>
        </w:tc>
        <w:tc>
          <w:tcPr>
            <w:tcW w:type="dxa" w:w="276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Do not request PHI, confidential agency information, procurement-sensitive details or credentials.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Checkout</w:t>
            </w:r>
          </w:p>
        </w:tc>
        <w:tc>
          <w:tcPr>
            <w:tcW w:type="dxa" w:w="44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Support card and, when ready, ACH; provide receipt, tax handling, terms and renewal disclosure.</w:t>
            </w:r>
          </w:p>
        </w:tc>
        <w:tc>
          <w:tcPr>
            <w:tcW w:type="dxa" w:w="276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Do not force checkout for free membership.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Account provisioning</w:t>
            </w:r>
          </w:p>
        </w:tc>
        <w:tc>
          <w:tcPr>
            <w:tcW w:type="dxa" w:w="44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Map payment or authorized PO/order to entitlements and term.</w:t>
            </w:r>
          </w:p>
        </w:tc>
        <w:tc>
          <w:tcPr>
            <w:tcW w:type="dxa" w:w="276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Keep individual and organization permissions distinct.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Invoice operations</w:t>
            </w:r>
          </w:p>
        </w:tc>
        <w:tc>
          <w:tcPr>
            <w:tcW w:type="dxa" w:w="44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Track quote, PO, invoice, payment, provisioning, renewal and suspension status.</w:t>
            </w:r>
          </w:p>
        </w:tc>
        <w:tc>
          <w:tcPr>
            <w:tcW w:type="dxa" w:w="276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Use a finance/CRM system rather than browser storage.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Edition comparison</w:t>
            </w:r>
          </w:p>
        </w:tc>
        <w:tc>
          <w:tcPr>
            <w:tcW w:type="dxa" w:w="44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Explain Essentials, Organization and Enterprise capabilities without describing completed unreleased material as unfinished.</w:t>
            </w:r>
          </w:p>
        </w:tc>
        <w:tc>
          <w:tcPr>
            <w:tcW w:type="dxa" w:w="276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Make the path to consulting and future-edition inquiries visible.</w:t>
            </w:r>
          </w:p>
        </w:tc>
      </w:tr>
    </w:tbl>
    <w:p>
      <w:pPr>
        <w:pStyle w:val="Heading1"/>
      </w:pPr>
      <w:r>
        <w:t>7. Quote request information</w:t>
      </w:r>
    </w:p>
    <w:p>
      <w:pPr>
        <w:pStyle w:val="ListBullet"/>
      </w:pPr>
      <w:r>
        <w:t>Organization and jurisdiction type.</w:t>
      </w:r>
    </w:p>
    <w:p>
      <w:pPr>
        <w:pStyle w:val="ListBullet"/>
      </w:pPr>
      <w:r>
        <w:t>Purchasing contact, program contact and billing contact.</w:t>
      </w:r>
    </w:p>
    <w:p>
      <w:pPr>
        <w:pStyle w:val="ListBullet"/>
      </w:pPr>
      <w:r>
        <w:t>Requested edition or help selecting an edition.</w:t>
      </w:r>
    </w:p>
    <w:p>
      <w:pPr>
        <w:pStyle w:val="ListBullet"/>
      </w:pPr>
      <w:r>
        <w:t>Estimated number of users, departments or jurisdictions.</w:t>
      </w:r>
    </w:p>
    <w:p>
      <w:pPr>
        <w:pStyle w:val="ListBullet"/>
      </w:pPr>
      <w:r>
        <w:t>Desired start date, fiscal-year deadline and grant period if relevant.</w:t>
      </w:r>
    </w:p>
    <w:p>
      <w:pPr>
        <w:pStyle w:val="ListBullet"/>
      </w:pPr>
      <w:r>
        <w:t>Preferred method: card, PO/invoice, ACH, check, contract, grant or sponsor.</w:t>
      </w:r>
    </w:p>
    <w:p>
      <w:pPr>
        <w:pStyle w:val="ListBullet"/>
      </w:pPr>
      <w:r>
        <w:t>Vendor-registration portal or required forms.</w:t>
      </w:r>
    </w:p>
    <w:p>
      <w:pPr>
        <w:pStyle w:val="ListBullet"/>
      </w:pPr>
      <w:r>
        <w:t>Accessibility, privacy, security, insurance or legal-review requirements.</w:t>
      </w:r>
    </w:p>
    <w:p>
      <w:pPr>
        <w:pStyle w:val="ListBullet"/>
      </w:pPr>
      <w:r>
        <w:t>Need for consulting, onboarding, training or facilitated implementation.</w:t>
      </w:r>
    </w:p>
    <w:p>
      <w:pPr>
        <w:pStyle w:val="Heading1"/>
      </w:pPr>
      <w:r>
        <w:t>8. Internal quote-to-renewal workflow</w:t>
      </w:r>
    </w:p>
    <w:p>
      <w:pPr>
        <w:pStyle w:val="ListNumber"/>
      </w:pPr>
      <w:r>
        <w:t>Qualify the request: confirm organization, authority, product fit, user scope, timing and purchasing route.</w:t>
      </w:r>
    </w:p>
    <w:p>
      <w:pPr>
        <w:pStyle w:val="ListNumber"/>
      </w:pPr>
      <w:r>
        <w:t>Prepare the quote: use approved pricing, validity period, assumptions and optional services.</w:t>
      </w:r>
    </w:p>
    <w:p>
      <w:pPr>
        <w:pStyle w:val="ListNumber"/>
      </w:pPr>
      <w:r>
        <w:t>Complete vendor onboarding: submit W-9, registration, accessibility, privacy, security and insurance materials as required.</w:t>
      </w:r>
    </w:p>
    <w:p>
      <w:pPr>
        <w:pStyle w:val="ListNumber"/>
      </w:pPr>
      <w:r>
        <w:t>Review terms: route nonstandard legal, security, privacy, accessibility, insurance and payment requirements to accountable reviewers.</w:t>
      </w:r>
    </w:p>
    <w:p>
      <w:pPr>
        <w:pStyle w:val="ListNumber"/>
      </w:pPr>
      <w:r>
        <w:t>Receive authorization: card payment, approved PO, signed order form, contract or approved statement of work.</w:t>
      </w:r>
    </w:p>
    <w:p>
      <w:pPr>
        <w:pStyle w:val="ListNumber"/>
      </w:pPr>
      <w:r>
        <w:t>Provision access: create entitlements, organization settings and named administrators according to the purchased edition.</w:t>
      </w:r>
    </w:p>
    <w:p>
      <w:pPr>
        <w:pStyle w:val="ListNumber"/>
      </w:pPr>
      <w:r>
        <w:t>Invoice and reconcile: match quote/order/PO/invoice/payment and resolve discrepancies.</w:t>
      </w:r>
    </w:p>
    <w:p>
      <w:pPr>
        <w:pStyle w:val="ListNumber"/>
      </w:pPr>
      <w:r>
        <w:t>Onboard and support: provide access instructions, boundaries, support routes and implementation services.</w:t>
      </w:r>
    </w:p>
    <w:p>
      <w:pPr>
        <w:pStyle w:val="ListNumber"/>
      </w:pPr>
      <w:r>
        <w:t>Renew or close: begin outreach early, confirm scope and funding, issue renewal documents, and support export/deletion when access ends.</w:t>
      </w:r>
    </w:p>
    <w:p>
      <w:pPr>
        <w:pStyle w:val="Heading1"/>
      </w:pPr>
      <w:r>
        <w:t>9. Systems and responsibilities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2400"/>
        <w:gridCol w:w="3960"/>
      </w:tblGrid>
      <w:tr>
        <w:trPr>
          <w:tblHeader w:val="true"/>
          <w:cantSplit/>
        </w:trP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shd w:fill="073763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shd w:fill="073763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Recommended owner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shd w:fill="073763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System need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Pricing and discount approval</w:t>
            </w:r>
          </w:p>
        </w:tc>
        <w:tc>
          <w:tcPr>
            <w:tcW w:type="dxa" w:w="24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Product/business owner</w:t>
            </w:r>
          </w:p>
        </w:tc>
        <w:tc>
          <w:tcPr>
            <w:tcW w:type="dxa" w:w="396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Versioned price book and approval thresholds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Quotes and opportunity tracking</w:t>
            </w:r>
          </w:p>
        </w:tc>
        <w:tc>
          <w:tcPr>
            <w:tcW w:type="dxa" w:w="24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Commercial operations</w:t>
            </w:r>
          </w:p>
        </w:tc>
        <w:tc>
          <w:tcPr>
            <w:tcW w:type="dxa" w:w="396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CRM or structured quote tracker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Contracts and vendor forms</w:t>
            </w:r>
          </w:p>
        </w:tc>
        <w:tc>
          <w:tcPr>
            <w:tcW w:type="dxa" w:w="24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Legal/operations</w:t>
            </w:r>
          </w:p>
        </w:tc>
        <w:tc>
          <w:tcPr>
            <w:tcW w:type="dxa" w:w="396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Contract repository and obligation tracking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Invoices, payments and reconciliation</w:t>
            </w:r>
          </w:p>
        </w:tc>
        <w:tc>
          <w:tcPr>
            <w:tcW w:type="dxa" w:w="24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Finance</w:t>
            </w:r>
          </w:p>
        </w:tc>
        <w:tc>
          <w:tcPr>
            <w:tcW w:type="dxa" w:w="396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Accounting platform; Stripe for eligible online payments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Entitlements and user access</w:t>
            </w:r>
          </w:p>
        </w:tc>
        <w:tc>
          <w:tcPr>
            <w:tcW w:type="dxa" w:w="24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Product/platform administration</w:t>
            </w:r>
          </w:p>
        </w:tc>
        <w:tc>
          <w:tcPr>
            <w:tcW w:type="dxa" w:w="396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Database-backed account and organization entitlement service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Privacy and security review</w:t>
            </w:r>
          </w:p>
        </w:tc>
        <w:tc>
          <w:tcPr>
            <w:tcW w:type="dxa" w:w="24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Privacy/security owners</w:t>
            </w:r>
          </w:p>
        </w:tc>
        <w:tc>
          <w:tcPr>
            <w:tcW w:type="dxa" w:w="396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Reusable security package and exception register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Accessibility review</w:t>
            </w:r>
          </w:p>
        </w:tc>
        <w:tc>
          <w:tcPr>
            <w:tcW w:type="dxa" w:w="24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Accessibility owner</w:t>
            </w:r>
          </w:p>
        </w:tc>
        <w:tc>
          <w:tcPr>
            <w:tcW w:type="dxa" w:w="396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Conformance documentation and remediation log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Renewals and customer support</w:t>
            </w:r>
          </w:p>
        </w:tc>
        <w:tc>
          <w:tcPr>
            <w:tcW w:type="dxa" w:w="24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Customer success/operations</w:t>
            </w:r>
          </w:p>
        </w:tc>
        <w:tc>
          <w:tcPr>
            <w:tcW w:type="dxa" w:w="396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Renewal calendar, support records and account health</w:t>
            </w:r>
          </w:p>
        </w:tc>
      </w:tr>
    </w:tbl>
    <w:p>
      <w:pPr>
        <w:pStyle w:val="Heading1"/>
      </w:pPr>
      <w:r>
        <w:t>10. Implementation priorities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4500"/>
        <w:gridCol w:w="3460"/>
      </w:tblGrid>
      <w:tr>
        <w:trPr>
          <w:tblHeader w:val="true"/>
          <w:cantSplit/>
        </w:trPr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shd w:fill="073763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500"/>
            <w:tcMar>
              <w:top w:w="90" w:type="dxa"/>
              <w:start w:w="120" w:type="dxa"/>
              <w:bottom w:w="90" w:type="dxa"/>
              <w:end w:w="120" w:type="dxa"/>
            </w:tcMar>
            <w:shd w:fill="073763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Before paid launch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shd w:fill="073763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Later maturity</w:t>
            </w:r>
          </w:p>
        </w:tc>
      </w:tr>
      <w:tr>
        <w:trPr>
          <w:cantSplit/>
        </w:trPr>
        <w:tc>
          <w:tcPr>
            <w:tcW w:type="dxa" w:w="14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Required</w:t>
            </w:r>
          </w:p>
        </w:tc>
        <w:tc>
          <w:tcPr>
            <w:tcW w:type="dxa" w:w="45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Free membership flow; government quote form; W-9; standard quote/invoice; PO and ACH/check instructions; annual terms; pricing approval; account entitlements; privacy/security/accessibility summary</w:t>
            </w:r>
          </w:p>
        </w:tc>
        <w:tc>
          <w:tcPr>
            <w:tcW w:type="dxa" w:w="346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Near-term</w:t>
            </w:r>
          </w:p>
        </w:tc>
        <w:tc>
          <w:tcPr>
            <w:tcW w:type="dxa" w:w="45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Card checkout; tax-exempt workflow; CRM/quote tracking; accounting integration; renewal calendar; standard order form and SOW</w:t>
            </w:r>
          </w:p>
        </w:tc>
        <w:tc>
          <w:tcPr>
            <w:tcW w:type="dxa" w:w="346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Automated quote generation and entitlement provisioning</w:t>
            </w:r>
          </w:p>
        </w:tc>
      </w:tr>
      <w:tr>
        <w:trPr>
          <w:cantSplit/>
        </w:trPr>
        <w:tc>
          <w:tcPr>
            <w:tcW w:type="dxa" w:w="14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Growth</w:t>
            </w:r>
          </w:p>
        </w:tc>
        <w:tc>
          <w:tcPr>
            <w:tcW w:type="dxa" w:w="450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Organization contracts; sponsored cohorts; grant billing; partner licensing; multi-year agreements</w:t>
            </w:r>
          </w:p>
        </w:tc>
        <w:tc>
          <w:tcPr>
            <w:tcW w:type="dxa" w:w="3460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sz w:val="18"/>
              </w:rPr>
              <w:t>SSO, usage-based tiers, procurement portals, contract analytics and enterprise service levels</w:t>
            </w:r>
          </w:p>
        </w:tc>
      </w:tr>
    </w:tbl>
    <w:p>
      <w:pPr>
        <w:pStyle w:val="Heading1"/>
      </w:pPr>
      <w:r>
        <w:t>11. Decisions to finalize</w:t>
      </w:r>
    </w:p>
    <w:p>
      <w:pPr>
        <w:pStyle w:val="ListBullet"/>
      </w:pPr>
      <w:r>
        <w:t>Whether Essentials remains free, becomes low-cost, or has both free and paid individual tiers.</w:t>
      </w:r>
    </w:p>
    <w:p>
      <w:pPr>
        <w:pStyle w:val="ListBullet"/>
      </w:pPr>
      <w:r>
        <w:t>Price structure for individuals, departments, organizations and enterprise/multi-jurisdiction agreements.</w:t>
      </w:r>
    </w:p>
    <w:p>
      <w:pPr>
        <w:pStyle w:val="ListBullet"/>
      </w:pPr>
      <w:r>
        <w:t>Which services are included with subscriptions versus separately scoped consulting.</w:t>
      </w:r>
    </w:p>
    <w:p>
      <w:pPr>
        <w:pStyle w:val="ListBullet"/>
      </w:pPr>
      <w:r>
        <w:t>Standard payment terms, discount authority, minimum contract value and multi-year pricing.</w:t>
      </w:r>
    </w:p>
    <w:p>
      <w:pPr>
        <w:pStyle w:val="ListBullet"/>
      </w:pPr>
      <w:r>
        <w:t>Accounting, CRM, electronic signature and contract-repository systems.</w:t>
      </w:r>
    </w:p>
    <w:p>
      <w:pPr>
        <w:pStyle w:val="ListBullet"/>
      </w:pPr>
      <w:r>
        <w:t>Insurance limits, legal templates, accessibility documentation and security-review package.</w:t>
      </w:r>
    </w:p>
    <w:p>
      <w:pPr>
        <w:pStyle w:val="ListBullet"/>
      </w:pPr>
      <w:r>
        <w:t>Provisioning rules for card payment, PO-backed purchases, grants and sponsored access.</w:t>
      </w:r>
    </w:p>
    <w:p>
      <w:pPr>
        <w:pStyle w:val="ListBullet"/>
      </w:pPr>
      <w:r>
        <w:t>Renewal notice timing, price-change notice, cancellation and data-export process.</w:t>
      </w:r>
    </w:p>
    <w:p>
      <w:pPr>
        <w:pStyle w:val="Heading1"/>
      </w:pPr>
      <w:r>
        <w:t>12. Recommended policy statement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DF6EE"/>
            <w:vAlign w:val="top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073763"/>
                <w:sz w:val="18"/>
              </w:rPr>
              <w:t xml:space="preserve">Customer-facing statement  </w:t>
            </w:r>
            <w:r>
              <w:rPr>
                <w:rFonts w:ascii="Calibri" w:hAnsi="Calibri"/>
                <w:sz w:val="18"/>
              </w:rPr>
              <w:t>Government and public-sector organizations may purchase eligible products and services by credit or purchasing card, purchase order and invoice, ACH, check, grant-funded agreement, sponsored access, or negotiated contract, subject to applicable terms and approval. Contact us for a government quote, vendor-registration materials, accessibility and security documentation, or help selecting the appropriate edition.</w:t>
            </w:r>
          </w:p>
        </w:tc>
      </w:tr>
    </w:tbl>
    <w:p>
      <w:pPr>
        <w:spacing w:after="0"/>
      </w:pPr>
    </w:p>
    <w:p>
      <w:pPr>
        <w:pStyle w:val="Heading1"/>
      </w:pPr>
      <w:r>
        <w:t>Related planning documents</w:t>
      </w:r>
    </w:p>
    <w:p>
      <w:pPr>
        <w:pStyle w:val="ListBullet"/>
      </w:pPr>
      <w:r>
        <w:t>Essentials Edition Production Launch Plan</w:t>
      </w:r>
    </w:p>
    <w:p>
      <w:pPr>
        <w:pStyle w:val="ListBullet"/>
      </w:pPr>
      <w:r>
        <w:t>Essentials Edition Launch Budget</w:t>
      </w:r>
    </w:p>
    <w:p>
      <w:pPr>
        <w:pStyle w:val="ListBullet"/>
      </w:pPr>
      <w:r>
        <w:t>Essentials Edition Outreach and Communications Plan</w:t>
      </w:r>
    </w:p>
    <w:p>
      <w:pPr>
        <w:pStyle w:val="ListBullet"/>
      </w:pPr>
      <w:r>
        <w:t>Essentials Edition User Persona Storyboards</w:t>
      </w:r>
    </w:p>
    <w:p>
      <w:pPr>
        <w:pStyle w:val="ListBullet"/>
      </w:pPr>
      <w:r>
        <w:t>AI Playbook Edition Crosswalk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440" w:bottom="1152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B6873"/>
        <w:sz w:val="16"/>
      </w:rPr>
      <w:t xml:space="preserve">Public Health AI Strategy and Implementation Playbook  |  Page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color w:val="5B6873"/>
        <w:sz w:val="17"/>
      </w:rPr>
      <w:t>ESSENTIALS EDITION  |  GOVERNMENT PURCHASING OPTIONS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72B3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068B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68B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Essentials Edition Government Purchasing and Payment Options</dc:title>
  <dc:subject>Government procurement, payment, contracting, and operational purchasing options</dc:subject>
  <dc:creator>PHI Solutions</dc:creator>
  <cp:keywords>government procurement, public health, Essentials Edition, purchase order, invoice, ACH, contracting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