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1C21" w14:textId="2E53448D" w:rsidR="009A2F70" w:rsidRDefault="009A2F70" w:rsidP="009A2F70">
      <w:pPr>
        <w:pStyle w:val="Title"/>
        <w:jc w:val="left"/>
      </w:pPr>
      <w:r>
        <w:t xml:space="preserve">Analysis of </w:t>
      </w:r>
      <w:r w:rsidR="00000000">
        <w:t xml:space="preserve">bulk RNA-seq deconvolution using </w:t>
      </w:r>
      <w:proofErr w:type="spellStart"/>
      <w:r w:rsidR="00000000">
        <w:t>BayesPrism</w:t>
      </w:r>
      <w:bookmarkStart w:id="0" w:name="load-the-data"/>
      <w:proofErr w:type="spellEnd"/>
    </w:p>
    <w:p w14:paraId="13B70796" w14:textId="696E69B7" w:rsidR="009A2F70" w:rsidRDefault="009A2F70">
      <w:pPr>
        <w:pStyle w:val="Heading2"/>
        <w:rPr>
          <w:lang w:eastAsia="zh-CN"/>
        </w:rPr>
      </w:pPr>
      <w:r>
        <w:rPr>
          <w:rFonts w:hint="eastAsia"/>
          <w:lang w:eastAsia="zh-CN"/>
        </w:rPr>
        <w:t>N</w:t>
      </w:r>
      <w:r>
        <w:rPr>
          <w:lang w:eastAsia="zh-CN"/>
        </w:rPr>
        <w:t xml:space="preserve">otation </w:t>
      </w:r>
      <w:r w:rsidRPr="009A2F70">
        <w:rPr>
          <w:lang w:eastAsia="zh-CN"/>
        </w:rPr>
        <w:t>and Formula</w:t>
      </w:r>
    </w:p>
    <w:p w14:paraId="4D0F96CA" w14:textId="77777777" w:rsidR="00E34B37" w:rsidRDefault="009A2F70" w:rsidP="00E34B37">
      <w:pPr>
        <w:pStyle w:val="NormalWeb"/>
        <w:spacing w:before="240" w:beforeAutospacing="0" w:after="0" w:afterAutospacing="0"/>
        <w:rPr>
          <w:rFonts w:ascii="Calibri" w:eastAsiaTheme="minorEastAsia" w:hAnsi="Calibri" w:cs="Calibri"/>
          <w:sz w:val="22"/>
          <w:szCs w:val="22"/>
          <w:lang w:eastAsia="en-US"/>
        </w:rPr>
      </w:pPr>
      <w:r w:rsidRPr="00E34B37">
        <w:rPr>
          <w:rFonts w:ascii="Calibri" w:eastAsiaTheme="minorEastAsia" w:hAnsi="Calibri" w:cs="Calibri"/>
          <w:sz w:val="22"/>
          <w:szCs w:val="22"/>
          <w:lang w:eastAsia="en-US"/>
        </w:rPr>
        <w:t xml:space="preserve">We denoted </w:t>
      </w:r>
      <m:oMath>
        <m:r>
          <w:rPr>
            <w:rFonts w:ascii="Cambria Math" w:eastAsiaTheme="minorEastAsia" w:hAnsi="Cambria Math" w:cs="Calibri"/>
            <w:sz w:val="22"/>
            <w:szCs w:val="22"/>
            <w:lang w:eastAsia="en-US"/>
          </w:rPr>
          <m:t>P</m:t>
        </m:r>
      </m:oMath>
      <w:r w:rsidRPr="00E34B37">
        <w:rPr>
          <w:rFonts w:ascii="Calibri" w:eastAsiaTheme="minorEastAsia" w:hAnsi="Calibri" w:cs="Calibri"/>
          <w:sz w:val="22"/>
          <w:szCs w:val="22"/>
          <w:lang w:eastAsia="en-US"/>
        </w:rPr>
        <w:t xml:space="preserve"> </w:t>
      </w:r>
      <w:r w:rsidRPr="00E34B37">
        <w:rPr>
          <w:rFonts w:hint="eastAsia"/>
          <w:sz w:val="22"/>
          <w:szCs w:val="22"/>
          <w:lang w:eastAsia="en-US"/>
        </w:rPr>
        <w:t>∈</w:t>
      </w:r>
      <w:r w:rsidRPr="00E34B37">
        <w:rPr>
          <w:rFonts w:ascii="Calibri" w:eastAsiaTheme="minorEastAsia" w:hAnsi="Calibri" w:cs="Calibri"/>
          <w:sz w:val="22"/>
          <w:szCs w:val="22"/>
          <w:lang w:eastAsia="en-US"/>
        </w:rPr>
        <w:t xml:space="preserve"> R</w:t>
      </w:r>
      <w:r w:rsidRPr="00FC162D">
        <w:rPr>
          <w:rFonts w:ascii="Calibri" w:eastAsiaTheme="minorEastAsia" w:hAnsi="Calibri" w:cs="Calibri"/>
          <w:sz w:val="22"/>
          <w:szCs w:val="22"/>
          <w:vertAlign w:val="superscript"/>
          <w:lang w:eastAsia="en-US"/>
        </w:rPr>
        <w:t>K×S</w:t>
      </w:r>
      <w:r w:rsidRPr="00E34B37">
        <w:rPr>
          <w:rFonts w:ascii="Calibri" w:eastAsiaTheme="minorEastAsia" w:hAnsi="Calibri" w:cs="Calibri"/>
          <w:sz w:val="22"/>
          <w:szCs w:val="22"/>
          <w:lang w:eastAsia="en-US"/>
        </w:rPr>
        <w:t xml:space="preserve"> as the unobservable truth of cell type proportions in the </w:t>
      </w:r>
      <w:r w:rsidRPr="00E34B37">
        <w:rPr>
          <w:rFonts w:ascii="Calibri" w:eastAsiaTheme="minorEastAsia" w:hAnsi="Calibri" w:cs="Calibri"/>
          <w:sz w:val="22"/>
          <w:szCs w:val="22"/>
          <w:lang w:eastAsia="en-US"/>
        </w:rPr>
        <w:t>samples, and</w:t>
      </w:r>
      <w:r w:rsidRPr="00E34B37">
        <w:rPr>
          <w:rFonts w:ascii="Calibri" w:eastAsiaTheme="minorEastAsia" w:hAnsi="Calibri" w:cs="Calibri"/>
          <w:sz w:val="22"/>
          <w:szCs w:val="22"/>
          <w:lang w:eastAsia="en-US"/>
        </w:rPr>
        <w:t xml:space="preserve"> its estimation </w:t>
      </w:r>
      <m:oMath>
        <m:acc>
          <m:accPr>
            <m:ctrlPr>
              <w:rPr>
                <w:rFonts w:ascii="Cambria Math" w:eastAsiaTheme="minorEastAsia" w:hAnsi="Cambria Math" w:cs="Calibri"/>
                <w:sz w:val="22"/>
                <w:szCs w:val="22"/>
                <w:lang w:eastAsia="en-US"/>
              </w:rPr>
            </m:ctrlPr>
          </m:accPr>
          <m:e>
            <m:r>
              <w:rPr>
                <w:rFonts w:ascii="Cambria Math" w:eastAsiaTheme="minorEastAsia" w:hAnsi="Cambria Math" w:cs="Calibri"/>
                <w:sz w:val="22"/>
                <w:szCs w:val="22"/>
                <w:lang w:eastAsia="en-US"/>
              </w:rPr>
              <m:t>P</m:t>
            </m:r>
          </m:e>
        </m:acc>
      </m:oMath>
      <w:r w:rsidRPr="00E34B37">
        <w:rPr>
          <w:rFonts w:ascii="Calibri" w:eastAsiaTheme="minorEastAsia" w:hAnsi="Calibri" w:cs="Calibri" w:hint="eastAsia"/>
          <w:sz w:val="22"/>
          <w:szCs w:val="22"/>
          <w:lang w:eastAsia="en-US"/>
        </w:rPr>
        <w:t xml:space="preserve"> </w:t>
      </w:r>
      <w:r w:rsidRPr="00E34B37">
        <w:rPr>
          <w:rFonts w:ascii="Calibri" w:eastAsiaTheme="minorEastAsia" w:hAnsi="Calibri" w:cs="Calibri"/>
          <w:sz w:val="22"/>
          <w:szCs w:val="22"/>
          <w:lang w:eastAsia="en-US"/>
        </w:rPr>
        <w:t>is the output of deconvolution analysis.</w:t>
      </w:r>
    </w:p>
    <w:p w14:paraId="56C58455" w14:textId="2EA51E97" w:rsidR="00E34B37" w:rsidRDefault="009A2F70" w:rsidP="00E34B37">
      <w:pPr>
        <w:pStyle w:val="NormalWeb"/>
        <w:spacing w:before="240" w:beforeAutospacing="0" w:after="0" w:afterAutospacing="0"/>
        <w:rPr>
          <w:rFonts w:ascii="Calibri" w:eastAsiaTheme="minorEastAsia" w:hAnsi="Calibri" w:cs="Calibri"/>
          <w:sz w:val="22"/>
          <w:szCs w:val="22"/>
          <w:lang w:eastAsia="en-US"/>
        </w:rPr>
      </w:pPr>
      <w:r w:rsidRPr="00E34B37">
        <w:rPr>
          <w:rFonts w:ascii="Calibri" w:eastAsiaTheme="minorEastAsia" w:hAnsi="Calibri" w:cs="Calibri"/>
          <w:sz w:val="22"/>
          <w:szCs w:val="22"/>
          <w:lang w:eastAsia="en-US"/>
        </w:rPr>
        <w:t xml:space="preserve">The element of </w:t>
      </w:r>
      <w:r w:rsidRPr="00E34B37">
        <w:rPr>
          <w:rFonts w:ascii="Calibri" w:eastAsiaTheme="minorEastAsia" w:hAnsi="Calibri" w:cs="Calibri"/>
          <w:sz w:val="22"/>
          <w:szCs w:val="22"/>
          <w:lang w:eastAsia="en-US"/>
        </w:rPr>
        <w:t xml:space="preserve">the </w:t>
      </w:r>
      <w:r w:rsidRPr="00E34B37">
        <w:rPr>
          <w:rFonts w:ascii="Calibri" w:eastAsiaTheme="minorEastAsia" w:hAnsi="Calibri" w:cs="Calibri"/>
          <w:sz w:val="22"/>
          <w:szCs w:val="22"/>
          <w:lang w:eastAsia="en-US"/>
        </w:rPr>
        <w:t>matrix</w:t>
      </w:r>
      <m:oMath>
        <m:r>
          <m:rPr>
            <m:sty m:val="p"/>
          </m:rPr>
          <w:rPr>
            <w:rFonts w:ascii="Cambria Math" w:eastAsiaTheme="minorEastAsia" w:hAnsi="Cambria Math" w:cs="Calibri"/>
            <w:sz w:val="22"/>
            <w:szCs w:val="22"/>
            <w:lang w:eastAsia="en-US"/>
          </w:rPr>
          <m:t xml:space="preserve"> </m:t>
        </m:r>
        <m:r>
          <w:rPr>
            <w:rFonts w:ascii="Cambria Math" w:eastAsiaTheme="minorEastAsia" w:hAnsi="Cambria Math" w:cs="Calibri"/>
            <w:sz w:val="22"/>
            <w:szCs w:val="22"/>
            <w:lang w:eastAsia="en-US"/>
          </w:rPr>
          <m:t>B</m:t>
        </m:r>
      </m:oMath>
      <w:r w:rsidRPr="00E34B37">
        <w:rPr>
          <w:rFonts w:ascii="Calibri" w:eastAsiaTheme="minorEastAsia" w:hAnsi="Calibri" w:cs="Calibri"/>
          <w:sz w:val="22"/>
          <w:szCs w:val="22"/>
          <w:lang w:eastAsia="en-US"/>
        </w:rPr>
        <w:t>, B</w:t>
      </w:r>
      <w:r w:rsidRPr="00FC162D">
        <w:rPr>
          <w:rFonts w:ascii="Calibri" w:eastAsiaTheme="minorEastAsia" w:hAnsi="Calibri" w:cs="Calibri"/>
          <w:sz w:val="22"/>
          <w:szCs w:val="22"/>
          <w:vertAlign w:val="subscript"/>
          <w:lang w:eastAsia="en-US"/>
        </w:rPr>
        <w:t>gs</w:t>
      </w:r>
      <w:r w:rsidRPr="00E34B37">
        <w:rPr>
          <w:rFonts w:ascii="Calibri" w:eastAsiaTheme="minorEastAsia" w:hAnsi="Calibri" w:cs="Calibri"/>
          <w:sz w:val="22"/>
          <w:szCs w:val="22"/>
          <w:lang w:eastAsia="en-US"/>
        </w:rPr>
        <w:t>, represents expression levels of the g</w:t>
      </w:r>
      <w:r w:rsidR="00FC162D" w:rsidRPr="00FC162D">
        <w:rPr>
          <w:rFonts w:ascii="Calibri" w:eastAsiaTheme="minorEastAsia" w:hAnsi="Calibri" w:cs="Calibri"/>
          <w:sz w:val="22"/>
          <w:szCs w:val="22"/>
          <w:vertAlign w:val="superscript"/>
          <w:lang w:eastAsia="en-US"/>
        </w:rPr>
        <w:t xml:space="preserve"> </w:t>
      </w:r>
      <w:proofErr w:type="spellStart"/>
      <w:r w:rsidR="00FC162D" w:rsidRPr="00E34B37">
        <w:rPr>
          <w:rFonts w:ascii="Calibri" w:eastAsiaTheme="minorEastAsia" w:hAnsi="Calibri" w:cs="Calibri"/>
          <w:sz w:val="22"/>
          <w:szCs w:val="22"/>
          <w:vertAlign w:val="superscript"/>
          <w:lang w:eastAsia="en-US"/>
        </w:rPr>
        <w:t>th</w:t>
      </w:r>
      <w:proofErr w:type="spellEnd"/>
      <w:r w:rsidRPr="00E34B37">
        <w:rPr>
          <w:rFonts w:ascii="Calibri" w:eastAsiaTheme="minorEastAsia" w:hAnsi="Calibri" w:cs="Calibri"/>
          <w:sz w:val="22"/>
          <w:szCs w:val="22"/>
          <w:lang w:eastAsia="en-US"/>
        </w:rPr>
        <w:t xml:space="preserve"> gene of the</w:t>
      </w:r>
      <w:r w:rsidR="00E34B37">
        <w:rPr>
          <w:rFonts w:ascii="Calibri" w:eastAsiaTheme="minorEastAsia" w:hAnsi="Calibri" w:cs="Calibri" w:hint="eastAsia"/>
          <w:sz w:val="22"/>
          <w:szCs w:val="22"/>
          <w:lang w:eastAsia="en-US"/>
        </w:rPr>
        <w:t xml:space="preserve"> </w:t>
      </w:r>
      <w:proofErr w:type="spellStart"/>
      <w:r w:rsidRPr="00E34B37">
        <w:rPr>
          <w:rFonts w:ascii="Calibri" w:eastAsiaTheme="minorEastAsia" w:hAnsi="Calibri" w:cs="Calibri"/>
          <w:sz w:val="22"/>
          <w:szCs w:val="22"/>
          <w:lang w:eastAsia="en-US"/>
        </w:rPr>
        <w:t>s</w:t>
      </w:r>
      <w:r w:rsidRPr="00E34B37">
        <w:rPr>
          <w:rFonts w:ascii="Calibri" w:eastAsiaTheme="minorEastAsia" w:hAnsi="Calibri" w:cs="Calibri"/>
          <w:sz w:val="22"/>
          <w:szCs w:val="22"/>
          <w:vertAlign w:val="superscript"/>
          <w:lang w:eastAsia="en-US"/>
        </w:rPr>
        <w:t>th</w:t>
      </w:r>
      <w:proofErr w:type="spellEnd"/>
      <w:r w:rsidRPr="00E34B37">
        <w:rPr>
          <w:rFonts w:ascii="Calibri" w:eastAsiaTheme="minorEastAsia" w:hAnsi="Calibri" w:cs="Calibri"/>
          <w:sz w:val="22"/>
          <w:szCs w:val="22"/>
          <w:vertAlign w:val="superscript"/>
          <w:lang w:eastAsia="en-US"/>
        </w:rPr>
        <w:t xml:space="preserve"> </w:t>
      </w:r>
      <w:r w:rsidRPr="00E34B37">
        <w:rPr>
          <w:rFonts w:ascii="Calibri" w:eastAsiaTheme="minorEastAsia" w:hAnsi="Calibri" w:cs="Calibri"/>
          <w:sz w:val="22"/>
          <w:szCs w:val="22"/>
          <w:lang w:eastAsia="en-US"/>
        </w:rPr>
        <w:t xml:space="preserve">sample. The element of matrix </w:t>
      </w:r>
      <m:oMath>
        <m:r>
          <w:rPr>
            <w:rFonts w:ascii="Cambria Math" w:eastAsiaTheme="minorEastAsia" w:hAnsi="Cambria Math" w:cs="Calibri"/>
            <w:sz w:val="22"/>
            <w:szCs w:val="22"/>
            <w:lang w:eastAsia="en-US"/>
          </w:rPr>
          <m:t>A</m:t>
        </m:r>
      </m:oMath>
      <w:r w:rsidRPr="00E34B37">
        <w:rPr>
          <w:rFonts w:ascii="Calibri" w:eastAsiaTheme="minorEastAsia" w:hAnsi="Calibri" w:cs="Calibri"/>
          <w:sz w:val="22"/>
          <w:szCs w:val="22"/>
          <w:lang w:eastAsia="en-US"/>
        </w:rPr>
        <w:t xml:space="preserve">, </w:t>
      </w:r>
      <w:proofErr w:type="spellStart"/>
      <w:r w:rsidRPr="00E34B37">
        <w:rPr>
          <w:rFonts w:ascii="Calibri" w:eastAsiaTheme="minorEastAsia" w:hAnsi="Calibri" w:cs="Calibri"/>
          <w:sz w:val="22"/>
          <w:szCs w:val="22"/>
          <w:lang w:eastAsia="en-US"/>
        </w:rPr>
        <w:t>A</w:t>
      </w:r>
      <w:r w:rsidRPr="00E34B37">
        <w:rPr>
          <w:rFonts w:ascii="Calibri" w:eastAsiaTheme="minorEastAsia" w:hAnsi="Calibri" w:cs="Calibri"/>
          <w:sz w:val="22"/>
          <w:szCs w:val="22"/>
          <w:vertAlign w:val="subscript"/>
          <w:lang w:eastAsia="en-US"/>
        </w:rPr>
        <w:t>gk</w:t>
      </w:r>
      <w:proofErr w:type="spellEnd"/>
      <w:r w:rsidRPr="00E34B37">
        <w:rPr>
          <w:rFonts w:ascii="Calibri" w:eastAsiaTheme="minorEastAsia" w:hAnsi="Calibri" w:cs="Calibri"/>
          <w:sz w:val="22"/>
          <w:szCs w:val="22"/>
          <w:lang w:eastAsia="en-US"/>
        </w:rPr>
        <w:t xml:space="preserve">, shows the </w:t>
      </w:r>
      <w:r w:rsidR="00E34B37">
        <w:rPr>
          <w:rFonts w:ascii="Calibri" w:eastAsiaTheme="minorEastAsia" w:hAnsi="Calibri" w:cs="Calibri"/>
          <w:sz w:val="22"/>
          <w:szCs w:val="22"/>
          <w:lang w:eastAsia="en-US"/>
        </w:rPr>
        <w:t>g</w:t>
      </w:r>
      <w:r w:rsidR="00E34B37" w:rsidRPr="00E34B37">
        <w:rPr>
          <w:rFonts w:ascii="Calibri" w:eastAsiaTheme="minorEastAsia" w:hAnsi="Calibri" w:cs="Calibri"/>
          <w:sz w:val="22"/>
          <w:szCs w:val="22"/>
          <w:vertAlign w:val="superscript"/>
          <w:lang w:eastAsia="en-US"/>
        </w:rPr>
        <w:t xml:space="preserve"> </w:t>
      </w:r>
      <w:proofErr w:type="spellStart"/>
      <w:r w:rsidR="00E34B37" w:rsidRPr="00E34B37">
        <w:rPr>
          <w:rFonts w:ascii="Calibri" w:eastAsiaTheme="minorEastAsia" w:hAnsi="Calibri" w:cs="Calibri"/>
          <w:sz w:val="22"/>
          <w:szCs w:val="22"/>
          <w:vertAlign w:val="superscript"/>
          <w:lang w:eastAsia="en-US"/>
        </w:rPr>
        <w:t>th</w:t>
      </w:r>
      <w:proofErr w:type="spellEnd"/>
      <w:r w:rsidRPr="00E34B37">
        <w:rPr>
          <w:rFonts w:ascii="Calibri" w:eastAsiaTheme="minorEastAsia" w:hAnsi="Calibri" w:cs="Calibri"/>
          <w:sz w:val="22"/>
          <w:szCs w:val="22"/>
          <w:lang w:eastAsia="en-US"/>
        </w:rPr>
        <w:t xml:space="preserve"> reference gene expression level for the k</w:t>
      </w:r>
      <w:r w:rsidR="00E34B37" w:rsidRPr="00E34B37">
        <w:rPr>
          <w:rFonts w:ascii="Calibri" w:eastAsiaTheme="minorEastAsia" w:hAnsi="Calibri" w:cs="Calibri"/>
          <w:sz w:val="22"/>
          <w:szCs w:val="22"/>
          <w:vertAlign w:val="superscript"/>
          <w:lang w:eastAsia="en-US"/>
        </w:rPr>
        <w:t>th</w:t>
      </w:r>
      <w:r w:rsidRPr="00E34B37">
        <w:rPr>
          <w:rFonts w:ascii="Calibri" w:eastAsiaTheme="minorEastAsia" w:hAnsi="Calibri" w:cs="Calibri"/>
          <w:sz w:val="22"/>
          <w:szCs w:val="22"/>
          <w:lang w:eastAsia="en-US"/>
        </w:rPr>
        <w:t xml:space="preserve"> cell type.  Each element of </w:t>
      </w:r>
      <m:oMath>
        <m:acc>
          <m:accPr>
            <m:ctrlPr>
              <w:rPr>
                <w:rFonts w:ascii="Cambria Math" w:eastAsiaTheme="minorEastAsia" w:hAnsi="Cambria Math" w:cs="Calibri"/>
                <w:sz w:val="22"/>
                <w:szCs w:val="22"/>
                <w:lang w:eastAsia="en-US"/>
              </w:rPr>
            </m:ctrlPr>
          </m:accPr>
          <m:e>
            <m:r>
              <w:rPr>
                <w:rFonts w:ascii="Cambria Math" w:eastAsiaTheme="minorEastAsia" w:hAnsi="Cambria Math" w:cs="Calibri"/>
                <w:sz w:val="22"/>
                <w:szCs w:val="22"/>
                <w:lang w:eastAsia="en-US"/>
              </w:rPr>
              <m:t>P</m:t>
            </m:r>
          </m:e>
        </m:acc>
      </m:oMath>
      <w:r w:rsidRPr="00E34B37">
        <w:rPr>
          <w:rFonts w:ascii="Calibri" w:eastAsiaTheme="minorEastAsia" w:hAnsi="Calibri" w:cs="Calibri" w:hint="eastAsia"/>
          <w:sz w:val="22"/>
          <w:szCs w:val="22"/>
          <w:lang w:eastAsia="en-US"/>
        </w:rPr>
        <w:t xml:space="preserve"> </w:t>
      </w:r>
      <w:r w:rsidRPr="00E34B37">
        <w:rPr>
          <w:rFonts w:ascii="Calibri" w:eastAsiaTheme="minorEastAsia" w:hAnsi="Calibri" w:cs="Calibri"/>
          <w:sz w:val="22"/>
          <w:szCs w:val="22"/>
          <w:lang w:eastAsia="en-US"/>
        </w:rPr>
        <w:t xml:space="preserve"> is the estimated proportion for the k-</w:t>
      </w:r>
      <w:proofErr w:type="spellStart"/>
      <w:r w:rsidRPr="00E34B37">
        <w:rPr>
          <w:rFonts w:ascii="Calibri" w:eastAsiaTheme="minorEastAsia" w:hAnsi="Calibri" w:cs="Calibri"/>
          <w:sz w:val="22"/>
          <w:szCs w:val="22"/>
          <w:lang w:eastAsia="en-US"/>
        </w:rPr>
        <w:t>th</w:t>
      </w:r>
      <w:proofErr w:type="spellEnd"/>
      <w:r w:rsidRPr="00E34B37">
        <w:rPr>
          <w:rFonts w:ascii="Calibri" w:eastAsiaTheme="minorEastAsia" w:hAnsi="Calibri" w:cs="Calibri"/>
          <w:sz w:val="22"/>
          <w:szCs w:val="22"/>
          <w:lang w:eastAsia="en-US"/>
        </w:rPr>
        <w:t xml:space="preserve"> cell type of the </w:t>
      </w:r>
      <w:proofErr w:type="spellStart"/>
      <w:r w:rsidR="00E34B37" w:rsidRPr="00E34B37">
        <w:rPr>
          <w:rFonts w:ascii="Calibri" w:eastAsiaTheme="minorEastAsia" w:hAnsi="Calibri" w:cs="Calibri"/>
          <w:sz w:val="22"/>
          <w:szCs w:val="22"/>
          <w:lang w:eastAsia="en-US"/>
        </w:rPr>
        <w:t>s</w:t>
      </w:r>
      <w:r w:rsidR="00E34B37" w:rsidRPr="00E34B37">
        <w:rPr>
          <w:rFonts w:ascii="Calibri" w:eastAsiaTheme="minorEastAsia" w:hAnsi="Calibri" w:cs="Calibri"/>
          <w:sz w:val="22"/>
          <w:szCs w:val="22"/>
          <w:vertAlign w:val="superscript"/>
          <w:lang w:eastAsia="en-US"/>
        </w:rPr>
        <w:t>th</w:t>
      </w:r>
      <w:proofErr w:type="spellEnd"/>
      <w:r w:rsidRPr="00E34B37">
        <w:rPr>
          <w:rFonts w:ascii="Calibri" w:eastAsiaTheme="minorEastAsia" w:hAnsi="Calibri" w:cs="Calibri"/>
          <w:sz w:val="22"/>
          <w:szCs w:val="22"/>
          <w:lang w:eastAsia="en-US"/>
        </w:rPr>
        <w:t xml:space="preserve"> sample. Note, g = 1, </w:t>
      </w:r>
      <w:proofErr w:type="gramStart"/>
      <w:r w:rsidRPr="00E34B37">
        <w:rPr>
          <w:rFonts w:ascii="Calibri" w:eastAsiaTheme="minorEastAsia" w:hAnsi="Calibri" w:cs="Calibri"/>
          <w:sz w:val="22"/>
          <w:szCs w:val="22"/>
          <w:lang w:eastAsia="en-US"/>
        </w:rPr>
        <w:t>. . . ,</w:t>
      </w:r>
      <w:proofErr w:type="gramEnd"/>
      <w:r w:rsidRPr="00E34B37">
        <w:rPr>
          <w:rFonts w:ascii="Calibri" w:eastAsiaTheme="minorEastAsia" w:hAnsi="Calibri" w:cs="Calibri"/>
          <w:sz w:val="22"/>
          <w:szCs w:val="22"/>
          <w:lang w:eastAsia="en-US"/>
        </w:rPr>
        <w:t xml:space="preserve"> G is the index of genes, s = 1, . . . , S is the index of samples, and k = 1, . . . , K is the index of cell types.</w:t>
      </w:r>
      <w:r w:rsidR="00FC162D">
        <w:rPr>
          <w:rFonts w:ascii="Calibri" w:eastAsiaTheme="minorEastAsia" w:hAnsi="Calibri" w:cs="Calibri" w:hint="eastAsia"/>
          <w:sz w:val="22"/>
          <w:szCs w:val="22"/>
          <w:lang w:eastAsia="en-US"/>
        </w:rPr>
        <w:t xml:space="preserve"> </w:t>
      </w:r>
      <w:r w:rsidRPr="00E34B37">
        <w:rPr>
          <w:rFonts w:ascii="Calibri" w:eastAsiaTheme="minorEastAsia" w:hAnsi="Calibri" w:cs="Calibri"/>
          <w:sz w:val="22"/>
          <w:szCs w:val="22"/>
          <w:lang w:eastAsia="en-US"/>
        </w:rPr>
        <w:t xml:space="preserve">We denote the fitted bulk gene expression matrix as </w:t>
      </w:r>
      <m:oMath>
        <m:acc>
          <m:accPr>
            <m:ctrlPr>
              <w:rPr>
                <w:rFonts w:ascii="Cambria Math" w:eastAsiaTheme="minorEastAsia" w:hAnsi="Cambria Math" w:cs="Calibri"/>
                <w:sz w:val="22"/>
                <w:szCs w:val="22"/>
                <w:lang w:eastAsia="en-US"/>
              </w:rPr>
            </m:ctrlPr>
          </m:accPr>
          <m:e>
            <m:r>
              <w:rPr>
                <w:rFonts w:ascii="Cambria Math" w:eastAsiaTheme="minorEastAsia" w:hAnsi="Cambria Math" w:cs="Calibri"/>
                <w:sz w:val="22"/>
                <w:szCs w:val="22"/>
                <w:lang w:eastAsia="en-US"/>
              </w:rPr>
              <m:t>B</m:t>
            </m:r>
          </m:e>
        </m:acc>
      </m:oMath>
      <w:r w:rsidRPr="00E34B37">
        <w:rPr>
          <w:rFonts w:ascii="Calibri" w:eastAsiaTheme="minorEastAsia" w:hAnsi="Calibri" w:cs="Calibri"/>
          <w:sz w:val="22"/>
          <w:szCs w:val="22"/>
          <w:lang w:eastAsia="en-US"/>
        </w:rPr>
        <w:t xml:space="preserve"> </w:t>
      </w:r>
      <w:r w:rsidRPr="00E34B37">
        <w:rPr>
          <w:rFonts w:ascii="Calibri" w:eastAsiaTheme="minorEastAsia" w:hAnsi="Calibri" w:cs="Calibri" w:hint="eastAsia"/>
          <w:sz w:val="22"/>
          <w:szCs w:val="22"/>
          <w:lang w:eastAsia="en-US"/>
        </w:rPr>
        <w:t>∈</w:t>
      </w:r>
      <w:r w:rsidRPr="00E34B37">
        <w:rPr>
          <w:rFonts w:ascii="Calibri" w:eastAsiaTheme="minorEastAsia" w:hAnsi="Calibri" w:cs="Calibri"/>
          <w:sz w:val="22"/>
          <w:szCs w:val="22"/>
          <w:lang w:eastAsia="en-US"/>
        </w:rPr>
        <w:t xml:space="preserve"> R</w:t>
      </w:r>
      <w:r w:rsidRPr="00E34B37">
        <w:rPr>
          <w:rFonts w:ascii="Calibri" w:eastAsiaTheme="minorEastAsia" w:hAnsi="Calibri" w:cs="Calibri"/>
          <w:sz w:val="22"/>
          <w:szCs w:val="22"/>
          <w:vertAlign w:val="superscript"/>
          <w:lang w:eastAsia="en-US"/>
        </w:rPr>
        <w:t>G×</w:t>
      </w:r>
      <w:proofErr w:type="gramStart"/>
      <w:r w:rsidRPr="00E34B37">
        <w:rPr>
          <w:rFonts w:ascii="Calibri" w:eastAsiaTheme="minorEastAsia" w:hAnsi="Calibri" w:cs="Calibri"/>
          <w:sz w:val="22"/>
          <w:szCs w:val="22"/>
          <w:vertAlign w:val="superscript"/>
          <w:lang w:eastAsia="en-US"/>
        </w:rPr>
        <w:t>S</w:t>
      </w:r>
      <w:r w:rsidRPr="00E34B37">
        <w:rPr>
          <w:rFonts w:ascii="Calibri" w:eastAsiaTheme="minorEastAsia" w:hAnsi="Calibri" w:cs="Calibri"/>
          <w:sz w:val="22"/>
          <w:szCs w:val="22"/>
          <w:lang w:eastAsia="en-US"/>
        </w:rPr>
        <w:t xml:space="preserve"> ,</w:t>
      </w:r>
      <w:proofErr w:type="gramEnd"/>
      <w:r w:rsidRPr="00E34B37">
        <w:rPr>
          <w:rFonts w:ascii="Calibri" w:eastAsiaTheme="minorEastAsia" w:hAnsi="Calibri" w:cs="Calibri"/>
          <w:sz w:val="22"/>
          <w:szCs w:val="22"/>
          <w:lang w:eastAsia="en-US"/>
        </w:rPr>
        <w:t xml:space="preserve"> derived from the following formula: </w:t>
      </w:r>
      <m:oMath>
        <m:acc>
          <m:accPr>
            <m:ctrlPr>
              <w:rPr>
                <w:rFonts w:ascii="Cambria Math" w:eastAsiaTheme="minorEastAsia" w:hAnsi="Cambria Math" w:cs="Calibri"/>
                <w:sz w:val="22"/>
                <w:szCs w:val="22"/>
                <w:lang w:eastAsia="en-US"/>
              </w:rPr>
            </m:ctrlPr>
          </m:accPr>
          <m:e>
            <m:r>
              <w:rPr>
                <w:rFonts w:ascii="Cambria Math" w:eastAsiaTheme="minorEastAsia" w:hAnsi="Cambria Math" w:cs="Calibri"/>
                <w:sz w:val="22"/>
                <w:szCs w:val="22"/>
                <w:lang w:eastAsia="en-US"/>
              </w:rPr>
              <m:t>B</m:t>
            </m:r>
          </m:e>
        </m:acc>
        <m:r>
          <m:rPr>
            <m:sty m:val="p"/>
          </m:rPr>
          <w:rPr>
            <w:rFonts w:ascii="Cambria Math" w:eastAsiaTheme="minorEastAsia" w:hAnsi="Cambria Math" w:cs="Calibri"/>
            <w:sz w:val="22"/>
            <w:szCs w:val="22"/>
            <w:lang w:eastAsia="en-US"/>
          </w:rPr>
          <m:t>=</m:t>
        </m:r>
        <m:r>
          <w:rPr>
            <w:rFonts w:ascii="Cambria Math" w:eastAsiaTheme="minorEastAsia" w:hAnsi="Cambria Math" w:cs="Calibri"/>
            <w:sz w:val="22"/>
            <w:szCs w:val="22"/>
            <w:lang w:eastAsia="en-US"/>
          </w:rPr>
          <m:t>A</m:t>
        </m:r>
        <m:acc>
          <m:accPr>
            <m:ctrlPr>
              <w:rPr>
                <w:rFonts w:ascii="Cambria Math" w:eastAsiaTheme="minorEastAsia" w:hAnsi="Cambria Math" w:cs="Calibri"/>
                <w:sz w:val="22"/>
                <w:szCs w:val="22"/>
                <w:lang w:eastAsia="en-US"/>
              </w:rPr>
            </m:ctrlPr>
          </m:accPr>
          <m:e>
            <m:r>
              <w:rPr>
                <w:rFonts w:ascii="Cambria Math" w:eastAsiaTheme="minorEastAsia" w:hAnsi="Cambria Math" w:cs="Calibri"/>
                <w:sz w:val="22"/>
                <w:szCs w:val="22"/>
                <w:lang w:eastAsia="en-US"/>
              </w:rPr>
              <m:t>P</m:t>
            </m:r>
          </m:e>
        </m:acc>
      </m:oMath>
    </w:p>
    <w:p w14:paraId="618DAF05" w14:textId="0051A221" w:rsidR="006E6E51" w:rsidRPr="006E6E51" w:rsidRDefault="006E6E51" w:rsidP="00E34B37">
      <w:pPr>
        <w:pStyle w:val="NormalWeb"/>
        <w:spacing w:before="240" w:beforeAutospacing="0" w:after="0" w:afterAutospacing="0"/>
        <w:rPr>
          <w:rFonts w:ascii="Calibri" w:eastAsiaTheme="minorEastAsia" w:hAnsi="Calibri" w:cs="Calibri"/>
          <w:sz w:val="22"/>
          <w:szCs w:val="22"/>
          <w:lang w:eastAsia="en-US"/>
        </w:rPr>
      </w:pPr>
      <w:r w:rsidRPr="006E6E51">
        <w:rPr>
          <w:rFonts w:ascii="Calibri" w:eastAsiaTheme="minorEastAsia" w:hAnsi="Calibri" w:cs="Calibri"/>
          <w:sz w:val="22"/>
          <w:szCs w:val="22"/>
          <w:lang w:eastAsia="en-US"/>
        </w:rPr>
        <w:t xml:space="preserve">The ground truth data, denoted as </w:t>
      </w:r>
      <w:r w:rsidR="003C33F1" w:rsidRPr="00E34B37">
        <w:rPr>
          <w:rFonts w:ascii="Calibri" w:eastAsiaTheme="minorEastAsia" w:hAnsi="Calibri" w:cs="Calibri"/>
          <w:sz w:val="22"/>
          <w:szCs w:val="22"/>
        </w:rPr>
        <w:t xml:space="preserve"> </w:t>
      </w:r>
      <m:oMath>
        <m:r>
          <w:rPr>
            <w:rFonts w:ascii="Cambria Math" w:eastAsiaTheme="minorEastAsia" w:hAnsi="Cambria Math" w:cs="Calibri"/>
            <w:sz w:val="22"/>
            <w:szCs w:val="22"/>
          </w:rPr>
          <m:t>P</m:t>
        </m:r>
      </m:oMath>
      <w:r w:rsidRPr="006E6E51">
        <w:rPr>
          <w:rFonts w:ascii="Calibri" w:eastAsiaTheme="minorEastAsia" w:hAnsi="Calibri" w:cs="Calibri"/>
          <w:sz w:val="22"/>
          <w:szCs w:val="22"/>
          <w:lang w:eastAsia="en-US"/>
        </w:rPr>
        <w:t xml:space="preserve"> </w:t>
      </w:r>
      <w:r w:rsidRPr="006E6E51">
        <w:rPr>
          <w:rFonts w:ascii="Calibri" w:eastAsiaTheme="minorEastAsia" w:hAnsi="Calibri" w:cs="Calibri" w:hint="eastAsia"/>
          <w:sz w:val="22"/>
          <w:szCs w:val="22"/>
          <w:lang w:eastAsia="en-US"/>
        </w:rPr>
        <w:t>∈</w:t>
      </w:r>
      <w:r w:rsidRPr="006E6E51">
        <w:rPr>
          <w:rFonts w:ascii="Calibri" w:eastAsiaTheme="minorEastAsia" w:hAnsi="Calibri" w:cs="Calibri"/>
          <w:sz w:val="22"/>
          <w:szCs w:val="22"/>
          <w:lang w:eastAsia="en-US"/>
        </w:rPr>
        <w:t xml:space="preserve"> R</w:t>
      </w:r>
      <w:r w:rsidRPr="006E6E51">
        <w:rPr>
          <w:rFonts w:ascii="Calibri" w:eastAsiaTheme="minorEastAsia" w:hAnsi="Calibri" w:cs="Calibri"/>
          <w:sz w:val="22"/>
          <w:szCs w:val="22"/>
          <w:vertAlign w:val="superscript"/>
          <w:lang w:eastAsia="en-US"/>
        </w:rPr>
        <w:t>K×</w:t>
      </w:r>
      <w:proofErr w:type="gramStart"/>
      <w:r w:rsidRPr="006E6E51">
        <w:rPr>
          <w:rFonts w:ascii="Calibri" w:eastAsiaTheme="minorEastAsia" w:hAnsi="Calibri" w:cs="Calibri"/>
          <w:sz w:val="22"/>
          <w:szCs w:val="22"/>
          <w:vertAlign w:val="superscript"/>
          <w:lang w:eastAsia="en-US"/>
        </w:rPr>
        <w:t xml:space="preserve">S </w:t>
      </w:r>
      <w:r w:rsidRPr="006E6E51">
        <w:rPr>
          <w:rFonts w:ascii="Calibri" w:eastAsiaTheme="minorEastAsia" w:hAnsi="Calibri" w:cs="Calibri"/>
          <w:sz w:val="22"/>
          <w:szCs w:val="22"/>
          <w:lang w:eastAsia="en-US"/>
        </w:rPr>
        <w:t>,</w:t>
      </w:r>
      <w:proofErr w:type="gramEnd"/>
      <w:r w:rsidRPr="006E6E51">
        <w:rPr>
          <w:rFonts w:ascii="Calibri" w:eastAsiaTheme="minorEastAsia" w:hAnsi="Calibri" w:cs="Calibri"/>
          <w:sz w:val="22"/>
          <w:szCs w:val="22"/>
          <w:lang w:eastAsia="en-US"/>
        </w:rPr>
        <w:t xml:space="preserve"> specifies the actual cell type proportions for the corresponding bulk RNA-seq samples. The elements are the true K cell type proportions across S samples. This dataset is essential in the evaluation of the deconvolution model.</w:t>
      </w:r>
    </w:p>
    <w:p w14:paraId="0AB74427" w14:textId="32AA6D97" w:rsidR="006E6E51" w:rsidRPr="006E6E51" w:rsidRDefault="006E6E51" w:rsidP="00E34B37">
      <w:pPr>
        <w:spacing w:before="240" w:after="0"/>
        <w:rPr>
          <w:rFonts w:ascii="Calibri" w:hAnsi="Calibri" w:cs="Calibri"/>
          <w:sz w:val="22"/>
          <w:szCs w:val="22"/>
        </w:rPr>
      </w:pPr>
      <w:r w:rsidRPr="006E6E51">
        <w:rPr>
          <w:rFonts w:ascii="Calibri" w:hAnsi="Calibri" w:cs="Calibri"/>
          <w:sz w:val="22"/>
          <w:szCs w:val="22"/>
        </w:rPr>
        <w:t>The ground truth could be obtained using multiple approaches as follows:</w:t>
      </w:r>
    </w:p>
    <w:p w14:paraId="33BE34DB" w14:textId="657886C9" w:rsidR="006E6E51" w:rsidRPr="00E34B37" w:rsidRDefault="006E6E51" w:rsidP="00E34B37">
      <w:pPr>
        <w:pStyle w:val="ListParagraph"/>
        <w:numPr>
          <w:ilvl w:val="0"/>
          <w:numId w:val="7"/>
        </w:numPr>
        <w:spacing w:before="240" w:after="0"/>
        <w:ind w:firstLineChars="0"/>
        <w:textAlignment w:val="center"/>
        <w:rPr>
          <w:rFonts w:ascii="Calibri" w:hAnsi="Calibri" w:cs="Calibri"/>
          <w:sz w:val="22"/>
          <w:szCs w:val="22"/>
        </w:rPr>
      </w:pPr>
      <w:r w:rsidRPr="00E34B37">
        <w:rPr>
          <w:rFonts w:ascii="Calibri" w:hAnsi="Calibri" w:cs="Calibri"/>
          <w:sz w:val="22"/>
          <w:szCs w:val="22"/>
        </w:rPr>
        <w:t xml:space="preserve">Flow cytometry analyses, providing quantifiable </w:t>
      </w:r>
      <w:r w:rsidR="00863EED">
        <w:rPr>
          <w:rFonts w:ascii="Calibri" w:hAnsi="Calibri" w:cs="Calibri"/>
          <w:sz w:val="22"/>
          <w:szCs w:val="22"/>
        </w:rPr>
        <w:t>cell-type</w:t>
      </w:r>
      <w:r w:rsidRPr="00E34B37">
        <w:rPr>
          <w:rFonts w:ascii="Calibri" w:hAnsi="Calibri" w:cs="Calibri"/>
          <w:sz w:val="22"/>
          <w:szCs w:val="22"/>
        </w:rPr>
        <w:t xml:space="preserve"> fractions through cell sorting based on surface markers.</w:t>
      </w:r>
    </w:p>
    <w:p w14:paraId="22FE813D" w14:textId="77777777" w:rsidR="006E6E51" w:rsidRPr="00E34B37" w:rsidRDefault="006E6E51" w:rsidP="00E34B37">
      <w:pPr>
        <w:pStyle w:val="ListParagraph"/>
        <w:numPr>
          <w:ilvl w:val="0"/>
          <w:numId w:val="7"/>
        </w:numPr>
        <w:spacing w:before="240" w:after="0"/>
        <w:ind w:firstLineChars="0"/>
        <w:textAlignment w:val="center"/>
        <w:rPr>
          <w:rFonts w:ascii="Calibri" w:hAnsi="Calibri" w:cs="Calibri"/>
          <w:sz w:val="22"/>
          <w:szCs w:val="22"/>
        </w:rPr>
      </w:pPr>
      <w:r w:rsidRPr="00E34B37">
        <w:rPr>
          <w:rFonts w:ascii="Calibri" w:hAnsi="Calibri" w:cs="Calibri"/>
          <w:sz w:val="22"/>
          <w:szCs w:val="22"/>
        </w:rPr>
        <w:t>Paired bulk and single-cell RNA-seq datasets, where cell type proportions are inferred from the high-resolution single-cell data.</w:t>
      </w:r>
    </w:p>
    <w:p w14:paraId="19C5CBEF" w14:textId="775BD7A7" w:rsidR="006E6E51" w:rsidRDefault="006E6E51" w:rsidP="006E6E51">
      <w:pPr>
        <w:pStyle w:val="Heading2"/>
      </w:pPr>
      <w:r>
        <w:t>Project Objective</w:t>
      </w:r>
    </w:p>
    <w:p w14:paraId="774C5C34" w14:textId="32EBD025" w:rsidR="00863EED" w:rsidRPr="00863EED" w:rsidRDefault="00863EED" w:rsidP="00EB6549">
      <w:pPr>
        <w:pStyle w:val="BodyText"/>
        <w:jc w:val="both"/>
        <w:rPr>
          <w:rFonts w:ascii="Calibri" w:hAnsi="Calibri" w:cs="Calibri"/>
          <w:sz w:val="22"/>
          <w:szCs w:val="22"/>
        </w:rPr>
      </w:pPr>
      <w:r w:rsidRPr="00863EED">
        <w:rPr>
          <w:rFonts w:ascii="Calibri" w:hAnsi="Calibri" w:cs="Calibri"/>
          <w:sz w:val="22"/>
          <w:szCs w:val="22"/>
        </w:rPr>
        <w:t xml:space="preserve">This report proposes the execution of a comprehensive experiment involving two distinct datasets: PBMC and pancreas, based on the insights presented by </w:t>
      </w:r>
      <w:proofErr w:type="spellStart"/>
      <w:r w:rsidRPr="00863EED">
        <w:rPr>
          <w:rFonts w:ascii="Calibri" w:hAnsi="Calibri" w:cs="Calibri"/>
          <w:sz w:val="22"/>
          <w:szCs w:val="22"/>
        </w:rPr>
        <w:t>CybersortX</w:t>
      </w:r>
      <w:proofErr w:type="spellEnd"/>
      <w:r w:rsidRPr="00863EED">
        <w:rPr>
          <w:rFonts w:ascii="Calibri" w:hAnsi="Calibri" w:cs="Calibri"/>
          <w:sz w:val="22"/>
          <w:szCs w:val="22"/>
        </w:rPr>
        <w:t xml:space="preserve"> (Newman et al., 2019) and </w:t>
      </w:r>
      <w:proofErr w:type="spellStart"/>
      <w:r w:rsidRPr="00863EED">
        <w:rPr>
          <w:rFonts w:ascii="Calibri" w:hAnsi="Calibri" w:cs="Calibri"/>
          <w:sz w:val="22"/>
          <w:szCs w:val="22"/>
        </w:rPr>
        <w:t>BayesPrism</w:t>
      </w:r>
      <w:proofErr w:type="spellEnd"/>
      <w:r w:rsidRPr="00863EED">
        <w:rPr>
          <w:rFonts w:ascii="Calibri" w:hAnsi="Calibri" w:cs="Calibri"/>
          <w:sz w:val="22"/>
          <w:szCs w:val="22"/>
        </w:rPr>
        <w:t xml:space="preserve"> (Chu, 2022). The primary goal is to take advantage of the capabilities of both </w:t>
      </w:r>
      <w:proofErr w:type="spellStart"/>
      <w:r w:rsidRPr="00863EED">
        <w:rPr>
          <w:rFonts w:ascii="Calibri" w:hAnsi="Calibri" w:cs="Calibri"/>
          <w:sz w:val="22"/>
          <w:szCs w:val="22"/>
        </w:rPr>
        <w:t>CybersortX</w:t>
      </w:r>
      <w:proofErr w:type="spellEnd"/>
      <w:r w:rsidRPr="00863EED">
        <w:rPr>
          <w:rFonts w:ascii="Calibri" w:hAnsi="Calibri" w:cs="Calibri"/>
          <w:sz w:val="22"/>
          <w:szCs w:val="22"/>
        </w:rPr>
        <w:t xml:space="preserve"> and </w:t>
      </w:r>
      <w:proofErr w:type="spellStart"/>
      <w:r w:rsidRPr="00863EED">
        <w:rPr>
          <w:rFonts w:ascii="Calibri" w:hAnsi="Calibri" w:cs="Calibri"/>
          <w:sz w:val="22"/>
          <w:szCs w:val="22"/>
        </w:rPr>
        <w:t>BayesPrism</w:t>
      </w:r>
      <w:proofErr w:type="spellEnd"/>
      <w:r w:rsidRPr="00863EED">
        <w:rPr>
          <w:rFonts w:ascii="Calibri" w:hAnsi="Calibri" w:cs="Calibri"/>
          <w:sz w:val="22"/>
          <w:szCs w:val="22"/>
        </w:rPr>
        <w:t xml:space="preserve"> by using single-cell data as a reference and bulk data as input.</w:t>
      </w:r>
    </w:p>
    <w:p w14:paraId="0633A430" w14:textId="5B11C057" w:rsidR="00863EED" w:rsidRDefault="00863EED" w:rsidP="00EB6549">
      <w:pPr>
        <w:pStyle w:val="BodyText"/>
        <w:jc w:val="both"/>
      </w:pPr>
      <w:r w:rsidRPr="00863EED">
        <w:rPr>
          <w:rFonts w:ascii="Calibri" w:hAnsi="Calibri" w:cs="Calibri"/>
          <w:sz w:val="22"/>
          <w:szCs w:val="22"/>
        </w:rPr>
        <w:t xml:space="preserve">In this experimental framework, the two software packages will compute cell type proportions (denoted as </w:t>
      </w:r>
      <m:oMath>
        <m:acc>
          <m:accPr>
            <m:ctrlPr>
              <w:rPr>
                <w:rFonts w:ascii="Cambria Math" w:eastAsiaTheme="minorEastAsia" w:hAnsi="Cambria Math" w:cs="Calibri"/>
                <w:sz w:val="22"/>
                <w:szCs w:val="22"/>
              </w:rPr>
            </m:ctrlPr>
          </m:accPr>
          <m:e>
            <m:r>
              <w:rPr>
                <w:rFonts w:ascii="Cambria Math" w:eastAsiaTheme="minorEastAsia" w:hAnsi="Cambria Math" w:cs="Calibri"/>
                <w:sz w:val="22"/>
                <w:szCs w:val="22"/>
              </w:rPr>
              <m:t>P</m:t>
            </m:r>
          </m:e>
        </m:acc>
      </m:oMath>
      <w:r w:rsidRPr="00863EED">
        <w:rPr>
          <w:rFonts w:ascii="Calibri" w:hAnsi="Calibri" w:cs="Calibri"/>
          <w:sz w:val="22"/>
          <w:szCs w:val="22"/>
        </w:rPr>
        <w:t xml:space="preserve">) for each dataset independently. CybersortX will generate a signature based on the calculated proportions, and this signature will then be used to multiply </w:t>
      </w:r>
      <m:oMath>
        <m:acc>
          <m:accPr>
            <m:ctrlPr>
              <w:rPr>
                <w:rFonts w:ascii="Cambria Math" w:eastAsiaTheme="minorEastAsia" w:hAnsi="Cambria Math" w:cs="Calibri"/>
                <w:sz w:val="22"/>
                <w:szCs w:val="22"/>
              </w:rPr>
            </m:ctrlPr>
          </m:accPr>
          <m:e>
            <m:r>
              <w:rPr>
                <w:rFonts w:ascii="Cambria Math" w:eastAsiaTheme="minorEastAsia" w:hAnsi="Cambria Math" w:cs="Calibri"/>
                <w:sz w:val="22"/>
                <w:szCs w:val="22"/>
              </w:rPr>
              <m:t>P</m:t>
            </m:r>
          </m:e>
        </m:acc>
      </m:oMath>
      <w:r w:rsidRPr="00863EED">
        <w:rPr>
          <w:rFonts w:ascii="Calibri" w:hAnsi="Calibri" w:cs="Calibri"/>
          <w:sz w:val="22"/>
          <w:szCs w:val="22"/>
        </w:rPr>
        <w:t xml:space="preserve">, resulting in an estimated bulk data matrix (denoted as </w:t>
      </w:r>
      <m:oMath>
        <m:acc>
          <m:accPr>
            <m:ctrlPr>
              <w:rPr>
                <w:rFonts w:ascii="Cambria Math" w:eastAsiaTheme="minorEastAsia" w:hAnsi="Cambria Math" w:cs="Calibri"/>
                <w:sz w:val="22"/>
                <w:szCs w:val="22"/>
              </w:rPr>
            </m:ctrlPr>
          </m:accPr>
          <m:e>
            <m:r>
              <w:rPr>
                <w:rFonts w:ascii="Cambria Math" w:eastAsiaTheme="minorEastAsia" w:hAnsi="Cambria Math" w:cs="Calibri"/>
                <w:sz w:val="22"/>
                <w:szCs w:val="22"/>
              </w:rPr>
              <m:t>B</m:t>
            </m:r>
          </m:e>
        </m:acc>
      </m:oMath>
      <w:r w:rsidRPr="00863EED">
        <w:rPr>
          <w:rFonts w:ascii="Calibri" w:hAnsi="Calibri" w:cs="Calibri"/>
          <w:sz w:val="22"/>
          <w:szCs w:val="22"/>
        </w:rPr>
        <w:t>).</w:t>
      </w:r>
      <w:r w:rsidRPr="00863EED">
        <w:t xml:space="preserve"> </w:t>
      </w:r>
    </w:p>
    <w:p w14:paraId="6D4A160B" w14:textId="062E6B81" w:rsidR="00863EED" w:rsidRPr="00863EED" w:rsidRDefault="00863EED" w:rsidP="00EB6549">
      <w:pPr>
        <w:pStyle w:val="BodyText"/>
        <w:jc w:val="both"/>
        <w:rPr>
          <w:rFonts w:ascii="Calibri" w:hAnsi="Calibri" w:cs="Calibri" w:hint="eastAsia"/>
          <w:sz w:val="22"/>
          <w:szCs w:val="22"/>
        </w:rPr>
      </w:pPr>
      <w:r w:rsidRPr="00863EED">
        <w:rPr>
          <w:rFonts w:ascii="Calibri" w:hAnsi="Calibri" w:cs="Calibri"/>
          <w:sz w:val="22"/>
          <w:szCs w:val="22"/>
        </w:rPr>
        <w:t>The study's analytical focus extends beyond the simple computation of P and B. The next step is to carefully examine the estimated proportion matrix and bulk matrix at both the cellular and sample levels. The goal of this multifaceted analysis is to elicit nuanced insights into the interplay between cell types and the overall composition of the samples. This method allows for a thorough understanding of the biological characteristics embedded in the datasets, providing useful information for subsequent interpretations and inferences.</w:t>
      </w:r>
    </w:p>
    <w:p w14:paraId="4665D985" w14:textId="4B799E34" w:rsidR="005303BF" w:rsidRDefault="009A2F70">
      <w:pPr>
        <w:pStyle w:val="Heading2"/>
      </w:pPr>
      <w:r>
        <w:lastRenderedPageBreak/>
        <w:t>Data Introduction</w:t>
      </w:r>
    </w:p>
    <w:p w14:paraId="74A58FA7" w14:textId="182FB53F" w:rsidR="00330FA5" w:rsidRPr="00330FA5" w:rsidRDefault="00330FA5" w:rsidP="00863EED">
      <w:pPr>
        <w:pStyle w:val="BodyText"/>
        <w:numPr>
          <w:ilvl w:val="0"/>
          <w:numId w:val="8"/>
        </w:numPr>
        <w:rPr>
          <w:rFonts w:eastAsiaTheme="minorEastAsia" w:hint="eastAsia"/>
          <w:b/>
          <w:lang w:eastAsia="zh-CN"/>
        </w:rPr>
      </w:pPr>
      <w:r w:rsidRPr="00330FA5">
        <w:rPr>
          <w:rFonts w:ascii="Calibri" w:eastAsiaTheme="minorEastAsia" w:hAnsi="Calibri" w:cs="Calibri"/>
          <w:b/>
          <w:sz w:val="22"/>
          <w:szCs w:val="22"/>
          <w:lang w:eastAsia="zh-CN"/>
        </w:rPr>
        <w:t>PBMC</w:t>
      </w:r>
    </w:p>
    <w:p w14:paraId="5AEE43A0" w14:textId="115EAECD" w:rsidR="009A2F70" w:rsidRDefault="009A2F70" w:rsidP="009A2F70">
      <w:pPr>
        <w:pStyle w:val="BodyText"/>
        <w:rPr>
          <w:rFonts w:ascii="Calibri" w:hAnsi="Calibri" w:cs="Calibri"/>
          <w:sz w:val="22"/>
          <w:szCs w:val="22"/>
        </w:rPr>
      </w:pPr>
      <w:r>
        <w:rPr>
          <w:rFonts w:ascii="Calibri" w:hAnsi="Calibri" w:cs="Calibri"/>
          <w:sz w:val="22"/>
          <w:szCs w:val="22"/>
        </w:rPr>
        <w:t xml:space="preserve">The first dataset (ground truth determined by flow cytometry) is available on the </w:t>
      </w:r>
      <w:proofErr w:type="spellStart"/>
      <w:r>
        <w:rPr>
          <w:rFonts w:ascii="Calibri" w:hAnsi="Calibri" w:cs="Calibri"/>
          <w:sz w:val="22"/>
          <w:szCs w:val="22"/>
        </w:rPr>
        <w:t>CIBERSORTx</w:t>
      </w:r>
      <w:proofErr w:type="spellEnd"/>
      <w:r>
        <w:rPr>
          <w:rFonts w:ascii="Calibri" w:hAnsi="Calibri" w:cs="Calibri"/>
          <w:sz w:val="22"/>
          <w:szCs w:val="22"/>
        </w:rPr>
        <w:t xml:space="preserve"> website by selecting </w:t>
      </w:r>
      <w:r>
        <w:rPr>
          <w:rFonts w:ascii="Calibri" w:hAnsi="Calibri" w:cs="Calibri"/>
          <w:i/>
          <w:iCs/>
          <w:sz w:val="22"/>
          <w:szCs w:val="22"/>
        </w:rPr>
        <w:t xml:space="preserve">Menu </w:t>
      </w:r>
      <w:r>
        <w:rPr>
          <w:rFonts w:ascii="Calibri" w:hAnsi="Calibri" w:cs="Calibri"/>
          <w:sz w:val="22"/>
          <w:szCs w:val="22"/>
        </w:rPr>
        <w:t xml:space="preserve">→ </w:t>
      </w:r>
      <w:r>
        <w:rPr>
          <w:rFonts w:ascii="Calibri" w:hAnsi="Calibri" w:cs="Calibri"/>
          <w:i/>
          <w:iCs/>
          <w:sz w:val="22"/>
          <w:szCs w:val="22"/>
        </w:rPr>
        <w:t xml:space="preserve">Download </w:t>
      </w:r>
      <w:r>
        <w:rPr>
          <w:rFonts w:ascii="Calibri" w:hAnsi="Calibri" w:cs="Calibri"/>
          <w:sz w:val="22"/>
          <w:szCs w:val="22"/>
        </w:rPr>
        <w:t xml:space="preserve">→ </w:t>
      </w:r>
      <w:r>
        <w:rPr>
          <w:rFonts w:ascii="Calibri" w:hAnsi="Calibri" w:cs="Calibri"/>
          <w:i/>
          <w:iCs/>
          <w:sz w:val="22"/>
          <w:szCs w:val="22"/>
        </w:rPr>
        <w:t xml:space="preserve">“NSCLC PBMCs Single Cell RNA-Seq (Fig. 2ab) (zip)” </w:t>
      </w:r>
      <w:hyperlink r:id="rId7" w:history="1">
        <w:r>
          <w:rPr>
            <w:rStyle w:val="Hyperlink"/>
            <w:rFonts w:ascii="Calibri" w:hAnsi="Calibri" w:cs="Calibri"/>
            <w:sz w:val="22"/>
            <w:szCs w:val="22"/>
          </w:rPr>
          <w:t xml:space="preserve">(CIBERSORTx Download Page </w:t>
        </w:r>
      </w:hyperlink>
      <w:r>
        <w:rPr>
          <w:rFonts w:ascii="Calibri" w:hAnsi="Calibri" w:cs="Calibri"/>
          <w:sz w:val="22"/>
          <w:szCs w:val="22"/>
        </w:rPr>
        <w:t>). In this folder:</w:t>
      </w:r>
    </w:p>
    <w:p w14:paraId="36CA703B" w14:textId="256A98B7" w:rsidR="009A2F70" w:rsidRPr="00330FA5" w:rsidRDefault="009A2F70" w:rsidP="0079587F">
      <w:pPr>
        <w:pStyle w:val="BodyText"/>
        <w:numPr>
          <w:ilvl w:val="0"/>
          <w:numId w:val="5"/>
        </w:numPr>
      </w:pPr>
      <w:proofErr w:type="spellStart"/>
      <w:r>
        <w:rPr>
          <w:rFonts w:ascii="Calibri" w:hAnsi="Calibri" w:cs="Calibri"/>
          <w:sz w:val="22"/>
          <w:szCs w:val="22"/>
        </w:rPr>
        <w:t>scRNA</w:t>
      </w:r>
      <w:proofErr w:type="spellEnd"/>
      <w:r>
        <w:rPr>
          <w:rFonts w:ascii="Calibri" w:hAnsi="Calibri" w:cs="Calibri"/>
          <w:sz w:val="22"/>
          <w:szCs w:val="22"/>
        </w:rPr>
        <w:t>-seq reference data</w:t>
      </w:r>
      <w:r w:rsidR="00330FA5">
        <w:rPr>
          <w:rFonts w:ascii="Calibri" w:hAnsi="Calibri" w:cs="Calibri"/>
          <w:sz w:val="22"/>
          <w:szCs w:val="22"/>
        </w:rPr>
        <w:t xml:space="preserve"> (</w:t>
      </w:r>
      <w:r w:rsidR="00330FA5">
        <w:rPr>
          <w:rFonts w:ascii="Calibri" w:hAnsi="Calibri" w:cs="Calibri"/>
          <w:i/>
          <w:iCs/>
          <w:sz w:val="22"/>
          <w:szCs w:val="22"/>
        </w:rPr>
        <w:t xml:space="preserve">“Fig2ab-NSCLC PBMCs </w:t>
      </w:r>
      <w:proofErr w:type="spellStart"/>
      <w:r w:rsidR="00330FA5">
        <w:rPr>
          <w:rFonts w:ascii="Calibri" w:hAnsi="Calibri" w:cs="Calibri"/>
          <w:i/>
          <w:iCs/>
          <w:sz w:val="22"/>
          <w:szCs w:val="22"/>
        </w:rPr>
        <w:t>scRNAseq</w:t>
      </w:r>
      <w:proofErr w:type="spellEnd"/>
      <w:r w:rsidR="00330FA5">
        <w:rPr>
          <w:rFonts w:ascii="Calibri" w:hAnsi="Calibri" w:cs="Calibri"/>
          <w:i/>
          <w:iCs/>
          <w:sz w:val="22"/>
          <w:szCs w:val="22"/>
        </w:rPr>
        <w:t xml:space="preserve"> refsample.txt”</w:t>
      </w:r>
      <w:r w:rsidR="00330FA5">
        <w:rPr>
          <w:rFonts w:ascii="Calibri" w:hAnsi="Calibri" w:cs="Calibri"/>
          <w:sz w:val="22"/>
          <w:szCs w:val="22"/>
        </w:rPr>
        <w:t>)</w:t>
      </w:r>
      <w:r>
        <w:rPr>
          <w:rFonts w:ascii="Calibri" w:hAnsi="Calibri" w:cs="Calibri"/>
          <w:sz w:val="22"/>
          <w:szCs w:val="22"/>
        </w:rPr>
        <w:t xml:space="preserve">: </w:t>
      </w:r>
      <w:r w:rsidR="00330FA5">
        <w:rPr>
          <w:rFonts w:ascii="Calibri" w:hAnsi="Calibri" w:cs="Calibri"/>
          <w:sz w:val="22"/>
          <w:szCs w:val="22"/>
        </w:rPr>
        <w:t xml:space="preserve">matrix of </w:t>
      </w:r>
      <w:r>
        <w:rPr>
          <w:rFonts w:ascii="Calibri" w:hAnsi="Calibri" w:cs="Calibri"/>
          <w:sz w:val="22"/>
          <w:szCs w:val="22"/>
        </w:rPr>
        <w:t xml:space="preserve">16476 </w:t>
      </w:r>
      <w:r w:rsidR="00330FA5">
        <w:rPr>
          <w:rFonts w:ascii="Calibri" w:hAnsi="Calibri" w:cs="Calibri"/>
          <w:sz w:val="22"/>
          <w:szCs w:val="22"/>
        </w:rPr>
        <w:t>genes and 1054 cells.</w:t>
      </w:r>
    </w:p>
    <w:p w14:paraId="2487CF14" w14:textId="5054C46C" w:rsidR="00330FA5" w:rsidRPr="00330FA5" w:rsidRDefault="00330FA5" w:rsidP="0079587F">
      <w:pPr>
        <w:pStyle w:val="BodyText"/>
        <w:numPr>
          <w:ilvl w:val="0"/>
          <w:numId w:val="5"/>
        </w:numPr>
      </w:pPr>
      <w:r>
        <w:rPr>
          <w:rFonts w:ascii="Calibri" w:hAnsi="Calibri" w:cs="Calibri"/>
          <w:sz w:val="22"/>
          <w:szCs w:val="22"/>
        </w:rPr>
        <w:t xml:space="preserve">signature matrix created by </w:t>
      </w:r>
      <w:proofErr w:type="spellStart"/>
      <w:r>
        <w:rPr>
          <w:rFonts w:ascii="Calibri" w:hAnsi="Calibri" w:cs="Calibri"/>
          <w:sz w:val="22"/>
          <w:szCs w:val="22"/>
        </w:rPr>
        <w:t>CIBERSORTx</w:t>
      </w:r>
      <w:proofErr w:type="spellEnd"/>
      <w:r>
        <w:rPr>
          <w:rFonts w:ascii="Calibri" w:hAnsi="Calibri" w:cs="Calibri"/>
          <w:sz w:val="22"/>
          <w:szCs w:val="22"/>
        </w:rPr>
        <w:t xml:space="preserve"> (</w:t>
      </w:r>
      <w:r>
        <w:rPr>
          <w:rFonts w:ascii="Calibri" w:hAnsi="Calibri" w:cs="Calibri"/>
          <w:i/>
          <w:iCs/>
          <w:sz w:val="22"/>
          <w:szCs w:val="22"/>
        </w:rPr>
        <w:t xml:space="preserve">“Fig2ab-NSCLC PBMCs </w:t>
      </w:r>
      <w:proofErr w:type="spellStart"/>
      <w:r>
        <w:rPr>
          <w:rFonts w:ascii="Calibri" w:hAnsi="Calibri" w:cs="Calibri"/>
          <w:i/>
          <w:iCs/>
          <w:sz w:val="22"/>
          <w:szCs w:val="22"/>
        </w:rPr>
        <w:t>scRNAseq</w:t>
      </w:r>
      <w:proofErr w:type="spellEnd"/>
      <w:r>
        <w:rPr>
          <w:rFonts w:ascii="Calibri" w:hAnsi="Calibri" w:cs="Calibri"/>
          <w:i/>
          <w:iCs/>
          <w:sz w:val="22"/>
          <w:szCs w:val="22"/>
        </w:rPr>
        <w:t xml:space="preserve"> sigmatrix.txt”</w:t>
      </w:r>
      <w:r>
        <w:rPr>
          <w:rFonts w:ascii="Calibri" w:hAnsi="Calibri" w:cs="Calibri"/>
          <w:sz w:val="22"/>
          <w:szCs w:val="22"/>
        </w:rPr>
        <w:t xml:space="preserve">): matrix of </w:t>
      </w:r>
      <w:r w:rsidRPr="00330FA5">
        <w:rPr>
          <w:rFonts w:ascii="Calibri" w:hAnsi="Calibri" w:cs="Calibri"/>
          <w:sz w:val="22"/>
          <w:szCs w:val="22"/>
        </w:rPr>
        <w:t xml:space="preserve">2498 </w:t>
      </w:r>
      <w:r>
        <w:rPr>
          <w:rFonts w:ascii="Calibri" w:hAnsi="Calibri" w:cs="Calibri"/>
          <w:sz w:val="22"/>
          <w:szCs w:val="22"/>
        </w:rPr>
        <w:t xml:space="preserve">reference gene expression </w:t>
      </w:r>
      <w:r w:rsidR="00B70B8C">
        <w:rPr>
          <w:rFonts w:ascii="Calibri" w:hAnsi="Calibri" w:cs="Calibri"/>
          <w:sz w:val="22"/>
          <w:szCs w:val="22"/>
        </w:rPr>
        <w:t>levels</w:t>
      </w:r>
      <w:r>
        <w:rPr>
          <w:rFonts w:ascii="Calibri" w:hAnsi="Calibri" w:cs="Calibri"/>
          <w:sz w:val="22"/>
          <w:szCs w:val="22"/>
        </w:rPr>
        <w:t xml:space="preserve"> and</w:t>
      </w:r>
      <w:r w:rsidRPr="00330FA5">
        <w:rPr>
          <w:rFonts w:ascii="Calibri" w:hAnsi="Calibri" w:cs="Calibri"/>
          <w:sz w:val="22"/>
          <w:szCs w:val="22"/>
        </w:rPr>
        <w:t xml:space="preserve"> 6</w:t>
      </w:r>
      <w:r>
        <w:rPr>
          <w:rFonts w:ascii="Calibri" w:hAnsi="Calibri" w:cs="Calibri"/>
          <w:sz w:val="22"/>
          <w:szCs w:val="22"/>
        </w:rPr>
        <w:t xml:space="preserve"> cell types.</w:t>
      </w:r>
    </w:p>
    <w:p w14:paraId="27FE5397" w14:textId="12DAAB76" w:rsidR="00330FA5" w:rsidRPr="00B70B8C" w:rsidRDefault="00330FA5" w:rsidP="0079587F">
      <w:pPr>
        <w:pStyle w:val="BodyText"/>
        <w:numPr>
          <w:ilvl w:val="0"/>
          <w:numId w:val="5"/>
        </w:numPr>
      </w:pPr>
      <w:r>
        <w:rPr>
          <w:rFonts w:ascii="Calibri" w:hAnsi="Calibri" w:cs="Calibri"/>
          <w:sz w:val="22"/>
          <w:szCs w:val="22"/>
        </w:rPr>
        <w:t>bulk data</w:t>
      </w:r>
      <w:r>
        <w:rPr>
          <w:rFonts w:ascii="Calibri" w:hAnsi="Calibri" w:cs="Calibri"/>
          <w:sz w:val="22"/>
          <w:szCs w:val="22"/>
        </w:rPr>
        <w:t xml:space="preserve"> (</w:t>
      </w:r>
      <w:r>
        <w:rPr>
          <w:rFonts w:ascii="Calibri" w:hAnsi="Calibri" w:cs="Calibri"/>
          <w:i/>
          <w:iCs/>
          <w:sz w:val="22"/>
          <w:szCs w:val="22"/>
        </w:rPr>
        <w:t>“Fig2b-WholeBlood RNAseq.txt”</w:t>
      </w:r>
      <w:r>
        <w:rPr>
          <w:rFonts w:ascii="Calibri" w:hAnsi="Calibri" w:cs="Calibri"/>
          <w:sz w:val="22"/>
          <w:szCs w:val="22"/>
        </w:rPr>
        <w:t xml:space="preserve">): </w:t>
      </w:r>
      <w:r w:rsidR="0079587F">
        <w:rPr>
          <w:rFonts w:ascii="Calibri" w:hAnsi="Calibri" w:cs="Calibri"/>
          <w:sz w:val="22"/>
          <w:szCs w:val="22"/>
        </w:rPr>
        <w:t>matrix of</w:t>
      </w:r>
      <w:r w:rsidR="0079587F">
        <w:rPr>
          <w:rFonts w:ascii="Calibri" w:hAnsi="Calibri" w:cs="Calibri"/>
          <w:sz w:val="22"/>
          <w:szCs w:val="22"/>
        </w:rPr>
        <w:t xml:space="preserve"> </w:t>
      </w:r>
      <w:r>
        <w:rPr>
          <w:rFonts w:ascii="Calibri" w:hAnsi="Calibri" w:cs="Calibri"/>
          <w:sz w:val="22"/>
          <w:szCs w:val="22"/>
        </w:rPr>
        <w:t>5851 genes and 12 samples</w:t>
      </w:r>
    </w:p>
    <w:p w14:paraId="26B55944" w14:textId="699054D8" w:rsidR="00B70B8C" w:rsidRPr="00330FA5" w:rsidRDefault="00B70B8C" w:rsidP="0079587F">
      <w:pPr>
        <w:pStyle w:val="BodyText"/>
        <w:numPr>
          <w:ilvl w:val="0"/>
          <w:numId w:val="5"/>
        </w:numPr>
      </w:pPr>
      <w:r>
        <w:rPr>
          <w:rFonts w:ascii="Calibri" w:eastAsiaTheme="minorEastAsia" w:hAnsi="Calibri" w:cs="Calibri" w:hint="eastAsia"/>
          <w:sz w:val="22"/>
          <w:szCs w:val="22"/>
          <w:lang w:eastAsia="zh-CN"/>
        </w:rPr>
        <w:t>c</w:t>
      </w:r>
      <w:r>
        <w:rPr>
          <w:rFonts w:ascii="Calibri" w:eastAsiaTheme="minorEastAsia" w:hAnsi="Calibri" w:cs="Calibri"/>
          <w:sz w:val="22"/>
          <w:szCs w:val="22"/>
          <w:lang w:eastAsia="zh-CN"/>
        </w:rPr>
        <w:t xml:space="preserve">ell type of interest: </w:t>
      </w:r>
      <w:r w:rsidRPr="00B70B8C">
        <w:rPr>
          <w:rFonts w:ascii="Calibri" w:eastAsiaTheme="minorEastAsia" w:hAnsi="Calibri" w:cs="Calibri"/>
          <w:sz w:val="22"/>
          <w:szCs w:val="22"/>
          <w:lang w:eastAsia="zh-CN"/>
        </w:rPr>
        <w:t>"T.cells.CD8"</w:t>
      </w:r>
      <w:r>
        <w:rPr>
          <w:rFonts w:ascii="Calibri" w:eastAsiaTheme="minorEastAsia" w:hAnsi="Calibri" w:cs="Calibri"/>
          <w:sz w:val="22"/>
          <w:szCs w:val="22"/>
          <w:lang w:eastAsia="zh-CN"/>
        </w:rPr>
        <w:t>,</w:t>
      </w:r>
      <w:r w:rsidRPr="00B70B8C">
        <w:rPr>
          <w:rFonts w:ascii="Calibri" w:eastAsiaTheme="minorEastAsia" w:hAnsi="Calibri" w:cs="Calibri"/>
          <w:sz w:val="22"/>
          <w:szCs w:val="22"/>
          <w:lang w:eastAsia="zh-CN"/>
        </w:rPr>
        <w:t xml:space="preserve"> "Monocytes"</w:t>
      </w:r>
      <w:r>
        <w:rPr>
          <w:rFonts w:ascii="Calibri" w:eastAsiaTheme="minorEastAsia" w:hAnsi="Calibri" w:cs="Calibri"/>
          <w:sz w:val="22"/>
          <w:szCs w:val="22"/>
          <w:lang w:eastAsia="zh-CN"/>
        </w:rPr>
        <w:t xml:space="preserve">, </w:t>
      </w:r>
      <w:r w:rsidRPr="00B70B8C">
        <w:rPr>
          <w:rFonts w:ascii="Calibri" w:eastAsiaTheme="minorEastAsia" w:hAnsi="Calibri" w:cs="Calibri"/>
          <w:sz w:val="22"/>
          <w:szCs w:val="22"/>
          <w:lang w:eastAsia="zh-CN"/>
        </w:rPr>
        <w:t>"T.cells.CD4"</w:t>
      </w:r>
      <w:r>
        <w:rPr>
          <w:rFonts w:ascii="Calibri" w:eastAsiaTheme="minorEastAsia" w:hAnsi="Calibri" w:cs="Calibri"/>
          <w:sz w:val="22"/>
          <w:szCs w:val="22"/>
          <w:lang w:eastAsia="zh-CN"/>
        </w:rPr>
        <w:t>,</w:t>
      </w:r>
      <w:r w:rsidRPr="00B70B8C">
        <w:rPr>
          <w:rFonts w:ascii="Calibri" w:eastAsiaTheme="minorEastAsia" w:hAnsi="Calibri" w:cs="Calibri"/>
          <w:sz w:val="22"/>
          <w:szCs w:val="22"/>
          <w:lang w:eastAsia="zh-CN"/>
        </w:rPr>
        <w:t xml:space="preserve"> "</w:t>
      </w:r>
      <w:proofErr w:type="spellStart"/>
      <w:proofErr w:type="gramStart"/>
      <w:r w:rsidRPr="00B70B8C">
        <w:rPr>
          <w:rFonts w:ascii="Calibri" w:eastAsiaTheme="minorEastAsia" w:hAnsi="Calibri" w:cs="Calibri"/>
          <w:sz w:val="22"/>
          <w:szCs w:val="22"/>
          <w:lang w:eastAsia="zh-CN"/>
        </w:rPr>
        <w:t>B.cells</w:t>
      </w:r>
      <w:proofErr w:type="spellEnd"/>
      <w:proofErr w:type="gramEnd"/>
      <w:r w:rsidRPr="00B70B8C">
        <w:rPr>
          <w:rFonts w:ascii="Calibri" w:eastAsiaTheme="minorEastAsia" w:hAnsi="Calibri" w:cs="Calibri"/>
          <w:sz w:val="22"/>
          <w:szCs w:val="22"/>
          <w:lang w:eastAsia="zh-CN"/>
        </w:rPr>
        <w:t>"</w:t>
      </w:r>
      <w:r>
        <w:rPr>
          <w:rFonts w:ascii="Calibri" w:eastAsiaTheme="minorEastAsia" w:hAnsi="Calibri" w:cs="Calibri"/>
          <w:sz w:val="22"/>
          <w:szCs w:val="22"/>
          <w:lang w:eastAsia="zh-CN"/>
        </w:rPr>
        <w:t xml:space="preserve">, </w:t>
      </w:r>
      <w:r w:rsidRPr="00B70B8C">
        <w:rPr>
          <w:rFonts w:ascii="Calibri" w:eastAsiaTheme="minorEastAsia" w:hAnsi="Calibri" w:cs="Calibri"/>
          <w:sz w:val="22"/>
          <w:szCs w:val="22"/>
          <w:lang w:eastAsia="zh-CN"/>
        </w:rPr>
        <w:t>"</w:t>
      </w:r>
      <w:proofErr w:type="spellStart"/>
      <w:r w:rsidRPr="00B70B8C">
        <w:rPr>
          <w:rFonts w:ascii="Calibri" w:eastAsiaTheme="minorEastAsia" w:hAnsi="Calibri" w:cs="Calibri"/>
          <w:sz w:val="22"/>
          <w:szCs w:val="22"/>
          <w:lang w:eastAsia="zh-CN"/>
        </w:rPr>
        <w:t>NK.cells</w:t>
      </w:r>
      <w:proofErr w:type="spellEnd"/>
      <w:r w:rsidRPr="00B70B8C">
        <w:rPr>
          <w:rFonts w:ascii="Calibri" w:eastAsiaTheme="minorEastAsia" w:hAnsi="Calibri" w:cs="Calibri"/>
          <w:sz w:val="22"/>
          <w:szCs w:val="22"/>
          <w:lang w:eastAsia="zh-CN"/>
        </w:rPr>
        <w:t>"</w:t>
      </w:r>
      <w:r>
        <w:rPr>
          <w:rFonts w:ascii="Calibri" w:eastAsiaTheme="minorEastAsia" w:hAnsi="Calibri" w:cs="Calibri"/>
          <w:sz w:val="22"/>
          <w:szCs w:val="22"/>
          <w:lang w:eastAsia="zh-CN"/>
        </w:rPr>
        <w:t xml:space="preserve">; we discard </w:t>
      </w:r>
      <w:r w:rsidRPr="00B70B8C">
        <w:rPr>
          <w:rFonts w:ascii="Calibri" w:eastAsiaTheme="minorEastAsia" w:hAnsi="Calibri" w:cs="Calibri"/>
          <w:sz w:val="22"/>
          <w:szCs w:val="22"/>
          <w:lang w:eastAsia="zh-CN"/>
        </w:rPr>
        <w:t>"</w:t>
      </w:r>
      <w:proofErr w:type="spellStart"/>
      <w:r w:rsidRPr="00B70B8C">
        <w:rPr>
          <w:rFonts w:ascii="Calibri" w:eastAsiaTheme="minorEastAsia" w:hAnsi="Calibri" w:cs="Calibri"/>
          <w:sz w:val="22"/>
          <w:szCs w:val="22"/>
          <w:lang w:eastAsia="zh-CN"/>
        </w:rPr>
        <w:t>NKT.cells</w:t>
      </w:r>
      <w:proofErr w:type="spellEnd"/>
      <w:r w:rsidRPr="00B70B8C">
        <w:rPr>
          <w:rFonts w:ascii="Calibri" w:eastAsiaTheme="minorEastAsia" w:hAnsi="Calibri" w:cs="Calibri"/>
          <w:sz w:val="22"/>
          <w:szCs w:val="22"/>
          <w:lang w:eastAsia="zh-CN"/>
        </w:rPr>
        <w:t>"</w:t>
      </w:r>
      <w:r>
        <w:rPr>
          <w:rFonts w:ascii="Calibri" w:eastAsiaTheme="minorEastAsia" w:hAnsi="Calibri" w:cs="Calibri"/>
          <w:sz w:val="22"/>
          <w:szCs w:val="22"/>
          <w:lang w:eastAsia="zh-CN"/>
        </w:rPr>
        <w:t xml:space="preserve"> which is omitted by </w:t>
      </w:r>
      <w:proofErr w:type="spellStart"/>
      <w:r>
        <w:rPr>
          <w:rFonts w:ascii="Calibri" w:eastAsiaTheme="minorEastAsia" w:hAnsi="Calibri" w:cs="Calibri"/>
          <w:sz w:val="22"/>
          <w:szCs w:val="22"/>
          <w:lang w:eastAsia="zh-CN"/>
        </w:rPr>
        <w:t>CybersortX</w:t>
      </w:r>
      <w:proofErr w:type="spellEnd"/>
      <w:r>
        <w:rPr>
          <w:rFonts w:ascii="Calibri" w:eastAsiaTheme="minorEastAsia" w:hAnsi="Calibri" w:cs="Calibri"/>
          <w:sz w:val="22"/>
          <w:szCs w:val="22"/>
          <w:lang w:eastAsia="zh-CN"/>
        </w:rPr>
        <w:t>.</w:t>
      </w:r>
    </w:p>
    <w:p w14:paraId="02BA8DC8" w14:textId="4EE45BE2" w:rsidR="00330FA5" w:rsidRPr="00863EED" w:rsidRDefault="00330FA5" w:rsidP="00863EED">
      <w:pPr>
        <w:pStyle w:val="BodyText"/>
        <w:numPr>
          <w:ilvl w:val="0"/>
          <w:numId w:val="8"/>
        </w:numPr>
        <w:rPr>
          <w:rFonts w:ascii="Calibri" w:eastAsiaTheme="minorEastAsia" w:hAnsi="Calibri" w:cs="Calibri"/>
          <w:b/>
          <w:bCs/>
          <w:sz w:val="22"/>
          <w:szCs w:val="22"/>
          <w:lang w:eastAsia="zh-CN"/>
        </w:rPr>
      </w:pPr>
      <w:r w:rsidRPr="00863EED">
        <w:rPr>
          <w:rFonts w:ascii="Calibri" w:eastAsiaTheme="minorEastAsia" w:hAnsi="Calibri" w:cs="Calibri"/>
          <w:b/>
          <w:bCs/>
          <w:sz w:val="22"/>
          <w:szCs w:val="22"/>
          <w:lang w:eastAsia="zh-CN"/>
        </w:rPr>
        <w:t>Pancreas</w:t>
      </w:r>
    </w:p>
    <w:p w14:paraId="57CF55EF" w14:textId="2A868777" w:rsidR="0079587F" w:rsidRPr="00B70B8C" w:rsidRDefault="0079587F" w:rsidP="0079587F">
      <w:pPr>
        <w:pStyle w:val="BodyText"/>
        <w:numPr>
          <w:ilvl w:val="0"/>
          <w:numId w:val="5"/>
        </w:numPr>
      </w:pPr>
      <w:proofErr w:type="spellStart"/>
      <w:r>
        <w:rPr>
          <w:rFonts w:ascii="Calibri" w:hAnsi="Calibri" w:cs="Calibri"/>
          <w:sz w:val="22"/>
          <w:szCs w:val="22"/>
        </w:rPr>
        <w:t>scRNA</w:t>
      </w:r>
      <w:proofErr w:type="spellEnd"/>
      <w:r>
        <w:rPr>
          <w:rFonts w:ascii="Calibri" w:hAnsi="Calibri" w:cs="Calibri"/>
          <w:sz w:val="22"/>
          <w:szCs w:val="22"/>
        </w:rPr>
        <w:t>-seq reference data</w:t>
      </w:r>
      <w:r>
        <w:rPr>
          <w:rFonts w:ascii="Calibri" w:hAnsi="Calibri" w:cs="Calibri"/>
          <w:sz w:val="22"/>
          <w:szCs w:val="22"/>
        </w:rPr>
        <w:t xml:space="preserve"> (</w:t>
      </w:r>
      <w:r>
        <w:rPr>
          <w:rFonts w:ascii="Calibri" w:hAnsi="Calibri" w:cs="Calibri"/>
          <w:i/>
          <w:iCs/>
          <w:sz w:val="22"/>
          <w:szCs w:val="22"/>
        </w:rPr>
        <w:t>“pancreas scref</w:t>
      </w:r>
      <w:r>
        <w:rPr>
          <w:rFonts w:ascii="Calibri" w:hAnsi="Calibri" w:cs="Calibri"/>
          <w:i/>
          <w:iCs/>
          <w:sz w:val="22"/>
          <w:szCs w:val="22"/>
        </w:rPr>
        <w:t>_v2</w:t>
      </w:r>
      <w:r>
        <w:rPr>
          <w:rFonts w:ascii="Calibri" w:hAnsi="Calibri" w:cs="Calibri"/>
          <w:i/>
          <w:iCs/>
          <w:sz w:val="22"/>
          <w:szCs w:val="22"/>
        </w:rPr>
        <w:t>.txt”</w:t>
      </w:r>
      <w:r>
        <w:rPr>
          <w:rFonts w:ascii="Calibri" w:hAnsi="Calibri" w:cs="Calibri"/>
          <w:sz w:val="22"/>
          <w:szCs w:val="22"/>
        </w:rPr>
        <w:t xml:space="preserve">): </w:t>
      </w:r>
      <w:r>
        <w:rPr>
          <w:rFonts w:ascii="Calibri" w:hAnsi="Calibri" w:cs="Calibri"/>
          <w:sz w:val="22"/>
          <w:szCs w:val="22"/>
        </w:rPr>
        <w:t xml:space="preserve">matrix of </w:t>
      </w:r>
      <w:r>
        <w:rPr>
          <w:rFonts w:ascii="Calibri" w:hAnsi="Calibri" w:cs="Calibri"/>
          <w:sz w:val="22"/>
          <w:szCs w:val="22"/>
        </w:rPr>
        <w:t>25525</w:t>
      </w:r>
      <w:r>
        <w:rPr>
          <w:rFonts w:ascii="Calibri" w:hAnsi="Calibri" w:cs="Calibri"/>
          <w:sz w:val="22"/>
          <w:szCs w:val="22"/>
        </w:rPr>
        <w:t xml:space="preserve"> genes and </w:t>
      </w:r>
      <w:r>
        <w:rPr>
          <w:rFonts w:ascii="Calibri" w:hAnsi="Calibri" w:cs="Calibri"/>
          <w:sz w:val="22"/>
          <w:szCs w:val="22"/>
        </w:rPr>
        <w:t xml:space="preserve">410 </w:t>
      </w:r>
      <w:r>
        <w:rPr>
          <w:rFonts w:ascii="Calibri" w:hAnsi="Calibri" w:cs="Calibri"/>
          <w:sz w:val="22"/>
          <w:szCs w:val="22"/>
        </w:rPr>
        <w:t>cells.</w:t>
      </w:r>
    </w:p>
    <w:p w14:paraId="6E3743B9" w14:textId="2531A771" w:rsidR="00B70B8C" w:rsidRPr="0079587F" w:rsidRDefault="00B70B8C" w:rsidP="00B70B8C">
      <w:pPr>
        <w:pStyle w:val="BodyText"/>
        <w:numPr>
          <w:ilvl w:val="0"/>
          <w:numId w:val="5"/>
        </w:numPr>
        <w:rPr>
          <w:rFonts w:hint="eastAsia"/>
        </w:rPr>
      </w:pPr>
      <w:r>
        <w:rPr>
          <w:rFonts w:ascii="Calibri" w:hAnsi="Calibri" w:cs="Calibri"/>
          <w:sz w:val="22"/>
          <w:szCs w:val="22"/>
        </w:rPr>
        <w:t xml:space="preserve">signature matrix created by </w:t>
      </w:r>
      <w:proofErr w:type="spellStart"/>
      <w:r>
        <w:rPr>
          <w:rFonts w:ascii="Calibri" w:hAnsi="Calibri" w:cs="Calibri"/>
          <w:sz w:val="22"/>
          <w:szCs w:val="22"/>
        </w:rPr>
        <w:t>CIBERSORTx</w:t>
      </w:r>
      <w:proofErr w:type="spellEnd"/>
      <w:r>
        <w:rPr>
          <w:rFonts w:ascii="Calibri" w:hAnsi="Calibri" w:cs="Calibri"/>
          <w:sz w:val="22"/>
          <w:szCs w:val="22"/>
        </w:rPr>
        <w:t xml:space="preserve">: </w:t>
      </w:r>
      <w:r>
        <w:rPr>
          <w:rFonts w:ascii="Calibri" w:hAnsi="Calibri" w:cs="Calibri"/>
          <w:sz w:val="22"/>
          <w:szCs w:val="22"/>
        </w:rPr>
        <w:t xml:space="preserve">matrix of </w:t>
      </w:r>
      <w:r>
        <w:rPr>
          <w:rFonts w:ascii="Calibri" w:hAnsi="Calibri" w:cs="Calibri"/>
          <w:sz w:val="22"/>
          <w:szCs w:val="22"/>
        </w:rPr>
        <w:t xml:space="preserve">3484 </w:t>
      </w:r>
      <w:r>
        <w:rPr>
          <w:rFonts w:ascii="Calibri" w:hAnsi="Calibri" w:cs="Calibri"/>
          <w:sz w:val="22"/>
          <w:szCs w:val="22"/>
        </w:rPr>
        <w:t>reference gene expression level and</w:t>
      </w:r>
      <w:r w:rsidRPr="00330FA5">
        <w:rPr>
          <w:rFonts w:ascii="Calibri" w:hAnsi="Calibri" w:cs="Calibri"/>
          <w:sz w:val="22"/>
          <w:szCs w:val="22"/>
        </w:rPr>
        <w:t xml:space="preserve"> </w:t>
      </w:r>
      <w:r>
        <w:rPr>
          <w:rFonts w:ascii="Calibri" w:hAnsi="Calibri" w:cs="Calibri"/>
          <w:sz w:val="22"/>
          <w:szCs w:val="22"/>
        </w:rPr>
        <w:t>9</w:t>
      </w:r>
      <w:r>
        <w:rPr>
          <w:rFonts w:ascii="Calibri" w:hAnsi="Calibri" w:cs="Calibri"/>
          <w:sz w:val="22"/>
          <w:szCs w:val="22"/>
        </w:rPr>
        <w:t xml:space="preserve"> cell types.</w:t>
      </w:r>
    </w:p>
    <w:p w14:paraId="2A9691D5" w14:textId="2167DC29" w:rsidR="0079587F" w:rsidRPr="0079587F" w:rsidRDefault="0079587F" w:rsidP="0079587F">
      <w:pPr>
        <w:pStyle w:val="BodyText"/>
        <w:numPr>
          <w:ilvl w:val="0"/>
          <w:numId w:val="5"/>
        </w:numPr>
        <w:rPr>
          <w:rFonts w:hint="eastAsia"/>
        </w:rPr>
      </w:pPr>
      <w:r>
        <w:rPr>
          <w:rFonts w:ascii="Calibri" w:hAnsi="Calibri" w:cs="Calibri"/>
          <w:sz w:val="22"/>
          <w:szCs w:val="22"/>
        </w:rPr>
        <w:t>bulk data</w:t>
      </w:r>
      <w:r>
        <w:rPr>
          <w:rFonts w:ascii="Calibri" w:hAnsi="Calibri" w:cs="Calibri"/>
          <w:sz w:val="22"/>
          <w:szCs w:val="22"/>
        </w:rPr>
        <w:t xml:space="preserve"> (“</w:t>
      </w:r>
      <w:r>
        <w:rPr>
          <w:rFonts w:ascii="Calibri" w:hAnsi="Calibri" w:cs="Calibri"/>
          <w:i/>
          <w:iCs/>
          <w:sz w:val="22"/>
          <w:szCs w:val="22"/>
        </w:rPr>
        <w:t>pancreas bulk</w:t>
      </w:r>
      <w:r>
        <w:rPr>
          <w:rFonts w:ascii="Calibri" w:hAnsi="Calibri" w:cs="Calibri"/>
          <w:i/>
          <w:iCs/>
          <w:sz w:val="22"/>
          <w:szCs w:val="22"/>
        </w:rPr>
        <w:t>_v2</w:t>
      </w:r>
      <w:r>
        <w:rPr>
          <w:rFonts w:ascii="Calibri" w:hAnsi="Calibri" w:cs="Calibri"/>
          <w:i/>
          <w:iCs/>
          <w:sz w:val="22"/>
          <w:szCs w:val="22"/>
        </w:rPr>
        <w:t>.txt</w:t>
      </w:r>
      <w:r>
        <w:rPr>
          <w:rFonts w:ascii="Calibri" w:hAnsi="Calibri" w:cs="Calibri"/>
          <w:i/>
          <w:iCs/>
          <w:sz w:val="22"/>
          <w:szCs w:val="22"/>
        </w:rPr>
        <w:t>”</w:t>
      </w:r>
      <w:proofErr w:type="gramStart"/>
      <w:r>
        <w:rPr>
          <w:rFonts w:ascii="Calibri" w:hAnsi="Calibri" w:cs="Calibri"/>
          <w:i/>
          <w:iCs/>
          <w:sz w:val="22"/>
          <w:szCs w:val="22"/>
        </w:rPr>
        <w:t>) :</w:t>
      </w:r>
      <w:proofErr w:type="gramEnd"/>
      <w:r w:rsidRPr="0079587F">
        <w:rPr>
          <w:rFonts w:ascii="Calibri" w:hAnsi="Calibri" w:cs="Calibri"/>
          <w:sz w:val="22"/>
          <w:szCs w:val="22"/>
        </w:rPr>
        <w:t xml:space="preserve"> </w:t>
      </w:r>
      <w:r>
        <w:rPr>
          <w:rFonts w:ascii="Calibri" w:hAnsi="Calibri" w:cs="Calibri"/>
          <w:sz w:val="22"/>
          <w:szCs w:val="22"/>
        </w:rPr>
        <w:t xml:space="preserve">matrix of </w:t>
      </w:r>
      <w:r>
        <w:rPr>
          <w:rFonts w:ascii="Calibri" w:hAnsi="Calibri" w:cs="Calibri"/>
          <w:sz w:val="22"/>
          <w:szCs w:val="22"/>
        </w:rPr>
        <w:t>25525</w:t>
      </w:r>
      <w:r>
        <w:rPr>
          <w:rFonts w:ascii="Calibri" w:hAnsi="Calibri" w:cs="Calibri"/>
          <w:sz w:val="22"/>
          <w:szCs w:val="22"/>
        </w:rPr>
        <w:t xml:space="preserve"> genes and </w:t>
      </w:r>
      <w:r>
        <w:rPr>
          <w:rFonts w:ascii="Calibri" w:hAnsi="Calibri" w:cs="Calibri"/>
          <w:sz w:val="22"/>
          <w:szCs w:val="22"/>
        </w:rPr>
        <w:t>7 samples.</w:t>
      </w:r>
    </w:p>
    <w:p w14:paraId="622EFE4F" w14:textId="73DEF572" w:rsidR="0079587F" w:rsidRPr="00B70B8C" w:rsidRDefault="0079587F" w:rsidP="0079587F">
      <w:pPr>
        <w:pStyle w:val="BodyText"/>
        <w:numPr>
          <w:ilvl w:val="0"/>
          <w:numId w:val="4"/>
        </w:numPr>
        <w:rPr>
          <w:rFonts w:eastAsiaTheme="minorEastAsia"/>
          <w:lang w:eastAsia="zh-CN"/>
        </w:rPr>
      </w:pPr>
      <w:r>
        <w:rPr>
          <w:rFonts w:ascii="Calibri" w:hAnsi="Calibri" w:cs="Calibri"/>
          <w:sz w:val="22"/>
          <w:szCs w:val="22"/>
        </w:rPr>
        <w:t>The ground truth</w:t>
      </w:r>
      <w:r>
        <w:rPr>
          <w:rFonts w:ascii="Calibri" w:hAnsi="Calibri" w:cs="Calibri"/>
          <w:sz w:val="22"/>
          <w:szCs w:val="22"/>
        </w:rPr>
        <w:t xml:space="preserve"> (</w:t>
      </w:r>
      <w:r>
        <w:rPr>
          <w:rFonts w:ascii="Calibri" w:hAnsi="Calibri" w:cs="Calibri"/>
          <w:i/>
          <w:iCs/>
          <w:sz w:val="22"/>
          <w:szCs w:val="22"/>
        </w:rPr>
        <w:t>pancreas truth.txt”</w:t>
      </w:r>
      <w:r>
        <w:rPr>
          <w:rFonts w:ascii="Calibri" w:hAnsi="Calibri" w:cs="Calibri"/>
          <w:sz w:val="22"/>
          <w:szCs w:val="22"/>
        </w:rPr>
        <w:t xml:space="preserve">): </w:t>
      </w:r>
      <w:r>
        <w:rPr>
          <w:rFonts w:ascii="Calibri" w:hAnsi="Calibri" w:cs="Calibri"/>
          <w:sz w:val="22"/>
          <w:szCs w:val="22"/>
        </w:rPr>
        <w:t>matrix of</w:t>
      </w:r>
      <w:r>
        <w:rPr>
          <w:rFonts w:ascii="Calibri" w:hAnsi="Calibri" w:cs="Calibri"/>
          <w:sz w:val="22"/>
          <w:szCs w:val="22"/>
        </w:rPr>
        <w:t xml:space="preserve"> 10 cell</w:t>
      </w:r>
      <w:r w:rsidR="00B70B8C">
        <w:rPr>
          <w:rFonts w:ascii="Calibri" w:hAnsi="Calibri" w:cs="Calibri"/>
          <w:sz w:val="22"/>
          <w:szCs w:val="22"/>
        </w:rPr>
        <w:t xml:space="preserve"> types</w:t>
      </w:r>
      <w:r>
        <w:rPr>
          <w:rFonts w:ascii="Calibri" w:hAnsi="Calibri" w:cs="Calibri"/>
          <w:sz w:val="22"/>
          <w:szCs w:val="22"/>
        </w:rPr>
        <w:t xml:space="preserve"> and 6 </w:t>
      </w:r>
      <w:r w:rsidR="00B70B8C">
        <w:rPr>
          <w:rFonts w:ascii="Calibri" w:hAnsi="Calibri" w:cs="Calibri"/>
          <w:sz w:val="22"/>
          <w:szCs w:val="22"/>
        </w:rPr>
        <w:t>cell samples.</w:t>
      </w:r>
    </w:p>
    <w:p w14:paraId="114FD81A" w14:textId="3E8539ED" w:rsidR="00B70B8C" w:rsidRPr="007F7EB7" w:rsidRDefault="00B70B8C" w:rsidP="007F7EB7">
      <w:pPr>
        <w:pStyle w:val="BodyText"/>
        <w:numPr>
          <w:ilvl w:val="0"/>
          <w:numId w:val="4"/>
        </w:numPr>
        <w:rPr>
          <w:rFonts w:hint="eastAsia"/>
        </w:rPr>
      </w:pPr>
      <w:r w:rsidRPr="007F7EB7">
        <w:rPr>
          <w:rFonts w:ascii="Calibri" w:eastAsiaTheme="minorEastAsia" w:hAnsi="Calibri" w:cs="Calibri" w:hint="eastAsia"/>
          <w:sz w:val="22"/>
          <w:szCs w:val="22"/>
          <w:lang w:eastAsia="zh-CN"/>
        </w:rPr>
        <w:t>c</w:t>
      </w:r>
      <w:r w:rsidRPr="007F7EB7">
        <w:rPr>
          <w:rFonts w:ascii="Calibri" w:eastAsiaTheme="minorEastAsia" w:hAnsi="Calibri" w:cs="Calibri"/>
          <w:sz w:val="22"/>
          <w:szCs w:val="22"/>
          <w:lang w:eastAsia="zh-CN"/>
        </w:rPr>
        <w:t xml:space="preserve">ell type of interest: </w:t>
      </w:r>
      <w:r w:rsidR="007F7EB7" w:rsidRPr="00B70B8C">
        <w:rPr>
          <w:rFonts w:ascii="Calibri" w:eastAsiaTheme="minorEastAsia" w:hAnsi="Calibri" w:cs="Calibri"/>
          <w:sz w:val="22"/>
          <w:szCs w:val="22"/>
          <w:lang w:eastAsia="zh-CN"/>
        </w:rPr>
        <w:t>"delta", "alpha", "gamma</w:t>
      </w:r>
      <w:proofErr w:type="gramStart"/>
      <w:r w:rsidR="007F7EB7" w:rsidRPr="00B70B8C">
        <w:rPr>
          <w:rFonts w:ascii="Calibri" w:eastAsiaTheme="minorEastAsia" w:hAnsi="Calibri" w:cs="Calibri"/>
          <w:sz w:val="22"/>
          <w:szCs w:val="22"/>
          <w:lang w:eastAsia="zh-CN"/>
        </w:rPr>
        <w:t>",  "</w:t>
      </w:r>
      <w:proofErr w:type="gramEnd"/>
      <w:r w:rsidR="007F7EB7" w:rsidRPr="00B70B8C">
        <w:rPr>
          <w:rFonts w:ascii="Calibri" w:eastAsiaTheme="minorEastAsia" w:hAnsi="Calibri" w:cs="Calibri"/>
          <w:sz w:val="22"/>
          <w:szCs w:val="22"/>
          <w:lang w:eastAsia="zh-CN"/>
        </w:rPr>
        <w:t>ductal",  "acinar", "beta",  "PSC", "endothelial"</w:t>
      </w:r>
      <w:r w:rsidRPr="007F7EB7">
        <w:rPr>
          <w:rFonts w:ascii="Calibri" w:eastAsiaTheme="minorEastAsia" w:hAnsi="Calibri" w:cs="Calibri"/>
          <w:sz w:val="22"/>
          <w:szCs w:val="22"/>
          <w:lang w:eastAsia="zh-CN"/>
        </w:rPr>
        <w:t xml:space="preserve">; we discard </w:t>
      </w:r>
      <w:r w:rsidR="007F7EB7" w:rsidRPr="007F7EB7">
        <w:rPr>
          <w:rFonts w:ascii="Calibri" w:eastAsiaTheme="minorEastAsia" w:hAnsi="Calibri" w:cs="Calibri"/>
          <w:sz w:val="22"/>
          <w:szCs w:val="22"/>
          <w:lang w:eastAsia="zh-CN"/>
        </w:rPr>
        <w:t>"mast"</w:t>
      </w:r>
      <w:r w:rsidRPr="007F7EB7">
        <w:rPr>
          <w:rFonts w:ascii="Calibri" w:eastAsiaTheme="minorEastAsia" w:hAnsi="Calibri" w:cs="Calibri"/>
          <w:sz w:val="22"/>
          <w:szCs w:val="22"/>
          <w:lang w:eastAsia="zh-CN"/>
        </w:rPr>
        <w:t xml:space="preserve"> which is omitted by </w:t>
      </w:r>
      <w:proofErr w:type="spellStart"/>
      <w:r w:rsidRPr="007F7EB7">
        <w:rPr>
          <w:rFonts w:ascii="Calibri" w:eastAsiaTheme="minorEastAsia" w:hAnsi="Calibri" w:cs="Calibri"/>
          <w:sz w:val="22"/>
          <w:szCs w:val="22"/>
          <w:lang w:eastAsia="zh-CN"/>
        </w:rPr>
        <w:t>CybersortX</w:t>
      </w:r>
      <w:proofErr w:type="spellEnd"/>
      <w:r w:rsidRPr="007F7EB7">
        <w:rPr>
          <w:rFonts w:ascii="Calibri" w:eastAsiaTheme="minorEastAsia" w:hAnsi="Calibri" w:cs="Calibri"/>
          <w:sz w:val="22"/>
          <w:szCs w:val="22"/>
          <w:lang w:eastAsia="zh-CN"/>
        </w:rPr>
        <w:t>.</w:t>
      </w:r>
      <w:r w:rsidRPr="00B70B8C">
        <w:t xml:space="preserve"> </w:t>
      </w:r>
    </w:p>
    <w:p w14:paraId="2609C5B5" w14:textId="7C90F01C" w:rsidR="009A2F70" w:rsidRPr="009A2F70" w:rsidRDefault="009A2F70" w:rsidP="009A2F70">
      <w:pPr>
        <w:pStyle w:val="Heading2"/>
        <w:rPr>
          <w:rFonts w:hint="eastAsia"/>
        </w:rPr>
      </w:pPr>
      <w:r>
        <w:t xml:space="preserve">Data </w:t>
      </w:r>
      <w:r>
        <w:t>Format</w:t>
      </w:r>
    </w:p>
    <w:p w14:paraId="4C569F2E" w14:textId="59295687" w:rsidR="005303BF" w:rsidRPr="006E6E51" w:rsidRDefault="009A2F70">
      <w:pPr>
        <w:pStyle w:val="FirstParagraph"/>
        <w:rPr>
          <w:rFonts w:ascii="Calibri" w:eastAsiaTheme="minorEastAsia" w:hAnsi="Calibri" w:cs="Calibri"/>
          <w:sz w:val="22"/>
          <w:szCs w:val="22"/>
        </w:rPr>
      </w:pPr>
      <w:proofErr w:type="spellStart"/>
      <w:r w:rsidRPr="006E6E51">
        <w:rPr>
          <w:rFonts w:ascii="Calibri" w:eastAsiaTheme="minorEastAsia" w:hAnsi="Calibri" w:cs="Calibri"/>
          <w:sz w:val="22"/>
          <w:szCs w:val="22"/>
        </w:rPr>
        <w:t>Bulk</w:t>
      </w:r>
      <w:r w:rsidR="006E6E51">
        <w:rPr>
          <w:rFonts w:ascii="Calibri" w:eastAsiaTheme="minorEastAsia" w:hAnsi="Calibri" w:cs="Calibri"/>
          <w:sz w:val="22"/>
          <w:szCs w:val="22"/>
        </w:rPr>
        <w:t>.</w:t>
      </w:r>
      <w:r w:rsidRPr="006E6E51">
        <w:rPr>
          <w:rFonts w:ascii="Calibri" w:eastAsiaTheme="minorEastAsia" w:hAnsi="Calibri" w:cs="Calibri"/>
          <w:sz w:val="22"/>
          <w:szCs w:val="22"/>
        </w:rPr>
        <w:t>data</w:t>
      </w:r>
      <w:proofErr w:type="spellEnd"/>
      <w:r w:rsidR="00000000" w:rsidRPr="006E6E51">
        <w:rPr>
          <w:rFonts w:ascii="Calibri" w:eastAsiaTheme="minorEastAsia" w:hAnsi="Calibri" w:cs="Calibri"/>
          <w:sz w:val="22"/>
          <w:szCs w:val="22"/>
        </w:rPr>
        <w:t>: The sample-by-gene raw count matrix of bulk RNA-seq expression. rownames are bulk sample IDs, while colnames are gene names/IDs.</w:t>
      </w:r>
    </w:p>
    <w:p w14:paraId="322575B6" w14:textId="1295B1D1" w:rsidR="005303BF" w:rsidRPr="006E6E51" w:rsidRDefault="009A2F70">
      <w:pPr>
        <w:pStyle w:val="BodyText"/>
        <w:rPr>
          <w:rFonts w:ascii="Calibri" w:eastAsiaTheme="minorEastAsia" w:hAnsi="Calibri" w:cs="Calibri"/>
          <w:sz w:val="22"/>
          <w:szCs w:val="22"/>
        </w:rPr>
      </w:pPr>
      <w:proofErr w:type="spellStart"/>
      <w:r w:rsidRPr="006E6E51">
        <w:rPr>
          <w:rFonts w:ascii="Calibri" w:eastAsiaTheme="minorEastAsia" w:hAnsi="Calibri" w:cs="Calibri"/>
          <w:sz w:val="22"/>
          <w:szCs w:val="22"/>
        </w:rPr>
        <w:t>scRNA</w:t>
      </w:r>
      <w:r w:rsidR="006E6E51">
        <w:rPr>
          <w:rFonts w:ascii="Calibri" w:eastAsiaTheme="minorEastAsia" w:hAnsi="Calibri" w:cs="Calibri"/>
          <w:sz w:val="22"/>
          <w:szCs w:val="22"/>
        </w:rPr>
        <w:t>.</w:t>
      </w:r>
      <w:r w:rsidRPr="006E6E51">
        <w:rPr>
          <w:rFonts w:ascii="Calibri" w:eastAsiaTheme="minorEastAsia" w:hAnsi="Calibri" w:cs="Calibri"/>
          <w:sz w:val="22"/>
          <w:szCs w:val="22"/>
        </w:rPr>
        <w:t>data</w:t>
      </w:r>
      <w:proofErr w:type="spellEnd"/>
      <w:r w:rsidR="00000000" w:rsidRPr="006E6E51">
        <w:rPr>
          <w:rFonts w:ascii="Calibri" w:eastAsiaTheme="minorEastAsia" w:hAnsi="Calibri" w:cs="Calibri"/>
          <w:sz w:val="22"/>
          <w:szCs w:val="22"/>
        </w:rPr>
        <w:t>: The cell-by-gene raw count matrix of bulk RNA-seq expression. rownames are bulk cell IDs, while colnames are gene names/IDs.</w:t>
      </w:r>
    </w:p>
    <w:p w14:paraId="11D600CB" w14:textId="6D9AB862" w:rsidR="006E6E51" w:rsidRDefault="00000000" w:rsidP="006E6E51">
      <w:pPr>
        <w:pStyle w:val="BodyText"/>
        <w:rPr>
          <w:rFonts w:ascii="Calibri" w:eastAsiaTheme="minorEastAsia" w:hAnsi="Calibri" w:cs="Calibri"/>
          <w:sz w:val="22"/>
          <w:szCs w:val="22"/>
        </w:rPr>
      </w:pPr>
      <w:proofErr w:type="spellStart"/>
      <w:proofErr w:type="gramStart"/>
      <w:r w:rsidRPr="006E6E51">
        <w:rPr>
          <w:rFonts w:ascii="Calibri" w:eastAsiaTheme="minorEastAsia" w:hAnsi="Calibri" w:cs="Calibri"/>
          <w:sz w:val="22"/>
          <w:szCs w:val="22"/>
        </w:rPr>
        <w:t>cell.type</w:t>
      </w:r>
      <w:proofErr w:type="gramEnd"/>
      <w:r w:rsidRPr="006E6E51">
        <w:rPr>
          <w:rFonts w:ascii="Calibri" w:eastAsiaTheme="minorEastAsia" w:hAnsi="Calibri" w:cs="Calibri"/>
          <w:sz w:val="22"/>
          <w:szCs w:val="22"/>
        </w:rPr>
        <w:t>.labels</w:t>
      </w:r>
      <w:proofErr w:type="spellEnd"/>
      <w:r w:rsidR="009A2F70" w:rsidRPr="006E6E51">
        <w:rPr>
          <w:rFonts w:ascii="Calibri" w:eastAsiaTheme="minorEastAsia" w:hAnsi="Calibri" w:cs="Calibri"/>
          <w:sz w:val="22"/>
          <w:szCs w:val="22"/>
        </w:rPr>
        <w:t>:</w:t>
      </w:r>
      <w:r w:rsidR="006E6E51">
        <w:rPr>
          <w:rFonts w:ascii="Calibri" w:eastAsiaTheme="minorEastAsia" w:hAnsi="Calibri" w:cs="Calibri"/>
          <w:sz w:val="22"/>
          <w:szCs w:val="22"/>
        </w:rPr>
        <w:t xml:space="preserve"> A </w:t>
      </w:r>
      <w:r w:rsidR="006E6E51">
        <w:rPr>
          <w:rFonts w:ascii="Helvetica" w:hAnsi="Helvetica"/>
          <w:color w:val="333333"/>
          <w:sz w:val="21"/>
          <w:szCs w:val="21"/>
          <w:shd w:val="clear" w:color="auto" w:fill="FFFFFF"/>
        </w:rPr>
        <w:t>character vector of the same length as</w:t>
      </w:r>
      <w:r w:rsidR="006E6E51">
        <w:rPr>
          <w:rFonts w:ascii="Helvetica" w:hAnsi="Helvetica"/>
          <w:color w:val="333333"/>
          <w:sz w:val="21"/>
          <w:szCs w:val="21"/>
          <w:shd w:val="clear" w:color="auto" w:fill="FFFFFF"/>
        </w:rPr>
        <w:t xml:space="preserve"> number of rows of </w:t>
      </w:r>
      <w:proofErr w:type="spellStart"/>
      <w:r w:rsidR="006E6E51">
        <w:rPr>
          <w:rFonts w:ascii="Helvetica" w:hAnsi="Helvetica"/>
          <w:color w:val="333333"/>
          <w:sz w:val="21"/>
          <w:szCs w:val="21"/>
          <w:shd w:val="clear" w:color="auto" w:fill="FFFFFF"/>
        </w:rPr>
        <w:t>scRNA</w:t>
      </w:r>
      <w:proofErr w:type="spellEnd"/>
      <w:r w:rsidR="006E6E51">
        <w:rPr>
          <w:rFonts w:ascii="Helvetica" w:hAnsi="Helvetica"/>
          <w:color w:val="333333"/>
          <w:sz w:val="21"/>
          <w:szCs w:val="21"/>
          <w:shd w:val="clear" w:color="auto" w:fill="FFFFFF"/>
        </w:rPr>
        <w:t xml:space="preserve"> data</w:t>
      </w:r>
      <w:r w:rsidR="006E6E51">
        <w:rPr>
          <w:rFonts w:ascii="Helvetica" w:hAnsi="Helvetica"/>
          <w:color w:val="333333"/>
          <w:sz w:val="21"/>
          <w:szCs w:val="21"/>
          <w:shd w:val="clear" w:color="auto" w:fill="FFFFFF"/>
        </w:rPr>
        <w:t> to denote the cell type of each cell in the reference.</w:t>
      </w:r>
    </w:p>
    <w:p w14:paraId="11EFB289" w14:textId="538308BD" w:rsidR="006E6E51" w:rsidRPr="006E6E51" w:rsidRDefault="00000000" w:rsidP="006E6E51">
      <w:pPr>
        <w:pStyle w:val="BodyText"/>
        <w:rPr>
          <w:rFonts w:ascii="Calibri" w:eastAsiaTheme="minorEastAsia" w:hAnsi="Calibri" w:cs="Calibri"/>
          <w:sz w:val="22"/>
          <w:szCs w:val="22"/>
        </w:rPr>
      </w:pPr>
      <w:proofErr w:type="spellStart"/>
      <w:proofErr w:type="gramStart"/>
      <w:r w:rsidRPr="006E6E51">
        <w:rPr>
          <w:rFonts w:ascii="Calibri" w:eastAsiaTheme="minorEastAsia" w:hAnsi="Calibri" w:cs="Calibri"/>
          <w:sz w:val="22"/>
          <w:szCs w:val="22"/>
        </w:rPr>
        <w:t>cell.state</w:t>
      </w:r>
      <w:proofErr w:type="gramEnd"/>
      <w:r w:rsidRPr="006E6E51">
        <w:rPr>
          <w:rFonts w:ascii="Calibri" w:eastAsiaTheme="minorEastAsia" w:hAnsi="Calibri" w:cs="Calibri"/>
          <w:sz w:val="22"/>
          <w:szCs w:val="22"/>
        </w:rPr>
        <w:t>.labels</w:t>
      </w:r>
      <w:proofErr w:type="spellEnd"/>
      <w:r w:rsidR="006E6E51">
        <w:rPr>
          <w:rFonts w:ascii="Calibri" w:eastAsiaTheme="minorEastAsia" w:hAnsi="Calibri" w:cs="Calibri"/>
          <w:sz w:val="22"/>
          <w:szCs w:val="22"/>
        </w:rPr>
        <w:t>:</w:t>
      </w:r>
      <w:r w:rsidRPr="006E6E51">
        <w:rPr>
          <w:rFonts w:ascii="Calibri" w:eastAsiaTheme="minorEastAsia" w:hAnsi="Calibri" w:cs="Calibri"/>
          <w:sz w:val="22"/>
          <w:szCs w:val="22"/>
        </w:rPr>
        <w:t xml:space="preserve"> is a character vector of the same length as </w:t>
      </w:r>
      <w:r w:rsidR="006E6E51">
        <w:rPr>
          <w:rFonts w:ascii="Helvetica" w:hAnsi="Helvetica"/>
          <w:color w:val="333333"/>
          <w:sz w:val="21"/>
          <w:szCs w:val="21"/>
          <w:shd w:val="clear" w:color="auto" w:fill="FFFFFF"/>
        </w:rPr>
        <w:t xml:space="preserve">number of rows of </w:t>
      </w:r>
      <w:proofErr w:type="spellStart"/>
      <w:r w:rsidR="006E6E51">
        <w:rPr>
          <w:rFonts w:ascii="Helvetica" w:hAnsi="Helvetica"/>
          <w:color w:val="333333"/>
          <w:sz w:val="21"/>
          <w:szCs w:val="21"/>
          <w:shd w:val="clear" w:color="auto" w:fill="FFFFFF"/>
        </w:rPr>
        <w:t>scRNA</w:t>
      </w:r>
      <w:proofErr w:type="spellEnd"/>
      <w:r w:rsidR="006E6E51">
        <w:rPr>
          <w:rFonts w:ascii="Helvetica" w:hAnsi="Helvetica"/>
          <w:color w:val="333333"/>
          <w:sz w:val="21"/>
          <w:szCs w:val="21"/>
          <w:shd w:val="clear" w:color="auto" w:fill="FFFFFF"/>
        </w:rPr>
        <w:t xml:space="preserve"> data</w:t>
      </w:r>
      <w:r w:rsidRPr="006E6E51">
        <w:rPr>
          <w:rFonts w:ascii="Calibri" w:eastAsiaTheme="minorEastAsia" w:hAnsi="Calibri" w:cs="Calibri"/>
          <w:sz w:val="22"/>
          <w:szCs w:val="22"/>
        </w:rPr>
        <w:t xml:space="preserve"> to denote the cell state of each cell in the reference.</w:t>
      </w:r>
      <w:r w:rsidR="006E6E51">
        <w:rPr>
          <w:rFonts w:ascii="Calibri" w:eastAsiaTheme="minorEastAsia" w:hAnsi="Calibri" w:cs="Calibri"/>
          <w:sz w:val="22"/>
          <w:szCs w:val="22"/>
        </w:rPr>
        <w:t xml:space="preserve"> This is only for input of the </w:t>
      </w:r>
      <w:proofErr w:type="spellStart"/>
      <w:r w:rsidR="006E6E51">
        <w:rPr>
          <w:rFonts w:ascii="Calibri" w:eastAsiaTheme="minorEastAsia" w:hAnsi="Calibri" w:cs="Calibri"/>
          <w:sz w:val="22"/>
          <w:szCs w:val="22"/>
        </w:rPr>
        <w:t>BayesPrism</w:t>
      </w:r>
      <w:proofErr w:type="spellEnd"/>
      <w:r w:rsidR="006E6E51">
        <w:rPr>
          <w:rFonts w:ascii="Calibri" w:eastAsiaTheme="minorEastAsia" w:hAnsi="Calibri" w:cs="Calibri"/>
          <w:sz w:val="22"/>
          <w:szCs w:val="22"/>
        </w:rPr>
        <w:t xml:space="preserve"> package.</w:t>
      </w:r>
      <w:r w:rsidRPr="006E6E51">
        <w:rPr>
          <w:rFonts w:ascii="Calibri" w:eastAsiaTheme="minorEastAsia" w:hAnsi="Calibri" w:cs="Calibri"/>
          <w:sz w:val="22"/>
          <w:szCs w:val="22"/>
        </w:rPr>
        <w:t xml:space="preserve"> In our </w:t>
      </w:r>
      <w:r w:rsidR="0079587F" w:rsidRPr="006E6E51">
        <w:rPr>
          <w:rFonts w:ascii="Calibri" w:eastAsiaTheme="minorEastAsia" w:hAnsi="Calibri" w:cs="Calibri"/>
          <w:sz w:val="22"/>
          <w:szCs w:val="22"/>
        </w:rPr>
        <w:t>example,</w:t>
      </w:r>
      <w:r w:rsidR="0079587F">
        <w:rPr>
          <w:rFonts w:ascii="Calibri" w:eastAsiaTheme="minorEastAsia" w:hAnsi="Calibri" w:cs="Calibri"/>
          <w:sz w:val="22"/>
          <w:szCs w:val="22"/>
        </w:rPr>
        <w:t xml:space="preserve"> we</w:t>
      </w:r>
      <w:r w:rsidR="006E6E51">
        <w:rPr>
          <w:rFonts w:ascii="Calibri" w:eastAsiaTheme="minorEastAsia" w:hAnsi="Calibri" w:cs="Calibri"/>
          <w:sz w:val="22"/>
          <w:szCs w:val="22"/>
        </w:rPr>
        <w:t xml:space="preserve"> are not studying tumor data, thus we ignore this input by setting “</w:t>
      </w:r>
      <w:r w:rsidR="006E6E51" w:rsidRPr="006E6E51">
        <w:rPr>
          <w:rFonts w:ascii="Calibri" w:eastAsiaTheme="minorEastAsia" w:hAnsi="Calibri" w:cs="Calibri"/>
          <w:sz w:val="22"/>
          <w:szCs w:val="22"/>
        </w:rPr>
        <w:t>key=NULL</w:t>
      </w:r>
      <w:r w:rsidR="006E6E51">
        <w:rPr>
          <w:rFonts w:ascii="Calibri" w:eastAsiaTheme="minorEastAsia" w:hAnsi="Calibri" w:cs="Calibri"/>
          <w:sz w:val="22"/>
          <w:szCs w:val="22"/>
        </w:rPr>
        <w:t xml:space="preserve">” in </w:t>
      </w:r>
      <w:r w:rsidR="006E6E51" w:rsidRPr="006E6E51">
        <w:rPr>
          <w:rFonts w:ascii="Calibri" w:eastAsiaTheme="minorEastAsia" w:hAnsi="Calibri" w:cs="Calibri"/>
          <w:sz w:val="22"/>
          <w:szCs w:val="22"/>
        </w:rPr>
        <w:t>prism</w:t>
      </w:r>
      <w:r w:rsidR="006E6E51">
        <w:rPr>
          <w:rFonts w:ascii="Calibri" w:eastAsiaTheme="minorEastAsia" w:hAnsi="Calibri" w:cs="Calibri"/>
          <w:sz w:val="22"/>
          <w:szCs w:val="22"/>
        </w:rPr>
        <w:t xml:space="preserve"> function.</w:t>
      </w:r>
      <w:bookmarkStart w:id="1" w:name="filter-outlier-genes"/>
      <w:bookmarkEnd w:id="0"/>
    </w:p>
    <w:p w14:paraId="00F12567" w14:textId="342CDFD1" w:rsidR="005303BF" w:rsidRDefault="00863EED">
      <w:pPr>
        <w:pStyle w:val="Heading2"/>
      </w:pPr>
      <w:r>
        <w:t xml:space="preserve">Data Preprocess: </w:t>
      </w:r>
      <w:r w:rsidR="00000000">
        <w:t>Filter outlier genes</w:t>
      </w:r>
    </w:p>
    <w:p w14:paraId="18F3D3AD" w14:textId="5EF4D8FD" w:rsidR="00FC162D" w:rsidRPr="00FC162D" w:rsidRDefault="00FC162D" w:rsidP="00EB6549">
      <w:pPr>
        <w:pStyle w:val="BodyText"/>
        <w:jc w:val="both"/>
        <w:rPr>
          <w:rFonts w:ascii="Calibri" w:eastAsiaTheme="minorEastAsia" w:hAnsi="Calibri" w:cs="Calibri"/>
          <w:sz w:val="22"/>
          <w:szCs w:val="22"/>
        </w:rPr>
      </w:pPr>
      <w:bookmarkStart w:id="2" w:name="construct-a-prism-object."/>
      <w:bookmarkEnd w:id="1"/>
      <w:r w:rsidRPr="00FC162D">
        <w:rPr>
          <w:rFonts w:ascii="Calibri" w:eastAsiaTheme="minorEastAsia" w:hAnsi="Calibri" w:cs="Calibri"/>
          <w:sz w:val="22"/>
          <w:szCs w:val="22"/>
        </w:rPr>
        <w:t xml:space="preserve">Highly expressed genes, such as those related to ribosomal proteins and mitochondrial functions, can disproportionately impact the gene expression distribution, introducing bias in the inference </w:t>
      </w:r>
      <w:r w:rsidRPr="00FC162D">
        <w:rPr>
          <w:rFonts w:ascii="Calibri" w:eastAsiaTheme="minorEastAsia" w:hAnsi="Calibri" w:cs="Calibri"/>
          <w:sz w:val="22"/>
          <w:szCs w:val="22"/>
        </w:rPr>
        <w:lastRenderedPageBreak/>
        <w:t>process. This bias may hinder the effective distinction of cell types, leading to significant spurious variation. To enhance accuracy and reliability, the author recommends excluding these genes during the deconvolution process.</w:t>
      </w:r>
    </w:p>
    <w:p w14:paraId="3E6EC66A" w14:textId="40BBAD7C" w:rsidR="00FC162D" w:rsidRPr="00FC162D" w:rsidRDefault="00FC162D" w:rsidP="00EB6549">
      <w:pPr>
        <w:pStyle w:val="BodyText"/>
        <w:jc w:val="both"/>
        <w:rPr>
          <w:rFonts w:ascii="Calibri" w:eastAsiaTheme="minorEastAsia" w:hAnsi="Calibri" w:cs="Calibri"/>
          <w:sz w:val="22"/>
          <w:szCs w:val="22"/>
        </w:rPr>
      </w:pPr>
      <w:r>
        <w:rPr>
          <w:rFonts w:ascii="Calibri" w:eastAsiaTheme="minorEastAsia" w:hAnsi="Calibri" w:cs="Calibri"/>
          <w:sz w:val="22"/>
          <w:szCs w:val="22"/>
        </w:rPr>
        <w:t xml:space="preserve">We </w:t>
      </w:r>
      <w:r w:rsidRPr="00FC162D">
        <w:rPr>
          <w:rFonts w:ascii="Calibri" w:eastAsiaTheme="minorEastAsia" w:hAnsi="Calibri" w:cs="Calibri"/>
          <w:sz w:val="22"/>
          <w:szCs w:val="22"/>
        </w:rPr>
        <w:t>can visualize outlier genes in the single-cell RNA sequencing (</w:t>
      </w:r>
      <w:proofErr w:type="spellStart"/>
      <w:r w:rsidRPr="00FC162D">
        <w:rPr>
          <w:rFonts w:ascii="Calibri" w:eastAsiaTheme="minorEastAsia" w:hAnsi="Calibri" w:cs="Calibri"/>
          <w:sz w:val="22"/>
          <w:szCs w:val="22"/>
        </w:rPr>
        <w:t>scRNA</w:t>
      </w:r>
      <w:proofErr w:type="spellEnd"/>
      <w:r w:rsidRPr="00FC162D">
        <w:rPr>
          <w:rFonts w:ascii="Calibri" w:eastAsiaTheme="minorEastAsia" w:hAnsi="Calibri" w:cs="Calibri"/>
          <w:sz w:val="22"/>
          <w:szCs w:val="22"/>
        </w:rPr>
        <w:t xml:space="preserve">-seq) reference, gaining insights through mean expression levels and cell type specificity scores computed across all cell types. This visualization identifies potential sources of variation within the </w:t>
      </w:r>
      <w:proofErr w:type="spellStart"/>
      <w:r w:rsidRPr="00FC162D">
        <w:rPr>
          <w:rFonts w:ascii="Calibri" w:eastAsiaTheme="minorEastAsia" w:hAnsi="Calibri" w:cs="Calibri"/>
          <w:sz w:val="22"/>
          <w:szCs w:val="22"/>
        </w:rPr>
        <w:t>scRNA</w:t>
      </w:r>
      <w:proofErr w:type="spellEnd"/>
      <w:r w:rsidRPr="00FC162D">
        <w:rPr>
          <w:rFonts w:ascii="Calibri" w:eastAsiaTheme="minorEastAsia" w:hAnsi="Calibri" w:cs="Calibri"/>
          <w:sz w:val="22"/>
          <w:szCs w:val="22"/>
        </w:rPr>
        <w:t>-seq reference.</w:t>
      </w:r>
    </w:p>
    <w:p w14:paraId="715AD6A9" w14:textId="150D9EC0" w:rsidR="00FC162D" w:rsidRDefault="00FC162D" w:rsidP="00EB6549">
      <w:pPr>
        <w:pStyle w:val="BodyText"/>
        <w:jc w:val="both"/>
        <w:rPr>
          <w:rFonts w:ascii="Calibri" w:eastAsiaTheme="minorEastAsia" w:hAnsi="Calibri" w:cs="Calibri"/>
          <w:sz w:val="22"/>
          <w:szCs w:val="22"/>
        </w:rPr>
      </w:pPr>
      <w:r w:rsidRPr="00FC162D">
        <w:rPr>
          <w:rFonts w:ascii="Calibri" w:eastAsiaTheme="minorEastAsia" w:hAnsi="Calibri" w:cs="Calibri"/>
          <w:sz w:val="22"/>
          <w:szCs w:val="22"/>
        </w:rPr>
        <w:t xml:space="preserve">A parallel analysis on bulk RNA-seq data calculates the average expression of each gene across all cell types, unveiling outlier genes in both </w:t>
      </w:r>
      <w:proofErr w:type="spellStart"/>
      <w:r w:rsidRPr="00FC162D">
        <w:rPr>
          <w:rFonts w:ascii="Calibri" w:eastAsiaTheme="minorEastAsia" w:hAnsi="Calibri" w:cs="Calibri"/>
          <w:sz w:val="22"/>
          <w:szCs w:val="22"/>
        </w:rPr>
        <w:t>scRNA</w:t>
      </w:r>
      <w:proofErr w:type="spellEnd"/>
      <w:r w:rsidRPr="00FC162D">
        <w:rPr>
          <w:rFonts w:ascii="Calibri" w:eastAsiaTheme="minorEastAsia" w:hAnsi="Calibri" w:cs="Calibri"/>
          <w:sz w:val="22"/>
          <w:szCs w:val="22"/>
        </w:rPr>
        <w:t>-seq and bulk RNA-seq datasets. Using the PBMC dataset as an example, resulting plots highlight outliers in both data types, visually illustrating the impact of these genes on the overall gene expression landscape.</w:t>
      </w:r>
      <w:r>
        <w:rPr>
          <w:rFonts w:ascii="Calibri" w:eastAsiaTheme="minorEastAsia" w:hAnsi="Calibri" w:cs="Calibri"/>
          <w:sz w:val="22"/>
          <w:szCs w:val="22"/>
        </w:rPr>
        <w:t xml:space="preserve"> </w:t>
      </w:r>
      <w:r w:rsidRPr="00FC162D">
        <w:rPr>
          <w:rFonts w:ascii="Calibri" w:eastAsiaTheme="minorEastAsia" w:hAnsi="Calibri" w:cs="Calibri"/>
          <w:sz w:val="22"/>
          <w:szCs w:val="22"/>
        </w:rPr>
        <w:t>Here is the plot showcasing outlier genes within the PBMC dataset.</w:t>
      </w:r>
    </w:p>
    <w:p w14:paraId="64ACD05F" w14:textId="6E7438CD" w:rsidR="0079587F" w:rsidRPr="0079587F" w:rsidRDefault="0079587F" w:rsidP="00863EED">
      <w:pPr>
        <w:pStyle w:val="BodyText"/>
      </w:pPr>
      <w:r>
        <w:rPr>
          <w:noProof/>
        </w:rPr>
        <w:drawing>
          <wp:inline distT="0" distB="0" distL="0" distR="0" wp14:anchorId="4D1AFDD9" wp14:editId="6C552EA9">
            <wp:extent cx="5258002" cy="2592729"/>
            <wp:effectExtent l="0" t="0" r="0" b="0"/>
            <wp:docPr id="136562890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28903" name="Picture 1" descr="A graph of different colored dot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6050" b="4051"/>
                    <a:stretch/>
                  </pic:blipFill>
                  <pic:spPr bwMode="auto">
                    <a:xfrm>
                      <a:off x="0" y="0"/>
                      <a:ext cx="5259517" cy="2593476"/>
                    </a:xfrm>
                    <a:prstGeom prst="rect">
                      <a:avLst/>
                    </a:prstGeom>
                    <a:noFill/>
                    <a:ln>
                      <a:noFill/>
                    </a:ln>
                    <a:extLst>
                      <a:ext uri="{53640926-AAD7-44D8-BBD7-CCE9431645EC}">
                        <a14:shadowObscured xmlns:a14="http://schemas.microsoft.com/office/drawing/2010/main"/>
                      </a:ext>
                    </a:extLst>
                  </pic:spPr>
                </pic:pic>
              </a:graphicData>
            </a:graphic>
          </wp:inline>
        </w:drawing>
      </w:r>
    </w:p>
    <w:p w14:paraId="19203FB2" w14:textId="71A474EF" w:rsidR="006E6E51" w:rsidRDefault="0079587F" w:rsidP="0079587F">
      <w:pPr>
        <w:pStyle w:val="Caption"/>
        <w:jc w:val="center"/>
      </w:pPr>
      <w:r>
        <w:t xml:space="preserve">Figure </w:t>
      </w:r>
      <w:fldSimple w:instr=" SEQ Figure \* ARABIC ">
        <w:r w:rsidR="003C33F1">
          <w:rPr>
            <w:noProof/>
          </w:rPr>
          <w:t>1</w:t>
        </w:r>
      </w:fldSimple>
      <w:r>
        <w:t xml:space="preserve"> </w:t>
      </w:r>
      <w:r w:rsidRPr="005217F6">
        <w:t xml:space="preserve">outlier genes in </w:t>
      </w:r>
      <w:proofErr w:type="spellStart"/>
      <w:r>
        <w:t>sc</w:t>
      </w:r>
      <w:r w:rsidRPr="005217F6">
        <w:t>RNA</w:t>
      </w:r>
      <w:proofErr w:type="spellEnd"/>
      <w:r w:rsidRPr="005217F6">
        <w:t>-seq</w:t>
      </w:r>
      <w:r>
        <w:t xml:space="preserve"> (PBMC)</w:t>
      </w:r>
    </w:p>
    <w:p w14:paraId="19C16086" w14:textId="77777777" w:rsidR="0079587F" w:rsidRDefault="0079587F" w:rsidP="003C33F1">
      <w:pPr>
        <w:pStyle w:val="BodyText"/>
        <w:rPr>
          <w:noProof/>
        </w:rPr>
      </w:pPr>
      <w:r>
        <w:rPr>
          <w:noProof/>
        </w:rPr>
        <w:drawing>
          <wp:inline distT="0" distB="0" distL="0" distR="0" wp14:anchorId="339584DE" wp14:editId="09F712DD">
            <wp:extent cx="5278120" cy="2534856"/>
            <wp:effectExtent l="0" t="0" r="0" b="0"/>
            <wp:docPr id="1196323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17231" b="4949"/>
                    <a:stretch/>
                  </pic:blipFill>
                  <pic:spPr bwMode="auto">
                    <a:xfrm>
                      <a:off x="0" y="0"/>
                      <a:ext cx="5307687" cy="2549056"/>
                    </a:xfrm>
                    <a:prstGeom prst="rect">
                      <a:avLst/>
                    </a:prstGeom>
                    <a:noFill/>
                    <a:ln>
                      <a:noFill/>
                    </a:ln>
                    <a:extLst>
                      <a:ext uri="{53640926-AAD7-44D8-BBD7-CCE9431645EC}">
                        <a14:shadowObscured xmlns:a14="http://schemas.microsoft.com/office/drawing/2010/main"/>
                      </a:ext>
                    </a:extLst>
                  </pic:spPr>
                </pic:pic>
              </a:graphicData>
            </a:graphic>
          </wp:inline>
        </w:drawing>
      </w:r>
    </w:p>
    <w:p w14:paraId="5FB27198" w14:textId="10F25808" w:rsidR="0079587F" w:rsidRDefault="0079587F" w:rsidP="003C33F1">
      <w:pPr>
        <w:pStyle w:val="BodyText"/>
        <w:jc w:val="center"/>
      </w:pPr>
      <w:r>
        <w:rPr>
          <w:noProof/>
        </w:rPr>
        <w:t xml:space="preserve">Figure </w:t>
      </w:r>
      <w:r>
        <w:rPr>
          <w:noProof/>
        </w:rPr>
        <w:fldChar w:fldCharType="begin"/>
      </w:r>
      <w:r>
        <w:rPr>
          <w:noProof/>
        </w:rPr>
        <w:instrText xml:space="preserve"> SEQ Figure \* ARABIC </w:instrText>
      </w:r>
      <w:r>
        <w:rPr>
          <w:noProof/>
        </w:rPr>
        <w:fldChar w:fldCharType="separate"/>
      </w:r>
      <w:r w:rsidR="003C33F1">
        <w:rPr>
          <w:noProof/>
        </w:rPr>
        <w:t>2</w:t>
      </w:r>
      <w:r>
        <w:rPr>
          <w:noProof/>
        </w:rPr>
        <w:fldChar w:fldCharType="end"/>
      </w:r>
      <w:r>
        <w:rPr>
          <w:noProof/>
        </w:rPr>
        <w:t xml:space="preserve"> </w:t>
      </w:r>
      <w:r>
        <w:rPr>
          <w:rFonts w:hint="eastAsia"/>
          <w:noProof/>
        </w:rPr>
        <w:t>out</w:t>
      </w:r>
      <w:r>
        <w:t>lier genes in bulk data (PBMC)</w:t>
      </w:r>
    </w:p>
    <w:p w14:paraId="1B262554" w14:textId="77777777" w:rsidR="00A32565" w:rsidRDefault="00A32565">
      <w:pPr>
        <w:pStyle w:val="Heading2"/>
      </w:pPr>
      <w:r>
        <w:lastRenderedPageBreak/>
        <w:t>Evaluation matrix</w:t>
      </w:r>
    </w:p>
    <w:p w14:paraId="12ED2FCC" w14:textId="549E0AC5" w:rsidR="00EB6549" w:rsidRDefault="00EB6549" w:rsidP="00EB6549">
      <w:pPr>
        <w:pStyle w:val="NormalWeb"/>
        <w:spacing w:before="200" w:beforeAutospacing="0" w:after="0" w:afterAutospacing="0"/>
        <w:ind w:left="540"/>
        <w:rPr>
          <w:rFonts w:ascii="Calibri" w:hAnsi="Calibri" w:cs="Calibri"/>
          <w:sz w:val="22"/>
          <w:szCs w:val="22"/>
        </w:rPr>
      </w:pPr>
      <w:bookmarkStart w:id="3" w:name="analysis-pbmc"/>
      <w:bookmarkEnd w:id="2"/>
      <w:r>
        <w:rPr>
          <w:rFonts w:ascii="Calibri" w:hAnsi="Calibri" w:cs="Calibri"/>
          <w:sz w:val="22"/>
          <w:szCs w:val="22"/>
        </w:rPr>
        <w:t>The formula for Mean Square Error at the cell-type-level is:</w:t>
      </w:r>
    </w:p>
    <w:p w14:paraId="304F6A0B" w14:textId="77777777" w:rsidR="00EB6549" w:rsidRDefault="00EB6549" w:rsidP="00EB654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A40607" w14:textId="54543A00" w:rsidR="00EB6549" w:rsidRDefault="00EB6549" w:rsidP="00EB6549">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042498A5" wp14:editId="17EF59C9">
            <wp:extent cx="3888740" cy="516255"/>
            <wp:effectExtent l="0" t="0" r="0" b="0"/>
            <wp:docPr id="2018717588"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17588" name="Picture 9" descr="A black text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740" cy="516255"/>
                    </a:xfrm>
                    <a:prstGeom prst="rect">
                      <a:avLst/>
                    </a:prstGeom>
                    <a:noFill/>
                    <a:ln>
                      <a:noFill/>
                    </a:ln>
                  </pic:spPr>
                </pic:pic>
              </a:graphicData>
            </a:graphic>
          </wp:inline>
        </w:drawing>
      </w:r>
    </w:p>
    <w:p w14:paraId="3C88392C" w14:textId="77777777" w:rsidR="00EB6549" w:rsidRDefault="00EB6549" w:rsidP="00EB65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r>
        <w:rPr>
          <w:rFonts w:ascii="Calibri" w:hAnsi="Calibri" w:cs="Calibri" w:hint="eastAsia"/>
          <w:sz w:val="22"/>
          <w:szCs w:val="22"/>
        </w:rPr>
        <w:t xml:space="preserve"> </w:t>
      </w:r>
    </w:p>
    <w:p w14:paraId="510625EC" w14:textId="77777777" w:rsidR="00EB6549" w:rsidRDefault="00EB6549" w:rsidP="00EB6549">
      <w:pPr>
        <w:pStyle w:val="NormalWeb"/>
        <w:spacing w:before="180" w:beforeAutospacing="0" w:after="0" w:afterAutospacing="0"/>
        <w:ind w:left="540"/>
        <w:rPr>
          <w:rFonts w:ascii="Calibri" w:hAnsi="Calibri" w:cs="Calibri"/>
          <w:sz w:val="22"/>
          <w:szCs w:val="22"/>
        </w:rPr>
      </w:pPr>
      <w:r>
        <w:rPr>
          <w:rFonts w:ascii="Calibri" w:hAnsi="Calibri" w:cs="Calibri"/>
          <w:sz w:val="22"/>
          <w:szCs w:val="22"/>
        </w:rPr>
        <w:t>The Pearson Correlation coefficient is:</w:t>
      </w:r>
    </w:p>
    <w:p w14:paraId="73E9BFE0" w14:textId="77777777" w:rsidR="00EB6549" w:rsidRDefault="00EB6549" w:rsidP="00EB654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972D8DA" w14:textId="77777777" w:rsidR="00EB6549" w:rsidRDefault="00EB6549" w:rsidP="00EB654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
    <w:p w14:paraId="75F6135C" w14:textId="02E5EBBD" w:rsidR="00EB6549" w:rsidRDefault="00EB6549" w:rsidP="00EB6549">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0B00AA71" wp14:editId="0DEE1D47">
            <wp:extent cx="4286885" cy="610870"/>
            <wp:effectExtent l="0" t="0" r="0" b="0"/>
            <wp:docPr id="2017226926" name="Picture 8"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26926" name="Picture 8" descr="A mathematical equation with numbers and symbo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610870"/>
                    </a:xfrm>
                    <a:prstGeom prst="rect">
                      <a:avLst/>
                    </a:prstGeom>
                    <a:noFill/>
                    <a:ln>
                      <a:noFill/>
                    </a:ln>
                  </pic:spPr>
                </pic:pic>
              </a:graphicData>
            </a:graphic>
          </wp:inline>
        </w:drawing>
      </w:r>
    </w:p>
    <w:p w14:paraId="7C51AD66" w14:textId="77777777" w:rsidR="00EB6549" w:rsidRDefault="00EB6549" w:rsidP="00EB6549">
      <w:pPr>
        <w:pStyle w:val="NormalWeb"/>
        <w:spacing w:beforeAutospacing="0" w:after="0" w:afterAutospacing="0"/>
        <w:ind w:left="540"/>
        <w:rPr>
          <w:rFonts w:ascii="Calibri" w:hAnsi="Calibri" w:cs="Calibri"/>
          <w:sz w:val="22"/>
          <w:szCs w:val="22"/>
        </w:rPr>
      </w:pPr>
      <w:proofErr w:type="gramStart"/>
      <w:r>
        <w:rPr>
          <w:rFonts w:ascii="Calibri" w:hAnsi="Calibri" w:cs="Calibri"/>
          <w:sz w:val="22"/>
          <w:szCs w:val="22"/>
        </w:rPr>
        <w:t>For  sample</w:t>
      </w:r>
      <w:proofErr w:type="gramEnd"/>
      <w:r>
        <w:rPr>
          <w:rFonts w:ascii="Calibri" w:hAnsi="Calibri" w:cs="Calibri"/>
          <w:sz w:val="22"/>
          <w:szCs w:val="22"/>
        </w:rPr>
        <w:t xml:space="preserve">-level analysis, we compare the columns of </w:t>
      </w:r>
      <w:r>
        <w:rPr>
          <w:rFonts w:ascii="Calibri" w:hAnsi="Calibri" w:cs="Calibri"/>
          <w:b/>
          <w:bCs/>
          <w:sz w:val="22"/>
          <w:szCs w:val="22"/>
        </w:rPr>
        <w:t>P</w:t>
      </w:r>
      <w:r>
        <w:rPr>
          <w:rFonts w:ascii="Calibri" w:hAnsi="Calibri" w:cs="Calibri"/>
          <w:b/>
          <w:bCs/>
          <w:sz w:val="22"/>
          <w:szCs w:val="22"/>
          <w:vertAlign w:val="superscript"/>
        </w:rPr>
        <w:t xml:space="preserve">ˆ </w:t>
      </w:r>
      <w:r>
        <w:rPr>
          <w:rFonts w:ascii="Calibri" w:hAnsi="Calibri" w:cs="Calibri"/>
          <w:sz w:val="22"/>
          <w:szCs w:val="22"/>
        </w:rPr>
        <w:t xml:space="preserve">and </w:t>
      </w:r>
      <w:r>
        <w:rPr>
          <w:rFonts w:ascii="Calibri" w:hAnsi="Calibri" w:cs="Calibri"/>
          <w:b/>
          <w:bCs/>
          <w:sz w:val="22"/>
          <w:szCs w:val="22"/>
        </w:rPr>
        <w:t xml:space="preserve">P </w:t>
      </w:r>
      <w:r>
        <w:rPr>
          <w:rFonts w:ascii="Calibri" w:hAnsi="Calibri" w:cs="Calibri"/>
          <w:sz w:val="22"/>
          <w:szCs w:val="22"/>
        </w:rPr>
        <w:t>using similar metrics. The formulas are as follows:</w:t>
      </w:r>
    </w:p>
    <w:p w14:paraId="6476215B" w14:textId="65313DBC" w:rsidR="00EB6549" w:rsidRDefault="00EB6549" w:rsidP="00EB6549">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339762E1" wp14:editId="5D7ED153">
            <wp:extent cx="4037965" cy="552450"/>
            <wp:effectExtent l="0" t="0" r="0" b="0"/>
            <wp:docPr id="2139486768" name="Picture 7"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86768" name="Picture 7" descr="A math equation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965" cy="552450"/>
                    </a:xfrm>
                    <a:prstGeom prst="rect">
                      <a:avLst/>
                    </a:prstGeom>
                    <a:noFill/>
                    <a:ln>
                      <a:noFill/>
                    </a:ln>
                  </pic:spPr>
                </pic:pic>
              </a:graphicData>
            </a:graphic>
          </wp:inline>
        </w:drawing>
      </w:r>
    </w:p>
    <w:p w14:paraId="22EA9147" w14:textId="77777777" w:rsidR="00EB6549" w:rsidRDefault="00EB6549" w:rsidP="00EB654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BD415E1" w14:textId="7FAB7967" w:rsidR="00EB6549" w:rsidRDefault="00EB6549" w:rsidP="00EB6549">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51B9238F" wp14:editId="1D8B2F8A">
            <wp:extent cx="4314190" cy="542925"/>
            <wp:effectExtent l="0" t="0" r="0" b="0"/>
            <wp:docPr id="147841041" name="Picture 6"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1041" name="Picture 6" descr="A math equations and formula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190" cy="542925"/>
                    </a:xfrm>
                    <a:prstGeom prst="rect">
                      <a:avLst/>
                    </a:prstGeom>
                    <a:noFill/>
                    <a:ln>
                      <a:noFill/>
                    </a:ln>
                  </pic:spPr>
                </pic:pic>
              </a:graphicData>
            </a:graphic>
          </wp:inline>
        </w:drawing>
      </w:r>
    </w:p>
    <w:p w14:paraId="32581E59" w14:textId="77777777" w:rsidR="00EB6549" w:rsidRDefault="00EB6549" w:rsidP="00EB6549">
      <w:pPr>
        <w:pStyle w:val="NormalWeb"/>
        <w:spacing w:beforeAutospacing="0" w:after="0" w:afterAutospacing="0"/>
        <w:ind w:left="540"/>
        <w:rPr>
          <w:rFonts w:ascii="Calibri" w:hAnsi="Calibri" w:cs="Calibri"/>
          <w:sz w:val="22"/>
          <w:szCs w:val="22"/>
        </w:rPr>
      </w:pPr>
      <w:r>
        <w:rPr>
          <w:rFonts w:ascii="Calibri" w:hAnsi="Calibri" w:cs="Calibri"/>
          <w:sz w:val="22"/>
          <w:szCs w:val="22"/>
        </w:rPr>
        <w:t>For the overall matrix evaluation, the MSE is given by:</w:t>
      </w:r>
    </w:p>
    <w:p w14:paraId="79910C5A" w14:textId="77777777" w:rsidR="00EB6549" w:rsidRDefault="00EB6549" w:rsidP="00EB654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93D899" w14:textId="5624DBF2" w:rsidR="00EB6549" w:rsidRDefault="00EB6549" w:rsidP="00EB6549">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46960C46" wp14:editId="760C6FAB">
            <wp:extent cx="4146550" cy="516255"/>
            <wp:effectExtent l="0" t="0" r="0" b="0"/>
            <wp:docPr id="1936545409"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45409" name="Picture 5" descr="A black text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550" cy="516255"/>
                    </a:xfrm>
                    <a:prstGeom prst="rect">
                      <a:avLst/>
                    </a:prstGeom>
                    <a:noFill/>
                    <a:ln>
                      <a:noFill/>
                    </a:ln>
                  </pic:spPr>
                </pic:pic>
              </a:graphicData>
            </a:graphic>
          </wp:inline>
        </w:drawing>
      </w:r>
    </w:p>
    <w:p w14:paraId="5EE941D1" w14:textId="77777777" w:rsidR="00EB6549" w:rsidRDefault="00EB6549" w:rsidP="00EB654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 </w:t>
      </w:r>
    </w:p>
    <w:p w14:paraId="358EDFC5" w14:textId="77777777" w:rsidR="00EB6549" w:rsidRDefault="00EB6549" w:rsidP="00EB6549">
      <w:pPr>
        <w:pStyle w:val="NormalWeb"/>
        <w:spacing w:before="180" w:beforeAutospacing="0" w:after="0" w:afterAutospacing="0"/>
        <w:ind w:left="540"/>
        <w:rPr>
          <w:rFonts w:ascii="Calibri" w:hAnsi="Calibri" w:cs="Calibri"/>
          <w:sz w:val="22"/>
          <w:szCs w:val="22"/>
        </w:rPr>
      </w:pPr>
      <w:r>
        <w:rPr>
          <w:rFonts w:ascii="Calibri" w:hAnsi="Calibri" w:cs="Calibri"/>
          <w:sz w:val="22"/>
          <w:szCs w:val="22"/>
        </w:rPr>
        <w:t>And the overall Pearson Correlation coefficient is calculated as:</w:t>
      </w:r>
    </w:p>
    <w:p w14:paraId="452B512C" w14:textId="77777777" w:rsidR="00EB6549" w:rsidRDefault="00EB6549" w:rsidP="00EB654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2F4DD7" w14:textId="02E8D6B4" w:rsidR="00A32565" w:rsidRPr="00EB6549" w:rsidRDefault="00EB6549" w:rsidP="00EB6549">
      <w:pPr>
        <w:pStyle w:val="NormalWeb"/>
        <w:spacing w:before="0" w:beforeAutospacing="0" w:after="0" w:afterAutospacing="0"/>
        <w:ind w:left="1080"/>
        <w:rPr>
          <w:rFonts w:ascii="Calibri" w:hAnsi="Calibri" w:cs="Calibri" w:hint="eastAsia"/>
          <w:sz w:val="22"/>
          <w:szCs w:val="22"/>
        </w:rPr>
      </w:pPr>
      <w:r>
        <w:rPr>
          <w:rFonts w:ascii="Calibri" w:hAnsi="Calibri" w:cs="Calibri"/>
          <w:noProof/>
          <w:sz w:val="22"/>
          <w:szCs w:val="22"/>
        </w:rPr>
        <w:drawing>
          <wp:inline distT="0" distB="0" distL="0" distR="0" wp14:anchorId="0561C5C8" wp14:editId="41855341">
            <wp:extent cx="4744085" cy="638175"/>
            <wp:effectExtent l="0" t="0" r="0" b="0"/>
            <wp:docPr id="1073298476" name="Picture 4" descr="A mathematical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98476" name="Picture 4" descr="A mathematical equations and formula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085" cy="638175"/>
                    </a:xfrm>
                    <a:prstGeom prst="rect">
                      <a:avLst/>
                    </a:prstGeom>
                    <a:noFill/>
                    <a:ln>
                      <a:noFill/>
                    </a:ln>
                  </pic:spPr>
                </pic:pic>
              </a:graphicData>
            </a:graphic>
          </wp:inline>
        </w:drawing>
      </w:r>
    </w:p>
    <w:p w14:paraId="28618CE2" w14:textId="0668B301" w:rsidR="005303BF" w:rsidRDefault="00000000">
      <w:pPr>
        <w:pStyle w:val="Heading2"/>
      </w:pPr>
      <w:r>
        <w:t>Analysis PBMC</w:t>
      </w:r>
      <w:r w:rsidR="00976CD9">
        <w:t xml:space="preserve"> data</w:t>
      </w:r>
    </w:p>
    <w:p w14:paraId="594BD9B2" w14:textId="77777777" w:rsidR="00EB6549" w:rsidRDefault="00FC162D" w:rsidP="00EB6549">
      <w:pPr>
        <w:pStyle w:val="BodyText"/>
        <w:jc w:val="both"/>
        <w:rPr>
          <w:rFonts w:ascii="Calibri" w:eastAsiaTheme="minorEastAsia" w:hAnsi="Calibri" w:cs="Calibri"/>
          <w:sz w:val="22"/>
          <w:szCs w:val="22"/>
        </w:rPr>
      </w:pPr>
      <w:r>
        <w:rPr>
          <w:rFonts w:ascii="Calibri" w:eastAsiaTheme="minorEastAsia" w:hAnsi="Calibri" w:cs="Calibri"/>
          <w:sz w:val="22"/>
          <w:szCs w:val="22"/>
        </w:rPr>
        <w:t>We can find the</w:t>
      </w:r>
      <w:r w:rsidRPr="00FC162D">
        <w:rPr>
          <w:rFonts w:ascii="Calibri" w:eastAsiaTheme="minorEastAsia" w:hAnsi="Calibri" w:cs="Calibri" w:hint="eastAsia"/>
          <w:sz w:val="22"/>
          <w:szCs w:val="22"/>
        </w:rPr>
        <w:t xml:space="preserve"> ground truth (denoted as </w:t>
      </w:r>
      <m:oMath>
        <m:r>
          <w:rPr>
            <w:rFonts w:ascii="Cambria Math" w:eastAsiaTheme="minorEastAsia" w:hAnsi="Cambria Math" w:cs="Calibri"/>
            <w:sz w:val="22"/>
            <w:szCs w:val="22"/>
          </w:rPr>
          <m:t>P</m:t>
        </m:r>
      </m:oMath>
      <w:r w:rsidRPr="00FC162D">
        <w:rPr>
          <w:rFonts w:ascii="Calibri" w:eastAsiaTheme="minorEastAsia" w:hAnsi="Calibri" w:cs="Calibri" w:hint="eastAsia"/>
          <w:sz w:val="22"/>
          <w:szCs w:val="22"/>
        </w:rPr>
        <w:t xml:space="preserve"> </w:t>
      </w:r>
      <w:r w:rsidRPr="00FC162D">
        <w:rPr>
          <w:rFonts w:ascii="Calibri" w:eastAsiaTheme="minorEastAsia" w:hAnsi="Calibri" w:cs="Calibri" w:hint="eastAsia"/>
          <w:sz w:val="22"/>
          <w:szCs w:val="22"/>
        </w:rPr>
        <w:t>∈</w:t>
      </w:r>
      <w:r w:rsidRPr="00FC162D">
        <w:rPr>
          <w:rFonts w:ascii="Calibri" w:eastAsiaTheme="minorEastAsia" w:hAnsi="Calibri" w:cs="Calibri" w:hint="eastAsia"/>
          <w:sz w:val="22"/>
          <w:szCs w:val="22"/>
        </w:rPr>
        <w:t xml:space="preserve"> </w:t>
      </w:r>
      <m:oMath>
        <m:r>
          <w:rPr>
            <w:rFonts w:ascii="Cambria Math" w:eastAsiaTheme="minorEastAsia" w:hAnsi="Cambria Math" w:cs="Calibri"/>
            <w:sz w:val="22"/>
            <w:szCs w:val="22"/>
          </w:rPr>
          <m:t>R</m:t>
        </m:r>
      </m:oMath>
      <w:r w:rsidR="00A32565" w:rsidRPr="00E34B37">
        <w:rPr>
          <w:rFonts w:ascii="Calibri" w:eastAsiaTheme="minorEastAsia" w:hAnsi="Calibri" w:cs="Calibri"/>
          <w:sz w:val="22"/>
          <w:szCs w:val="22"/>
        </w:rPr>
        <w:t xml:space="preserve"> </w:t>
      </w:r>
      <w:r w:rsidRPr="00FC162D">
        <w:rPr>
          <w:rFonts w:ascii="Calibri" w:eastAsiaTheme="minorEastAsia" w:hAnsi="Calibri" w:cs="Calibri" w:hint="eastAsia"/>
          <w:sz w:val="22"/>
          <w:szCs w:val="22"/>
          <w:vertAlign w:val="superscript"/>
        </w:rPr>
        <w:t>K</w:t>
      </w:r>
      <w:r w:rsidRPr="00FC162D">
        <w:rPr>
          <w:rFonts w:ascii="Calibri" w:eastAsiaTheme="minorEastAsia" w:hAnsi="Calibri" w:cs="Calibri" w:hint="eastAsia"/>
          <w:sz w:val="22"/>
          <w:szCs w:val="22"/>
          <w:vertAlign w:val="superscript"/>
        </w:rPr>
        <w:t>×</w:t>
      </w:r>
      <w:proofErr w:type="gramStart"/>
      <w:r w:rsidRPr="00FC162D">
        <w:rPr>
          <w:rFonts w:ascii="Calibri" w:eastAsiaTheme="minorEastAsia" w:hAnsi="Calibri" w:cs="Calibri" w:hint="eastAsia"/>
          <w:sz w:val="22"/>
          <w:szCs w:val="22"/>
          <w:vertAlign w:val="superscript"/>
        </w:rPr>
        <w:t>S</w:t>
      </w:r>
      <w:r w:rsidRPr="00FC162D">
        <w:rPr>
          <w:rFonts w:ascii="Calibri" w:eastAsiaTheme="minorEastAsia" w:hAnsi="Calibri" w:cs="Calibri" w:hint="eastAsia"/>
          <w:sz w:val="22"/>
          <w:szCs w:val="22"/>
        </w:rPr>
        <w:t xml:space="preserve"> )</w:t>
      </w:r>
      <w:proofErr w:type="gramEnd"/>
      <w:r w:rsidRPr="00FC162D">
        <w:rPr>
          <w:rFonts w:ascii="Calibri" w:eastAsiaTheme="minorEastAsia" w:hAnsi="Calibri" w:cs="Calibri" w:hint="eastAsia"/>
          <w:sz w:val="22"/>
          <w:szCs w:val="22"/>
        </w:rPr>
        <w:t xml:space="preserve"> </w:t>
      </w:r>
      <w:r w:rsidR="00EB6549" w:rsidRPr="00EB6549">
        <w:rPr>
          <w:rFonts w:ascii="Calibri" w:eastAsiaTheme="minorEastAsia" w:hAnsi="Calibri" w:cs="Calibri"/>
          <w:sz w:val="22"/>
          <w:szCs w:val="22"/>
        </w:rPr>
        <w:t xml:space="preserve">for the dataset labeled "Ground truth whole blood (txt)" is available on the </w:t>
      </w:r>
      <w:proofErr w:type="spellStart"/>
      <w:r w:rsidR="00EB6549" w:rsidRPr="00EB6549">
        <w:rPr>
          <w:rFonts w:ascii="Calibri" w:eastAsiaTheme="minorEastAsia" w:hAnsi="Calibri" w:cs="Calibri"/>
          <w:sz w:val="22"/>
          <w:szCs w:val="22"/>
        </w:rPr>
        <w:t>CybersortX</w:t>
      </w:r>
      <w:proofErr w:type="spellEnd"/>
      <w:r w:rsidR="00EB6549" w:rsidRPr="00EB6549">
        <w:rPr>
          <w:rFonts w:ascii="Calibri" w:eastAsiaTheme="minorEastAsia" w:hAnsi="Calibri" w:cs="Calibri"/>
          <w:sz w:val="22"/>
          <w:szCs w:val="22"/>
        </w:rPr>
        <w:t xml:space="preserve"> website. This matrix comprises the true proportions of eight cell types across 12 samples. However, both </w:t>
      </w:r>
      <w:proofErr w:type="spellStart"/>
      <w:r w:rsidR="00EB6549" w:rsidRPr="00EB6549">
        <w:rPr>
          <w:rFonts w:ascii="Calibri" w:eastAsiaTheme="minorEastAsia" w:hAnsi="Calibri" w:cs="Calibri"/>
          <w:sz w:val="22"/>
          <w:szCs w:val="22"/>
        </w:rPr>
        <w:t>CybersortX</w:t>
      </w:r>
      <w:proofErr w:type="spellEnd"/>
      <w:r w:rsidR="00EB6549" w:rsidRPr="00EB6549">
        <w:rPr>
          <w:rFonts w:ascii="Calibri" w:eastAsiaTheme="minorEastAsia" w:hAnsi="Calibri" w:cs="Calibri"/>
          <w:sz w:val="22"/>
          <w:szCs w:val="22"/>
        </w:rPr>
        <w:t xml:space="preserve"> (abbreviated as </w:t>
      </w:r>
      <w:proofErr w:type="spellStart"/>
      <w:r w:rsidR="00EB6549" w:rsidRPr="00EB6549">
        <w:rPr>
          <w:rFonts w:ascii="Calibri" w:eastAsiaTheme="minorEastAsia" w:hAnsi="Calibri" w:cs="Calibri"/>
          <w:sz w:val="22"/>
          <w:szCs w:val="22"/>
        </w:rPr>
        <w:t>Cyb</w:t>
      </w:r>
      <w:proofErr w:type="spellEnd"/>
      <w:r w:rsidR="00EB6549" w:rsidRPr="00EB6549">
        <w:rPr>
          <w:rFonts w:ascii="Calibri" w:eastAsiaTheme="minorEastAsia" w:hAnsi="Calibri" w:cs="Calibri"/>
          <w:sz w:val="22"/>
          <w:szCs w:val="22"/>
        </w:rPr>
        <w:t xml:space="preserve">) and </w:t>
      </w:r>
      <w:proofErr w:type="spellStart"/>
      <w:r w:rsidR="00EB6549" w:rsidRPr="00EB6549">
        <w:rPr>
          <w:rFonts w:ascii="Calibri" w:eastAsiaTheme="minorEastAsia" w:hAnsi="Calibri" w:cs="Calibri"/>
          <w:sz w:val="22"/>
          <w:szCs w:val="22"/>
        </w:rPr>
        <w:t>BayesPrism</w:t>
      </w:r>
      <w:proofErr w:type="spellEnd"/>
      <w:r w:rsidR="00EB6549" w:rsidRPr="00EB6549">
        <w:rPr>
          <w:rFonts w:ascii="Calibri" w:eastAsiaTheme="minorEastAsia" w:hAnsi="Calibri" w:cs="Calibri"/>
          <w:sz w:val="22"/>
          <w:szCs w:val="22"/>
        </w:rPr>
        <w:t xml:space="preserve"> (abbreviated as BP) packages provide only estimated fractions for select cell types, owing to the limitations of matrix size and other factors.</w:t>
      </w:r>
      <w:r w:rsidR="00EB6549">
        <w:rPr>
          <w:rFonts w:ascii="Calibri" w:eastAsiaTheme="minorEastAsia" w:hAnsi="Calibri" w:cs="Calibri"/>
          <w:sz w:val="22"/>
          <w:szCs w:val="22"/>
        </w:rPr>
        <w:t xml:space="preserve"> </w:t>
      </w:r>
    </w:p>
    <w:p w14:paraId="4A240438" w14:textId="039872CE" w:rsidR="00EB6549" w:rsidRPr="00EB6549" w:rsidRDefault="00EB6549" w:rsidP="00EB6549">
      <w:pPr>
        <w:pStyle w:val="BodyText"/>
        <w:jc w:val="both"/>
        <w:rPr>
          <w:rFonts w:ascii="Calibri" w:eastAsiaTheme="minorEastAsia" w:hAnsi="Calibri" w:cs="Calibri"/>
          <w:iCs/>
          <w:sz w:val="22"/>
          <w:szCs w:val="22"/>
        </w:rPr>
      </w:pPr>
      <w:r w:rsidRPr="00EB6549">
        <w:rPr>
          <w:rFonts w:ascii="Calibri" w:eastAsiaTheme="minorEastAsia" w:hAnsi="Calibri" w:cs="Calibri"/>
          <w:sz w:val="22"/>
          <w:szCs w:val="22"/>
        </w:rPr>
        <w:t>In our analysis, we focus solely on the common cell types in</w:t>
      </w:r>
      <w:r w:rsidRPr="00EB6549">
        <w:rPr>
          <w:rFonts w:ascii="Cambria Math" w:eastAsiaTheme="minorEastAsia" w:hAnsi="Cambria Math" w:cs="Calibri"/>
          <w:i/>
          <w:iCs/>
          <w:sz w:val="22"/>
          <w:szCs w:val="22"/>
        </w:rPr>
        <w:t xml:space="preserve"> </w:t>
      </w:r>
      <m:oMath>
        <m:r>
          <w:rPr>
            <w:rFonts w:ascii="Cambria Math" w:eastAsiaTheme="minorEastAsia" w:hAnsi="Cambria Math" w:cs="Calibri"/>
            <w:sz w:val="22"/>
            <w:szCs w:val="22"/>
          </w:rPr>
          <m:t>P</m:t>
        </m:r>
      </m:oMath>
      <w:r>
        <w:rPr>
          <w:rFonts w:ascii="Calibri" w:eastAsiaTheme="minorEastAsia" w:hAnsi="Calibri" w:cs="Calibri" w:hint="eastAsia"/>
          <w:iCs/>
          <w:sz w:val="22"/>
          <w:szCs w:val="22"/>
        </w:rPr>
        <w:t>,</w:t>
      </w:r>
      <w:r>
        <w:rPr>
          <w:rFonts w:ascii="Calibri" w:eastAsiaTheme="minorEastAsia" w:hAnsi="Calibri" w:cs="Calibri"/>
          <w:iCs/>
          <w:sz w:val="22"/>
          <w:szCs w:val="22"/>
        </w:rPr>
        <w:t xml:space="preserve"> </w:t>
      </w:r>
      <m:oMath>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P</m:t>
            </m:r>
          </m:e>
          <m:sub>
            <m:r>
              <w:rPr>
                <w:rFonts w:ascii="Cambria Math" w:eastAsiaTheme="minorEastAsia" w:hAnsi="Cambria Math" w:cs="Calibri"/>
                <w:sz w:val="22"/>
                <w:szCs w:val="22"/>
              </w:rPr>
              <m:t>Cyb</m:t>
            </m:r>
          </m:sub>
        </m:sSub>
      </m:oMath>
      <w:r>
        <w:rPr>
          <w:rFonts w:ascii="Calibri" w:eastAsiaTheme="minorEastAsia" w:hAnsi="Calibri" w:cs="Calibri" w:hint="eastAsia"/>
          <w:iCs/>
          <w:sz w:val="22"/>
          <w:szCs w:val="22"/>
        </w:rPr>
        <w:t xml:space="preserve"> </w:t>
      </w:r>
      <w:r>
        <w:rPr>
          <w:rFonts w:ascii="Calibri" w:eastAsiaTheme="minorEastAsia" w:hAnsi="Calibri" w:cs="Calibri"/>
          <w:iCs/>
          <w:sz w:val="22"/>
          <w:szCs w:val="22"/>
        </w:rPr>
        <w:t xml:space="preserve">and </w:t>
      </w:r>
      <m:oMath>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P</m:t>
            </m:r>
          </m:e>
          <m:sub>
            <m:r>
              <w:rPr>
                <w:rFonts w:ascii="Cambria Math" w:eastAsiaTheme="minorEastAsia" w:hAnsi="Cambria Math" w:cs="Calibri"/>
                <w:sz w:val="22"/>
                <w:szCs w:val="22"/>
              </w:rPr>
              <m:t>BP</m:t>
            </m:r>
          </m:sub>
        </m:sSub>
      </m:oMath>
      <w:r>
        <w:rPr>
          <w:rFonts w:ascii="Calibri" w:eastAsiaTheme="minorEastAsia" w:hAnsi="Calibri" w:cs="Calibri" w:hint="eastAsia"/>
          <w:iCs/>
          <w:sz w:val="22"/>
          <w:szCs w:val="22"/>
        </w:rPr>
        <w:t>:</w:t>
      </w:r>
      <w:r w:rsidRPr="00EB6549">
        <w:t xml:space="preserve"> </w:t>
      </w:r>
    </w:p>
    <w:p w14:paraId="62C6237A" w14:textId="077C8EC9" w:rsidR="007F7EB7" w:rsidRPr="00EB6549" w:rsidRDefault="00EB6549" w:rsidP="00EB6549">
      <w:pPr>
        <w:pStyle w:val="BodyText"/>
        <w:jc w:val="both"/>
        <w:rPr>
          <w:rFonts w:ascii="Calibri" w:eastAsiaTheme="minorEastAsia" w:hAnsi="Calibri" w:cs="Calibri"/>
          <w:iCs/>
          <w:sz w:val="22"/>
          <w:szCs w:val="22"/>
        </w:rPr>
      </w:pPr>
      <w:r w:rsidRPr="00EB6549">
        <w:rPr>
          <w:rFonts w:ascii="Calibri" w:eastAsiaTheme="minorEastAsia" w:hAnsi="Calibri" w:cs="Calibri"/>
          <w:iCs/>
          <w:sz w:val="22"/>
          <w:szCs w:val="22"/>
        </w:rPr>
        <w:lastRenderedPageBreak/>
        <w:t>​"T.cells.CD8," "Monocytes," "T.cells.CD4," "</w:t>
      </w:r>
      <w:proofErr w:type="spellStart"/>
      <w:proofErr w:type="gramStart"/>
      <w:r w:rsidRPr="00EB6549">
        <w:rPr>
          <w:rFonts w:ascii="Calibri" w:eastAsiaTheme="minorEastAsia" w:hAnsi="Calibri" w:cs="Calibri"/>
          <w:iCs/>
          <w:sz w:val="22"/>
          <w:szCs w:val="22"/>
        </w:rPr>
        <w:t>B.cells</w:t>
      </w:r>
      <w:proofErr w:type="spellEnd"/>
      <w:proofErr w:type="gramEnd"/>
      <w:r w:rsidRPr="00EB6549">
        <w:rPr>
          <w:rFonts w:ascii="Calibri" w:eastAsiaTheme="minorEastAsia" w:hAnsi="Calibri" w:cs="Calibri"/>
          <w:iCs/>
          <w:sz w:val="22"/>
          <w:szCs w:val="22"/>
        </w:rPr>
        <w:t>," and "</w:t>
      </w:r>
      <w:proofErr w:type="spellStart"/>
      <w:r w:rsidRPr="00EB6549">
        <w:rPr>
          <w:rFonts w:ascii="Calibri" w:eastAsiaTheme="minorEastAsia" w:hAnsi="Calibri" w:cs="Calibri"/>
          <w:iCs/>
          <w:sz w:val="22"/>
          <w:szCs w:val="22"/>
        </w:rPr>
        <w:t>NK.cells</w:t>
      </w:r>
      <w:proofErr w:type="spellEnd"/>
      <w:r w:rsidRPr="00EB6549">
        <w:rPr>
          <w:rFonts w:ascii="Calibri" w:eastAsiaTheme="minorEastAsia" w:hAnsi="Calibri" w:cs="Calibri"/>
          <w:iCs/>
          <w:sz w:val="22"/>
          <w:szCs w:val="22"/>
        </w:rPr>
        <w:t>." Notably, both packages exhibit a tendency to overestimate cell proportions. "</w:t>
      </w:r>
      <w:proofErr w:type="spellStart"/>
      <w:proofErr w:type="gramStart"/>
      <w:r w:rsidRPr="00EB6549">
        <w:rPr>
          <w:rFonts w:ascii="Calibri" w:eastAsiaTheme="minorEastAsia" w:hAnsi="Calibri" w:cs="Calibri"/>
          <w:iCs/>
          <w:sz w:val="22"/>
          <w:szCs w:val="22"/>
        </w:rPr>
        <w:t>B.cells</w:t>
      </w:r>
      <w:proofErr w:type="spellEnd"/>
      <w:proofErr w:type="gramEnd"/>
      <w:r w:rsidRPr="00EB6549">
        <w:rPr>
          <w:rFonts w:ascii="Calibri" w:eastAsiaTheme="minorEastAsia" w:hAnsi="Calibri" w:cs="Calibri"/>
          <w:iCs/>
          <w:sz w:val="22"/>
          <w:szCs w:val="22"/>
        </w:rPr>
        <w:t>" and "</w:t>
      </w:r>
      <w:proofErr w:type="spellStart"/>
      <w:r w:rsidRPr="00EB6549">
        <w:rPr>
          <w:rFonts w:ascii="Calibri" w:eastAsiaTheme="minorEastAsia" w:hAnsi="Calibri" w:cs="Calibri"/>
          <w:iCs/>
          <w:sz w:val="22"/>
          <w:szCs w:val="22"/>
        </w:rPr>
        <w:t>NK.cells</w:t>
      </w:r>
      <w:proofErr w:type="spellEnd"/>
      <w:r w:rsidRPr="00EB6549">
        <w:rPr>
          <w:rFonts w:ascii="Calibri" w:eastAsiaTheme="minorEastAsia" w:hAnsi="Calibri" w:cs="Calibri"/>
          <w:iCs/>
          <w:sz w:val="22"/>
          <w:szCs w:val="22"/>
        </w:rPr>
        <w:t xml:space="preserve">" demonstrate commendable performance in both packages. </w:t>
      </w:r>
      <w:proofErr w:type="spellStart"/>
      <w:r w:rsidRPr="00EB6549">
        <w:rPr>
          <w:rFonts w:ascii="Calibri" w:eastAsiaTheme="minorEastAsia" w:hAnsi="Calibri" w:cs="Calibri"/>
          <w:iCs/>
          <w:sz w:val="22"/>
          <w:szCs w:val="22"/>
        </w:rPr>
        <w:t>BayesPrism</w:t>
      </w:r>
      <w:proofErr w:type="spellEnd"/>
      <w:r w:rsidRPr="00EB6549">
        <w:rPr>
          <w:rFonts w:ascii="Calibri" w:eastAsiaTheme="minorEastAsia" w:hAnsi="Calibri" w:cs="Calibri"/>
          <w:iCs/>
          <w:sz w:val="22"/>
          <w:szCs w:val="22"/>
        </w:rPr>
        <w:t xml:space="preserve"> excels in estimating the fractions of "T.cells.CD4," "</w:t>
      </w:r>
      <w:proofErr w:type="spellStart"/>
      <w:proofErr w:type="gramStart"/>
      <w:r w:rsidRPr="00EB6549">
        <w:rPr>
          <w:rFonts w:ascii="Calibri" w:eastAsiaTheme="minorEastAsia" w:hAnsi="Calibri" w:cs="Calibri"/>
          <w:iCs/>
          <w:sz w:val="22"/>
          <w:szCs w:val="22"/>
        </w:rPr>
        <w:t>B.cells</w:t>
      </w:r>
      <w:proofErr w:type="spellEnd"/>
      <w:proofErr w:type="gramEnd"/>
      <w:r w:rsidRPr="00EB6549">
        <w:rPr>
          <w:rFonts w:ascii="Calibri" w:eastAsiaTheme="minorEastAsia" w:hAnsi="Calibri" w:cs="Calibri"/>
          <w:iCs/>
          <w:sz w:val="22"/>
          <w:szCs w:val="22"/>
        </w:rPr>
        <w:t>," and "</w:t>
      </w:r>
      <w:proofErr w:type="spellStart"/>
      <w:r w:rsidRPr="00EB6549">
        <w:rPr>
          <w:rFonts w:ascii="Calibri" w:eastAsiaTheme="minorEastAsia" w:hAnsi="Calibri" w:cs="Calibri"/>
          <w:iCs/>
          <w:sz w:val="22"/>
          <w:szCs w:val="22"/>
        </w:rPr>
        <w:t>NK.cells</w:t>
      </w:r>
      <w:proofErr w:type="spellEnd"/>
      <w:r w:rsidRPr="00EB6549">
        <w:rPr>
          <w:rFonts w:ascii="Calibri" w:eastAsiaTheme="minorEastAsia" w:hAnsi="Calibri" w:cs="Calibri"/>
          <w:iCs/>
          <w:sz w:val="22"/>
          <w:szCs w:val="22"/>
        </w:rPr>
        <w:t xml:space="preserve">," while </w:t>
      </w:r>
      <w:proofErr w:type="spellStart"/>
      <w:r w:rsidRPr="00EB6549">
        <w:rPr>
          <w:rFonts w:ascii="Calibri" w:eastAsiaTheme="minorEastAsia" w:hAnsi="Calibri" w:cs="Calibri"/>
          <w:iCs/>
          <w:sz w:val="22"/>
          <w:szCs w:val="22"/>
        </w:rPr>
        <w:t>CybersortX</w:t>
      </w:r>
      <w:proofErr w:type="spellEnd"/>
      <w:r w:rsidRPr="00EB6549">
        <w:rPr>
          <w:rFonts w:ascii="Calibri" w:eastAsiaTheme="minorEastAsia" w:hAnsi="Calibri" w:cs="Calibri"/>
          <w:iCs/>
          <w:sz w:val="22"/>
          <w:szCs w:val="22"/>
        </w:rPr>
        <w:t xml:space="preserve"> produces superior results for "T.cells.CD8."</w:t>
      </w:r>
    </w:p>
    <w:p w14:paraId="7D8D2AFB" w14:textId="2BB6EA41" w:rsidR="003C33F1" w:rsidRPr="003C33F1" w:rsidRDefault="003C33F1" w:rsidP="003C33F1">
      <w:pPr>
        <w:pStyle w:val="BodyText"/>
      </w:pPr>
      <w:r>
        <w:rPr>
          <w:noProof/>
        </w:rPr>
        <w:drawing>
          <wp:inline distT="0" distB="0" distL="0" distR="0" wp14:anchorId="234577E3" wp14:editId="3B1502C0">
            <wp:extent cx="5334000" cy="2222500"/>
            <wp:effectExtent l="0" t="0" r="0" b="0"/>
            <wp:docPr id="26" name="Picture" descr="A graph of different cel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6" name="Picture" descr="A graph of different cells&#10;&#10;Description automatically generated with medium confidence"/>
                    <pic:cNvPicPr>
                      <a:picLocks noChangeAspect="1" noChangeArrowheads="1"/>
                    </pic:cNvPicPr>
                  </pic:nvPicPr>
                  <pic:blipFill>
                    <a:blip r:embed="rId16"/>
                    <a:stretch>
                      <a:fillRect/>
                    </a:stretch>
                  </pic:blipFill>
                  <pic:spPr bwMode="auto">
                    <a:xfrm>
                      <a:off x="0" y="0"/>
                      <a:ext cx="5334000" cy="2222500"/>
                    </a:xfrm>
                    <a:prstGeom prst="rect">
                      <a:avLst/>
                    </a:prstGeom>
                    <a:noFill/>
                    <a:ln w="9525">
                      <a:noFill/>
                      <a:headEnd/>
                      <a:tailEnd/>
                    </a:ln>
                  </pic:spPr>
                </pic:pic>
              </a:graphicData>
            </a:graphic>
          </wp:inline>
        </w:drawing>
      </w:r>
    </w:p>
    <w:p w14:paraId="08314428" w14:textId="34EB8DAC" w:rsidR="005303BF" w:rsidRDefault="003C33F1" w:rsidP="003C33F1">
      <w:pPr>
        <w:pStyle w:val="Caption"/>
        <w:jc w:val="center"/>
      </w:pPr>
      <w:r>
        <w:t xml:space="preserve">Figure </w:t>
      </w:r>
      <w:fldSimple w:instr=" SEQ Figure \* ARABIC ">
        <w:r>
          <w:rPr>
            <w:noProof/>
          </w:rPr>
          <w:t>3</w:t>
        </w:r>
      </w:fldSimple>
      <w:r>
        <w:t xml:space="preserve"> Scatterplot of estimated fraction for PBMC dataset</w:t>
      </w:r>
    </w:p>
    <w:p w14:paraId="0FE8D4AF" w14:textId="3DEB8ABA" w:rsidR="00976CD9" w:rsidRPr="00976CD9" w:rsidRDefault="00EB6549" w:rsidP="00976CD9">
      <w:pPr>
        <w:pStyle w:val="BodyText"/>
        <w:jc w:val="both"/>
        <w:rPr>
          <w:rFonts w:ascii="Calibri" w:hAnsi="Calibri" w:cs="Calibri"/>
          <w:sz w:val="22"/>
          <w:szCs w:val="22"/>
        </w:rPr>
      </w:pPr>
      <w:r>
        <w:rPr>
          <w:rFonts w:ascii="Calibri" w:eastAsiaTheme="minorEastAsia" w:hAnsi="Calibri" w:cs="Calibri"/>
          <w:sz w:val="22"/>
          <w:szCs w:val="22"/>
          <w:lang w:eastAsia="zh-CN"/>
        </w:rPr>
        <w:t xml:space="preserve">We could further exam the result by looking into cell type level and sample level of </w:t>
      </w:r>
      <w:r w:rsidRPr="00EB6549">
        <w:rPr>
          <w:rFonts w:ascii="Calibri" w:hAnsi="Calibri" w:cs="Calibri"/>
          <w:sz w:val="22"/>
          <w:szCs w:val="22"/>
        </w:rPr>
        <w:t xml:space="preserve">Mean Squared Error </w:t>
      </w:r>
      <w:r>
        <w:rPr>
          <w:rFonts w:ascii="Calibri" w:eastAsiaTheme="minorEastAsia" w:hAnsi="Calibri" w:cs="Calibri"/>
          <w:sz w:val="22"/>
          <w:szCs w:val="22"/>
          <w:lang w:eastAsia="zh-CN"/>
        </w:rPr>
        <w:t>(</w:t>
      </w:r>
      <w:r>
        <w:rPr>
          <w:rFonts w:ascii="Calibri" w:eastAsiaTheme="minorEastAsia" w:hAnsi="Calibri" w:cs="Calibri"/>
          <w:sz w:val="22"/>
          <w:szCs w:val="22"/>
          <w:lang w:eastAsia="zh-CN"/>
        </w:rPr>
        <w:t>MSE</w:t>
      </w:r>
      <w:r>
        <w:rPr>
          <w:rFonts w:ascii="Calibri" w:eastAsiaTheme="minorEastAsia" w:hAnsi="Calibri" w:cs="Calibri"/>
          <w:sz w:val="22"/>
          <w:szCs w:val="22"/>
          <w:lang w:eastAsia="zh-CN"/>
        </w:rPr>
        <w:t>)</w:t>
      </w:r>
      <w:r>
        <w:rPr>
          <w:rFonts w:ascii="Calibri" w:eastAsiaTheme="minorEastAsia" w:hAnsi="Calibri" w:cs="Calibri"/>
          <w:sz w:val="22"/>
          <w:szCs w:val="22"/>
          <w:lang w:eastAsia="zh-CN"/>
        </w:rPr>
        <w:t xml:space="preserve"> and </w:t>
      </w:r>
      <w:r>
        <w:rPr>
          <w:rFonts w:ascii="Calibri" w:hAnsi="Calibri" w:cs="Calibri"/>
          <w:sz w:val="22"/>
          <w:szCs w:val="22"/>
        </w:rPr>
        <w:t>Pearson Correlation coefficient</w:t>
      </w:r>
      <w:r>
        <w:rPr>
          <w:rFonts w:ascii="Calibri" w:hAnsi="Calibri" w:cs="Calibri"/>
          <w:sz w:val="22"/>
          <w:szCs w:val="22"/>
        </w:rPr>
        <w:t xml:space="preserve"> (r)</w:t>
      </w:r>
      <w:r>
        <w:rPr>
          <w:rFonts w:ascii="Calibri" w:hAnsi="Calibri" w:cs="Calibri"/>
          <w:sz w:val="22"/>
          <w:szCs w:val="22"/>
        </w:rPr>
        <w:t>.</w:t>
      </w:r>
      <w:r w:rsidRPr="00EB6549">
        <w:rPr>
          <w:rFonts w:ascii="Calibri" w:hAnsi="Calibri" w:cs="Calibri"/>
          <w:sz w:val="22"/>
          <w:szCs w:val="22"/>
        </w:rPr>
        <w:t xml:space="preserve"> </w:t>
      </w:r>
      <w:r w:rsidRPr="00EB6549">
        <w:rPr>
          <w:rFonts w:ascii="Calibri" w:hAnsi="Calibri" w:cs="Calibri"/>
          <w:sz w:val="22"/>
          <w:szCs w:val="22"/>
        </w:rPr>
        <w:t xml:space="preserve">The analysis of the fraction estimation results for pancreas cell types using </w:t>
      </w:r>
      <w:proofErr w:type="spellStart"/>
      <w:r w:rsidRPr="00EB6549">
        <w:rPr>
          <w:rFonts w:ascii="Calibri" w:hAnsi="Calibri" w:cs="Calibri"/>
          <w:sz w:val="22"/>
          <w:szCs w:val="22"/>
        </w:rPr>
        <w:t>CybersortX</w:t>
      </w:r>
      <w:proofErr w:type="spellEnd"/>
      <w:r w:rsidRPr="00EB6549">
        <w:rPr>
          <w:rFonts w:ascii="Calibri" w:hAnsi="Calibri" w:cs="Calibri"/>
          <w:sz w:val="22"/>
          <w:szCs w:val="22"/>
        </w:rPr>
        <w:t xml:space="preserve"> and </w:t>
      </w:r>
      <w:proofErr w:type="spellStart"/>
      <w:r w:rsidRPr="00EB6549">
        <w:rPr>
          <w:rFonts w:ascii="Calibri" w:hAnsi="Calibri" w:cs="Calibri"/>
          <w:sz w:val="22"/>
          <w:szCs w:val="22"/>
        </w:rPr>
        <w:t>BayesPrism</w:t>
      </w:r>
      <w:proofErr w:type="spellEnd"/>
      <w:r w:rsidRPr="00EB6549">
        <w:rPr>
          <w:rFonts w:ascii="Calibri" w:hAnsi="Calibri" w:cs="Calibri"/>
          <w:sz w:val="22"/>
          <w:szCs w:val="22"/>
        </w:rPr>
        <w:t xml:space="preserve"> reveals distinct patterns in their performance. </w:t>
      </w:r>
      <w:r w:rsidR="00976CD9" w:rsidRPr="00976CD9">
        <w:rPr>
          <w:rFonts w:ascii="Calibri" w:hAnsi="Calibri" w:cs="Calibri"/>
          <w:sz w:val="22"/>
          <w:szCs w:val="22"/>
        </w:rPr>
        <w:t xml:space="preserve">In the fraction estimation analysis for PBMC </w:t>
      </w:r>
      <w:r w:rsidR="00976CD9">
        <w:rPr>
          <w:rFonts w:ascii="Calibri" w:hAnsi="Calibri" w:cs="Calibri"/>
          <w:sz w:val="22"/>
          <w:szCs w:val="22"/>
        </w:rPr>
        <w:t xml:space="preserve">(Table 1) </w:t>
      </w:r>
      <w:r w:rsidR="00976CD9" w:rsidRPr="00976CD9">
        <w:rPr>
          <w:rFonts w:ascii="Calibri" w:hAnsi="Calibri" w:cs="Calibri"/>
          <w:sz w:val="22"/>
          <w:szCs w:val="22"/>
        </w:rPr>
        <w:t xml:space="preserve">using </w:t>
      </w:r>
      <w:proofErr w:type="spellStart"/>
      <w:r w:rsidR="00976CD9" w:rsidRPr="00976CD9">
        <w:rPr>
          <w:rFonts w:ascii="Calibri" w:hAnsi="Calibri" w:cs="Calibri"/>
          <w:sz w:val="22"/>
          <w:szCs w:val="22"/>
        </w:rPr>
        <w:t>CybersortX</w:t>
      </w:r>
      <w:proofErr w:type="spellEnd"/>
      <w:r w:rsidR="00976CD9" w:rsidRPr="00976CD9">
        <w:rPr>
          <w:rFonts w:ascii="Calibri" w:hAnsi="Calibri" w:cs="Calibri"/>
          <w:sz w:val="22"/>
          <w:szCs w:val="22"/>
        </w:rPr>
        <w:t xml:space="preserve"> and </w:t>
      </w:r>
      <w:proofErr w:type="spellStart"/>
      <w:r w:rsidR="00976CD9" w:rsidRPr="00976CD9">
        <w:rPr>
          <w:rFonts w:ascii="Calibri" w:hAnsi="Calibri" w:cs="Calibri"/>
          <w:sz w:val="22"/>
          <w:szCs w:val="22"/>
        </w:rPr>
        <w:t>BayesPrism</w:t>
      </w:r>
      <w:proofErr w:type="spellEnd"/>
      <w:r w:rsidR="00976CD9" w:rsidRPr="00976CD9">
        <w:rPr>
          <w:rFonts w:ascii="Calibri" w:hAnsi="Calibri" w:cs="Calibri"/>
          <w:sz w:val="22"/>
          <w:szCs w:val="22"/>
        </w:rPr>
        <w:t xml:space="preserve">, distinctive patterns emerge across individual cell types and sample-level metrics. For individual cell types, both methods exhibit varying degrees of performance measured by </w:t>
      </w:r>
      <w:r w:rsidR="00976CD9">
        <w:rPr>
          <w:rFonts w:ascii="Calibri" w:hAnsi="Calibri" w:cs="Calibri"/>
          <w:sz w:val="22"/>
          <w:szCs w:val="22"/>
        </w:rPr>
        <w:t>MSE</w:t>
      </w:r>
      <w:r w:rsidR="00976CD9" w:rsidRPr="00976CD9">
        <w:rPr>
          <w:rFonts w:ascii="Calibri" w:hAnsi="Calibri" w:cs="Calibri"/>
          <w:sz w:val="22"/>
          <w:szCs w:val="22"/>
        </w:rPr>
        <w:t xml:space="preserve"> and correlation coefficient. </w:t>
      </w:r>
      <w:proofErr w:type="spellStart"/>
      <w:r w:rsidR="00976CD9" w:rsidRPr="00976CD9">
        <w:rPr>
          <w:rFonts w:ascii="Calibri" w:hAnsi="Calibri" w:cs="Calibri"/>
          <w:sz w:val="22"/>
          <w:szCs w:val="22"/>
        </w:rPr>
        <w:t>CybersortX</w:t>
      </w:r>
      <w:proofErr w:type="spellEnd"/>
      <w:r w:rsidR="00976CD9" w:rsidRPr="00976CD9">
        <w:rPr>
          <w:rFonts w:ascii="Calibri" w:hAnsi="Calibri" w:cs="Calibri"/>
          <w:sz w:val="22"/>
          <w:szCs w:val="22"/>
        </w:rPr>
        <w:t xml:space="preserve"> generally outperforms </w:t>
      </w:r>
      <w:proofErr w:type="spellStart"/>
      <w:r w:rsidR="00976CD9" w:rsidRPr="00976CD9">
        <w:rPr>
          <w:rFonts w:ascii="Calibri" w:hAnsi="Calibri" w:cs="Calibri"/>
          <w:sz w:val="22"/>
          <w:szCs w:val="22"/>
        </w:rPr>
        <w:t>BayesPrism</w:t>
      </w:r>
      <w:proofErr w:type="spellEnd"/>
      <w:r w:rsidR="00976CD9" w:rsidRPr="00976CD9">
        <w:rPr>
          <w:rFonts w:ascii="Calibri" w:hAnsi="Calibri" w:cs="Calibri"/>
          <w:sz w:val="22"/>
          <w:szCs w:val="22"/>
        </w:rPr>
        <w:t xml:space="preserve"> in estimating cell proportions for T cells CD8, Monocytes, and NK cells, as evidenced by lower MSE values and higher correlation coefficients. On the other hand, </w:t>
      </w:r>
      <w:proofErr w:type="spellStart"/>
      <w:r w:rsidR="00976CD9" w:rsidRPr="00976CD9">
        <w:rPr>
          <w:rFonts w:ascii="Calibri" w:hAnsi="Calibri" w:cs="Calibri"/>
          <w:sz w:val="22"/>
          <w:szCs w:val="22"/>
        </w:rPr>
        <w:t>BayesPrism</w:t>
      </w:r>
      <w:proofErr w:type="spellEnd"/>
      <w:r w:rsidR="00976CD9" w:rsidRPr="00976CD9">
        <w:rPr>
          <w:rFonts w:ascii="Calibri" w:hAnsi="Calibri" w:cs="Calibri"/>
          <w:sz w:val="22"/>
          <w:szCs w:val="22"/>
        </w:rPr>
        <w:t xml:space="preserve"> excels in accurately estimating T cells CD4 and B cells, demonstrating lower MSE and higher correlation values.</w:t>
      </w:r>
      <w:r w:rsidR="00976CD9">
        <w:rPr>
          <w:rFonts w:ascii="Calibri" w:hAnsi="Calibri" w:cs="Calibri" w:hint="eastAsia"/>
          <w:sz w:val="22"/>
          <w:szCs w:val="22"/>
        </w:rPr>
        <w:t xml:space="preserve"> </w:t>
      </w:r>
      <w:r w:rsidR="00976CD9" w:rsidRPr="00976CD9">
        <w:rPr>
          <w:rFonts w:ascii="Calibri" w:hAnsi="Calibri" w:cs="Calibri"/>
          <w:sz w:val="22"/>
          <w:szCs w:val="22"/>
        </w:rPr>
        <w:t xml:space="preserve">At the sample level, both </w:t>
      </w:r>
      <w:proofErr w:type="spellStart"/>
      <w:r w:rsidR="00976CD9" w:rsidRPr="00976CD9">
        <w:rPr>
          <w:rFonts w:ascii="Calibri" w:hAnsi="Calibri" w:cs="Calibri"/>
          <w:sz w:val="22"/>
          <w:szCs w:val="22"/>
        </w:rPr>
        <w:t>CybersortX</w:t>
      </w:r>
      <w:proofErr w:type="spellEnd"/>
      <w:r w:rsidR="00976CD9" w:rsidRPr="00976CD9">
        <w:rPr>
          <w:rFonts w:ascii="Calibri" w:hAnsi="Calibri" w:cs="Calibri"/>
          <w:sz w:val="22"/>
          <w:szCs w:val="22"/>
        </w:rPr>
        <w:t xml:space="preserve"> and </w:t>
      </w:r>
      <w:proofErr w:type="spellStart"/>
      <w:r w:rsidR="00976CD9" w:rsidRPr="00976CD9">
        <w:rPr>
          <w:rFonts w:ascii="Calibri" w:hAnsi="Calibri" w:cs="Calibri"/>
          <w:sz w:val="22"/>
          <w:szCs w:val="22"/>
        </w:rPr>
        <w:t>BayesPrism</w:t>
      </w:r>
      <w:proofErr w:type="spellEnd"/>
      <w:r w:rsidR="00976CD9" w:rsidRPr="00976CD9">
        <w:rPr>
          <w:rFonts w:ascii="Calibri" w:hAnsi="Calibri" w:cs="Calibri"/>
          <w:sz w:val="22"/>
          <w:szCs w:val="22"/>
        </w:rPr>
        <w:t xml:space="preserve"> show fluctuating performance across different samples. Notably, sample W070517001160 stands out with near-perfect correlation and low MSE for both methods, while other samples exhibit varying degrees of accuracy. In the overall assessment, </w:t>
      </w:r>
      <w:proofErr w:type="spellStart"/>
      <w:r w:rsidR="00976CD9" w:rsidRPr="00976CD9">
        <w:rPr>
          <w:rFonts w:ascii="Calibri" w:hAnsi="Calibri" w:cs="Calibri"/>
          <w:sz w:val="22"/>
          <w:szCs w:val="22"/>
        </w:rPr>
        <w:t>CybersortX</w:t>
      </w:r>
      <w:proofErr w:type="spellEnd"/>
      <w:r w:rsidR="00976CD9" w:rsidRPr="00976CD9">
        <w:rPr>
          <w:rFonts w:ascii="Calibri" w:hAnsi="Calibri" w:cs="Calibri"/>
          <w:sz w:val="22"/>
          <w:szCs w:val="22"/>
        </w:rPr>
        <w:t xml:space="preserve"> outperforms </w:t>
      </w:r>
      <w:proofErr w:type="spellStart"/>
      <w:r w:rsidR="00976CD9" w:rsidRPr="00976CD9">
        <w:rPr>
          <w:rFonts w:ascii="Calibri" w:hAnsi="Calibri" w:cs="Calibri"/>
          <w:sz w:val="22"/>
          <w:szCs w:val="22"/>
        </w:rPr>
        <w:t>BayesPrism</w:t>
      </w:r>
      <w:proofErr w:type="spellEnd"/>
      <w:r w:rsidR="00976CD9" w:rsidRPr="00976CD9">
        <w:rPr>
          <w:rFonts w:ascii="Calibri" w:hAnsi="Calibri" w:cs="Calibri"/>
          <w:sz w:val="22"/>
          <w:szCs w:val="22"/>
        </w:rPr>
        <w:t xml:space="preserve"> in terms of both MSE and correlation for cell type fraction estimation.</w:t>
      </w:r>
    </w:p>
    <w:p w14:paraId="72340102" w14:textId="0A410D48" w:rsidR="00976CD9" w:rsidRPr="00976CD9" w:rsidRDefault="00976CD9" w:rsidP="00976CD9">
      <w:pPr>
        <w:pStyle w:val="BodyText"/>
        <w:jc w:val="both"/>
        <w:rPr>
          <w:rFonts w:ascii="Calibri" w:hAnsi="Calibri" w:cs="Calibri"/>
          <w:sz w:val="22"/>
          <w:szCs w:val="22"/>
        </w:rPr>
      </w:pPr>
      <w:r w:rsidRPr="00976CD9">
        <w:rPr>
          <w:rFonts w:ascii="Calibri" w:hAnsi="Calibri" w:cs="Calibri"/>
          <w:sz w:val="22"/>
          <w:szCs w:val="22"/>
        </w:rPr>
        <w:t>In the bulk estimation analysis for PBMC</w:t>
      </w:r>
      <w:r>
        <w:rPr>
          <w:rFonts w:ascii="Calibri" w:hAnsi="Calibri" w:cs="Calibri"/>
          <w:sz w:val="22"/>
          <w:szCs w:val="22"/>
        </w:rPr>
        <w:t xml:space="preserve"> (Table 2)</w:t>
      </w:r>
      <w:r w:rsidRPr="00976CD9">
        <w:rPr>
          <w:rFonts w:ascii="Calibri" w:hAnsi="Calibri" w:cs="Calibri"/>
          <w:sz w:val="22"/>
          <w:szCs w:val="22"/>
        </w:rPr>
        <w:t xml:space="preserve">, a similar trend is observed with varying performance across samples for both </w:t>
      </w:r>
      <w:proofErr w:type="spellStart"/>
      <w:r w:rsidRPr="00976CD9">
        <w:rPr>
          <w:rFonts w:ascii="Calibri" w:hAnsi="Calibri" w:cs="Calibri"/>
          <w:sz w:val="22"/>
          <w:szCs w:val="22"/>
        </w:rPr>
        <w:t>CybersortX</w:t>
      </w:r>
      <w:proofErr w:type="spellEnd"/>
      <w:r w:rsidRPr="00976CD9">
        <w:rPr>
          <w:rFonts w:ascii="Calibri" w:hAnsi="Calibri" w:cs="Calibri"/>
          <w:sz w:val="22"/>
          <w:szCs w:val="22"/>
        </w:rPr>
        <w:t xml:space="preserve"> and </w:t>
      </w:r>
      <w:proofErr w:type="spellStart"/>
      <w:r w:rsidRPr="00976CD9">
        <w:rPr>
          <w:rFonts w:ascii="Calibri" w:hAnsi="Calibri" w:cs="Calibri"/>
          <w:sz w:val="22"/>
          <w:szCs w:val="22"/>
        </w:rPr>
        <w:t>BayesPrism</w:t>
      </w:r>
      <w:proofErr w:type="spellEnd"/>
      <w:r w:rsidRPr="00976CD9">
        <w:rPr>
          <w:rFonts w:ascii="Calibri" w:hAnsi="Calibri" w:cs="Calibri"/>
          <w:sz w:val="22"/>
          <w:szCs w:val="22"/>
        </w:rPr>
        <w:t xml:space="preserve">. Notably, the overall assessment shows that </w:t>
      </w:r>
      <w:proofErr w:type="spellStart"/>
      <w:r w:rsidRPr="00976CD9">
        <w:rPr>
          <w:rFonts w:ascii="Calibri" w:hAnsi="Calibri" w:cs="Calibri"/>
          <w:sz w:val="22"/>
          <w:szCs w:val="22"/>
        </w:rPr>
        <w:t>CybersortX</w:t>
      </w:r>
      <w:proofErr w:type="spellEnd"/>
      <w:r w:rsidRPr="00976CD9">
        <w:rPr>
          <w:rFonts w:ascii="Calibri" w:hAnsi="Calibri" w:cs="Calibri"/>
          <w:sz w:val="22"/>
          <w:szCs w:val="22"/>
        </w:rPr>
        <w:t xml:space="preserve"> outperforms </w:t>
      </w:r>
      <w:proofErr w:type="spellStart"/>
      <w:r w:rsidRPr="00976CD9">
        <w:rPr>
          <w:rFonts w:ascii="Calibri" w:hAnsi="Calibri" w:cs="Calibri"/>
          <w:sz w:val="22"/>
          <w:szCs w:val="22"/>
        </w:rPr>
        <w:t>BayesPrism</w:t>
      </w:r>
      <w:proofErr w:type="spellEnd"/>
      <w:r w:rsidRPr="00976CD9">
        <w:rPr>
          <w:rFonts w:ascii="Calibri" w:hAnsi="Calibri" w:cs="Calibri"/>
          <w:sz w:val="22"/>
          <w:szCs w:val="22"/>
        </w:rPr>
        <w:t xml:space="preserve"> in terms of both MSE and correlation for bulk estimation.</w:t>
      </w:r>
    </w:p>
    <w:p w14:paraId="4A336C3C" w14:textId="14F1F0CD" w:rsidR="003C33F1" w:rsidRPr="00EB6549" w:rsidRDefault="00976CD9" w:rsidP="00976CD9">
      <w:pPr>
        <w:pStyle w:val="BodyText"/>
        <w:jc w:val="both"/>
        <w:rPr>
          <w:rFonts w:ascii="Calibri" w:hAnsi="Calibri" w:cs="Calibri"/>
          <w:sz w:val="22"/>
          <w:szCs w:val="22"/>
        </w:rPr>
      </w:pPr>
      <w:r w:rsidRPr="00976CD9">
        <w:rPr>
          <w:rFonts w:ascii="Calibri" w:hAnsi="Calibri" w:cs="Calibri"/>
          <w:sz w:val="22"/>
          <w:szCs w:val="22"/>
        </w:rPr>
        <w:t xml:space="preserve">The fraction estimation analysis for PBMC indicates that </w:t>
      </w:r>
      <w:proofErr w:type="spellStart"/>
      <w:r w:rsidRPr="00976CD9">
        <w:rPr>
          <w:rFonts w:ascii="Calibri" w:hAnsi="Calibri" w:cs="Calibri"/>
          <w:sz w:val="22"/>
          <w:szCs w:val="22"/>
        </w:rPr>
        <w:t>CybersortX</w:t>
      </w:r>
      <w:proofErr w:type="spellEnd"/>
      <w:r w:rsidRPr="00976CD9">
        <w:rPr>
          <w:rFonts w:ascii="Calibri" w:hAnsi="Calibri" w:cs="Calibri"/>
          <w:sz w:val="22"/>
          <w:szCs w:val="22"/>
        </w:rPr>
        <w:t xml:space="preserve"> generally performs better than </w:t>
      </w:r>
      <w:proofErr w:type="spellStart"/>
      <w:r w:rsidRPr="00976CD9">
        <w:rPr>
          <w:rFonts w:ascii="Calibri" w:hAnsi="Calibri" w:cs="Calibri"/>
          <w:sz w:val="22"/>
          <w:szCs w:val="22"/>
        </w:rPr>
        <w:t>BayesPrism</w:t>
      </w:r>
      <w:proofErr w:type="spellEnd"/>
      <w:r w:rsidRPr="00976CD9">
        <w:rPr>
          <w:rFonts w:ascii="Calibri" w:hAnsi="Calibri" w:cs="Calibri"/>
          <w:sz w:val="22"/>
          <w:szCs w:val="22"/>
        </w:rPr>
        <w:t xml:space="preserve"> in accurately estimating cell type proportions. This superiority is evident across individual cell types and sample-level metrics. The bulk estimation results align with this trend, reinforcing </w:t>
      </w:r>
      <w:proofErr w:type="spellStart"/>
      <w:r w:rsidRPr="00976CD9">
        <w:rPr>
          <w:rFonts w:ascii="Calibri" w:hAnsi="Calibri" w:cs="Calibri"/>
          <w:sz w:val="22"/>
          <w:szCs w:val="22"/>
        </w:rPr>
        <w:t>CybersortX's</w:t>
      </w:r>
      <w:proofErr w:type="spellEnd"/>
      <w:r w:rsidRPr="00976CD9">
        <w:rPr>
          <w:rFonts w:ascii="Calibri" w:hAnsi="Calibri" w:cs="Calibri"/>
          <w:sz w:val="22"/>
          <w:szCs w:val="22"/>
        </w:rPr>
        <w:t xml:space="preserve"> overall better performance in capturing the cellular composition of PBMC samples. The findings highlight the importance of considering both individual cell types and overall metrics when evaluating the performance of fraction estimation methods.</w:t>
      </w:r>
    </w:p>
    <w:p w14:paraId="5F800CE0" w14:textId="3AF0FD55" w:rsidR="003C33F1" w:rsidRDefault="003C33F1">
      <w:pPr>
        <w:pStyle w:val="BodyText"/>
        <w:rPr>
          <w:noProof/>
        </w:rPr>
      </w:pPr>
      <w:r w:rsidRPr="003C33F1">
        <w:rPr>
          <w:noProof/>
        </w:rPr>
        <w:lastRenderedPageBreak/>
        <w:drawing>
          <wp:inline distT="0" distB="0" distL="0" distR="0" wp14:anchorId="3A699C21" wp14:editId="78C6434C">
            <wp:extent cx="5400000" cy="4293125"/>
            <wp:effectExtent l="0" t="0" r="0" b="0"/>
            <wp:docPr id="165162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29455" name="Picture 1" descr="A screenshot of a computer&#10;&#10;Description automatically generated"/>
                    <pic:cNvPicPr/>
                  </pic:nvPicPr>
                  <pic:blipFill>
                    <a:blip r:embed="rId17"/>
                    <a:stretch>
                      <a:fillRect/>
                    </a:stretch>
                  </pic:blipFill>
                  <pic:spPr>
                    <a:xfrm>
                      <a:off x="0" y="0"/>
                      <a:ext cx="5400000" cy="4293125"/>
                    </a:xfrm>
                    <a:prstGeom prst="rect">
                      <a:avLst/>
                    </a:prstGeom>
                  </pic:spPr>
                </pic:pic>
              </a:graphicData>
            </a:graphic>
          </wp:inline>
        </w:drawing>
      </w:r>
    </w:p>
    <w:p w14:paraId="59A208E6" w14:textId="3549EBA3" w:rsidR="003C33F1" w:rsidRDefault="003C33F1" w:rsidP="00863EED">
      <w:pPr>
        <w:pStyle w:val="BodyText"/>
        <w:jc w:val="center"/>
        <w:rPr>
          <w:noProof/>
        </w:rPr>
      </w:pPr>
      <w:r>
        <w:rPr>
          <w:noProof/>
        </w:rP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Pr>
          <w:noProof/>
        </w:rPr>
        <w:t xml:space="preserve"> </w:t>
      </w:r>
      <w:r w:rsidRPr="00C94C37">
        <w:rPr>
          <w:noProof/>
        </w:rPr>
        <w:t xml:space="preserve">Tables for </w:t>
      </w:r>
      <w:r>
        <w:rPr>
          <w:noProof/>
        </w:rPr>
        <w:t>fraction</w:t>
      </w:r>
      <w:r w:rsidRPr="00C94C37">
        <w:rPr>
          <w:noProof/>
        </w:rPr>
        <w:t xml:space="preserve"> estimation (PBMC)</w:t>
      </w:r>
      <w:bookmarkStart w:id="4" w:name="analysis-pancreas"/>
      <w:bookmarkEnd w:id="3"/>
    </w:p>
    <w:p w14:paraId="39240999" w14:textId="31F9DD0D" w:rsidR="003C33F1" w:rsidRDefault="003C33F1" w:rsidP="003C33F1">
      <w:pPr>
        <w:pStyle w:val="BodyText"/>
        <w:rPr>
          <w:noProof/>
        </w:rPr>
      </w:pPr>
      <w:r w:rsidRPr="003C33F1">
        <w:rPr>
          <w:noProof/>
        </w:rPr>
        <w:drawing>
          <wp:inline distT="0" distB="0" distL="0" distR="0" wp14:anchorId="753A610B" wp14:editId="404EE128">
            <wp:extent cx="5400000" cy="3221250"/>
            <wp:effectExtent l="0" t="0" r="0" b="0"/>
            <wp:docPr id="181635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950" name="Picture 1" descr="A screenshot of a computer&#10;&#10;Description automatically generated"/>
                    <pic:cNvPicPr/>
                  </pic:nvPicPr>
                  <pic:blipFill>
                    <a:blip r:embed="rId18"/>
                    <a:stretch>
                      <a:fillRect/>
                    </a:stretch>
                  </pic:blipFill>
                  <pic:spPr>
                    <a:xfrm>
                      <a:off x="0" y="0"/>
                      <a:ext cx="5400000" cy="3221250"/>
                    </a:xfrm>
                    <a:prstGeom prst="rect">
                      <a:avLst/>
                    </a:prstGeom>
                  </pic:spPr>
                </pic:pic>
              </a:graphicData>
            </a:graphic>
          </wp:inline>
        </w:drawing>
      </w:r>
    </w:p>
    <w:p w14:paraId="64353B29" w14:textId="4384F426" w:rsidR="003C33F1" w:rsidRPr="003C33F1" w:rsidRDefault="003C33F1" w:rsidP="00976CD9">
      <w:pPr>
        <w:pStyle w:val="BodyText"/>
        <w:jc w:val="center"/>
        <w:rPr>
          <w:noProof/>
        </w:rPr>
      </w:pPr>
      <w:r>
        <w:rPr>
          <w:noProof/>
        </w:rP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rPr>
          <w:noProof/>
        </w:rPr>
        <w:t xml:space="preserve"> </w:t>
      </w:r>
      <w:r w:rsidRPr="00827FB4">
        <w:rPr>
          <w:noProof/>
        </w:rPr>
        <w:t>Tables for bulk estimation (PBMC)</w:t>
      </w:r>
    </w:p>
    <w:p w14:paraId="34BC211F" w14:textId="234990A2" w:rsidR="003C33F1" w:rsidRDefault="00000000" w:rsidP="003C33F1">
      <w:pPr>
        <w:pStyle w:val="Heading2"/>
      </w:pPr>
      <w:r>
        <w:lastRenderedPageBreak/>
        <w:t>Analysis pancreas</w:t>
      </w:r>
      <w:r w:rsidR="00976CD9">
        <w:t xml:space="preserve"> data</w:t>
      </w:r>
    </w:p>
    <w:p w14:paraId="608A655D" w14:textId="77777777" w:rsidR="00FA520C" w:rsidRDefault="00976CD9" w:rsidP="00976CD9">
      <w:pPr>
        <w:pStyle w:val="BodyText"/>
        <w:jc w:val="both"/>
      </w:pPr>
      <w:r>
        <w:rPr>
          <w:rFonts w:ascii="Calibri" w:eastAsiaTheme="minorEastAsia" w:hAnsi="Calibri" w:cs="Calibri"/>
          <w:sz w:val="22"/>
          <w:szCs w:val="22"/>
        </w:rPr>
        <w:t>Similar to previous analysis for PBMC dataset</w:t>
      </w:r>
      <w:r w:rsidRPr="00EB6549">
        <w:rPr>
          <w:rFonts w:ascii="Calibri" w:eastAsiaTheme="minorEastAsia" w:hAnsi="Calibri" w:cs="Calibri"/>
          <w:sz w:val="22"/>
          <w:szCs w:val="22"/>
        </w:rPr>
        <w:t xml:space="preserve">, </w:t>
      </w:r>
      <w:r>
        <w:rPr>
          <w:rFonts w:ascii="Calibri" w:eastAsiaTheme="minorEastAsia" w:hAnsi="Calibri" w:cs="Calibri"/>
          <w:sz w:val="22"/>
          <w:szCs w:val="22"/>
        </w:rPr>
        <w:t>the</w:t>
      </w:r>
      <w:r w:rsidRPr="00FC162D">
        <w:rPr>
          <w:rFonts w:ascii="Calibri" w:eastAsiaTheme="minorEastAsia" w:hAnsi="Calibri" w:cs="Calibri" w:hint="eastAsia"/>
          <w:sz w:val="22"/>
          <w:szCs w:val="22"/>
        </w:rPr>
        <w:t xml:space="preserve"> ground truth (denoted as </w:t>
      </w:r>
      <m:oMath>
        <m:r>
          <w:rPr>
            <w:rFonts w:ascii="Cambria Math" w:eastAsiaTheme="minorEastAsia" w:hAnsi="Cambria Math" w:cs="Calibri"/>
            <w:sz w:val="22"/>
            <w:szCs w:val="22"/>
          </w:rPr>
          <m:t>P</m:t>
        </m:r>
      </m:oMath>
      <w:r w:rsidRPr="00FC162D">
        <w:rPr>
          <w:rFonts w:ascii="Calibri" w:eastAsiaTheme="minorEastAsia" w:hAnsi="Calibri" w:cs="Calibri" w:hint="eastAsia"/>
          <w:sz w:val="22"/>
          <w:szCs w:val="22"/>
        </w:rPr>
        <w:t xml:space="preserve"> </w:t>
      </w:r>
      <w:r w:rsidRPr="00FC162D">
        <w:rPr>
          <w:rFonts w:ascii="Calibri" w:eastAsiaTheme="minorEastAsia" w:hAnsi="Calibri" w:cs="Calibri" w:hint="eastAsia"/>
          <w:sz w:val="22"/>
          <w:szCs w:val="22"/>
        </w:rPr>
        <w:t>∈</w:t>
      </w:r>
      <w:r w:rsidRPr="00FC162D">
        <w:rPr>
          <w:rFonts w:ascii="Calibri" w:eastAsiaTheme="minorEastAsia" w:hAnsi="Calibri" w:cs="Calibri" w:hint="eastAsia"/>
          <w:sz w:val="22"/>
          <w:szCs w:val="22"/>
        </w:rPr>
        <w:t xml:space="preserve"> </w:t>
      </w:r>
      <m:oMath>
        <m:r>
          <w:rPr>
            <w:rFonts w:ascii="Cambria Math" w:eastAsiaTheme="minorEastAsia" w:hAnsi="Cambria Math" w:cs="Calibri"/>
            <w:sz w:val="22"/>
            <w:szCs w:val="22"/>
          </w:rPr>
          <m:t>R</m:t>
        </m:r>
      </m:oMath>
      <w:r w:rsidRPr="00E34B37">
        <w:rPr>
          <w:rFonts w:ascii="Calibri" w:eastAsiaTheme="minorEastAsia" w:hAnsi="Calibri" w:cs="Calibri"/>
          <w:sz w:val="22"/>
          <w:szCs w:val="22"/>
        </w:rPr>
        <w:t xml:space="preserve"> </w:t>
      </w:r>
      <w:r w:rsidRPr="00FC162D">
        <w:rPr>
          <w:rFonts w:ascii="Calibri" w:eastAsiaTheme="minorEastAsia" w:hAnsi="Calibri" w:cs="Calibri" w:hint="eastAsia"/>
          <w:sz w:val="22"/>
          <w:szCs w:val="22"/>
          <w:vertAlign w:val="superscript"/>
        </w:rPr>
        <w:t>K</w:t>
      </w:r>
      <w:r w:rsidRPr="00FC162D">
        <w:rPr>
          <w:rFonts w:ascii="Calibri" w:eastAsiaTheme="minorEastAsia" w:hAnsi="Calibri" w:cs="Calibri" w:hint="eastAsia"/>
          <w:sz w:val="22"/>
          <w:szCs w:val="22"/>
          <w:vertAlign w:val="superscript"/>
        </w:rPr>
        <w:t>×</w:t>
      </w:r>
      <w:proofErr w:type="gramStart"/>
      <w:r w:rsidRPr="00FC162D">
        <w:rPr>
          <w:rFonts w:ascii="Calibri" w:eastAsiaTheme="minorEastAsia" w:hAnsi="Calibri" w:cs="Calibri" w:hint="eastAsia"/>
          <w:sz w:val="22"/>
          <w:szCs w:val="22"/>
          <w:vertAlign w:val="superscript"/>
        </w:rPr>
        <w:t>S</w:t>
      </w:r>
      <w:r w:rsidRPr="00FC162D">
        <w:rPr>
          <w:rFonts w:ascii="Calibri" w:eastAsiaTheme="minorEastAsia" w:hAnsi="Calibri" w:cs="Calibri" w:hint="eastAsia"/>
          <w:sz w:val="22"/>
          <w:szCs w:val="22"/>
        </w:rPr>
        <w:t xml:space="preserve"> )</w:t>
      </w:r>
      <w:proofErr w:type="gramEnd"/>
      <w:r w:rsidRPr="00FC162D">
        <w:rPr>
          <w:rFonts w:ascii="Calibri" w:eastAsiaTheme="minorEastAsia" w:hAnsi="Calibri" w:cs="Calibri" w:hint="eastAsia"/>
          <w:sz w:val="22"/>
          <w:szCs w:val="22"/>
        </w:rPr>
        <w:t xml:space="preserve"> </w:t>
      </w:r>
      <w:r w:rsidRPr="00EB6549">
        <w:rPr>
          <w:rFonts w:ascii="Calibri" w:eastAsiaTheme="minorEastAsia" w:hAnsi="Calibri" w:cs="Calibri"/>
          <w:sz w:val="22"/>
          <w:szCs w:val="22"/>
        </w:rPr>
        <w:t>for the dataset labeled "</w:t>
      </w:r>
      <w:r w:rsidRPr="00976CD9">
        <w:rPr>
          <w:rFonts w:ascii="Calibri" w:hAnsi="Calibri" w:cs="Calibri"/>
          <w:i/>
          <w:iCs/>
          <w:sz w:val="22"/>
          <w:szCs w:val="22"/>
        </w:rPr>
        <w:t xml:space="preserve"> </w:t>
      </w:r>
      <w:r>
        <w:rPr>
          <w:rFonts w:ascii="Calibri" w:hAnsi="Calibri" w:cs="Calibri"/>
          <w:i/>
          <w:iCs/>
          <w:sz w:val="22"/>
          <w:szCs w:val="22"/>
        </w:rPr>
        <w:t xml:space="preserve">pancreas </w:t>
      </w:r>
      <w:r>
        <w:rPr>
          <w:rFonts w:ascii="Calibri" w:hAnsi="Calibri" w:cs="Calibri"/>
          <w:i/>
          <w:iCs/>
          <w:sz w:val="22"/>
          <w:szCs w:val="22"/>
        </w:rPr>
        <w:t>truth</w:t>
      </w:r>
      <w:r>
        <w:rPr>
          <w:rFonts w:ascii="Calibri" w:hAnsi="Calibri" w:cs="Calibri"/>
          <w:i/>
          <w:iCs/>
          <w:sz w:val="22"/>
          <w:szCs w:val="22"/>
        </w:rPr>
        <w:t>.txt</w:t>
      </w:r>
      <w:r w:rsidRPr="00EB6549">
        <w:rPr>
          <w:rFonts w:ascii="Calibri" w:eastAsiaTheme="minorEastAsia" w:hAnsi="Calibri" w:cs="Calibri"/>
          <w:sz w:val="22"/>
          <w:szCs w:val="22"/>
        </w:rPr>
        <w:t>"</w:t>
      </w:r>
      <w:r>
        <w:rPr>
          <w:rFonts w:ascii="Calibri" w:eastAsiaTheme="minorEastAsia" w:hAnsi="Calibri" w:cs="Calibri"/>
          <w:sz w:val="22"/>
          <w:szCs w:val="22"/>
        </w:rPr>
        <w:t xml:space="preserve"> has </w:t>
      </w:r>
      <w:r w:rsidRPr="00EB6549">
        <w:rPr>
          <w:rFonts w:ascii="Calibri" w:eastAsiaTheme="minorEastAsia" w:hAnsi="Calibri" w:cs="Calibri"/>
          <w:sz w:val="22"/>
          <w:szCs w:val="22"/>
        </w:rPr>
        <w:t xml:space="preserve">true proportions of </w:t>
      </w:r>
      <w:r>
        <w:rPr>
          <w:rFonts w:ascii="Calibri" w:eastAsiaTheme="minorEastAsia" w:hAnsi="Calibri" w:cs="Calibri"/>
          <w:sz w:val="22"/>
          <w:szCs w:val="22"/>
        </w:rPr>
        <w:t>twelve</w:t>
      </w:r>
      <w:r w:rsidRPr="00EB6549">
        <w:rPr>
          <w:rFonts w:ascii="Calibri" w:eastAsiaTheme="minorEastAsia" w:hAnsi="Calibri" w:cs="Calibri"/>
          <w:sz w:val="22"/>
          <w:szCs w:val="22"/>
        </w:rPr>
        <w:t xml:space="preserve"> cell types across </w:t>
      </w:r>
      <w:r>
        <w:rPr>
          <w:rFonts w:ascii="Calibri" w:eastAsiaTheme="minorEastAsia" w:hAnsi="Calibri" w:cs="Calibri"/>
          <w:sz w:val="22"/>
          <w:szCs w:val="22"/>
        </w:rPr>
        <w:t>7</w:t>
      </w:r>
      <w:r w:rsidRPr="00EB6549">
        <w:rPr>
          <w:rFonts w:ascii="Calibri" w:eastAsiaTheme="minorEastAsia" w:hAnsi="Calibri" w:cs="Calibri"/>
          <w:sz w:val="22"/>
          <w:szCs w:val="22"/>
        </w:rPr>
        <w:t xml:space="preserve"> samples</w:t>
      </w:r>
      <w:r>
        <w:rPr>
          <w:rFonts w:ascii="Calibri" w:eastAsiaTheme="minorEastAsia" w:hAnsi="Calibri" w:cs="Calibri" w:hint="eastAsia"/>
          <w:sz w:val="22"/>
          <w:szCs w:val="22"/>
        </w:rPr>
        <w:t>.</w:t>
      </w:r>
      <w:r>
        <w:rPr>
          <w:rFonts w:ascii="Calibri" w:eastAsiaTheme="minorEastAsia" w:hAnsi="Calibri" w:cs="Calibri"/>
          <w:sz w:val="22"/>
          <w:szCs w:val="22"/>
        </w:rPr>
        <w:t xml:space="preserve"> Here </w:t>
      </w:r>
      <w:r w:rsidRPr="00EB6549">
        <w:rPr>
          <w:rFonts w:ascii="Calibri" w:eastAsiaTheme="minorEastAsia" w:hAnsi="Calibri" w:cs="Calibri"/>
          <w:sz w:val="22"/>
          <w:szCs w:val="22"/>
        </w:rPr>
        <w:t xml:space="preserve">we focus solely on the </w:t>
      </w:r>
      <w:r>
        <w:rPr>
          <w:rFonts w:ascii="Calibri" w:eastAsiaTheme="minorEastAsia" w:hAnsi="Calibri" w:cs="Calibri"/>
          <w:sz w:val="22"/>
          <w:szCs w:val="22"/>
        </w:rPr>
        <w:t xml:space="preserve">eight </w:t>
      </w:r>
      <w:r w:rsidRPr="00EB6549">
        <w:rPr>
          <w:rFonts w:ascii="Calibri" w:eastAsiaTheme="minorEastAsia" w:hAnsi="Calibri" w:cs="Calibri"/>
          <w:sz w:val="22"/>
          <w:szCs w:val="22"/>
        </w:rPr>
        <w:t>common cell types in</w:t>
      </w:r>
      <w:r w:rsidRPr="00EB6549">
        <w:rPr>
          <w:rFonts w:ascii="Cambria Math" w:eastAsiaTheme="minorEastAsia" w:hAnsi="Cambria Math" w:cs="Calibri"/>
          <w:i/>
          <w:iCs/>
          <w:sz w:val="22"/>
          <w:szCs w:val="22"/>
        </w:rPr>
        <w:t xml:space="preserve"> </w:t>
      </w:r>
      <m:oMath>
        <m:r>
          <w:rPr>
            <w:rFonts w:ascii="Cambria Math" w:eastAsiaTheme="minorEastAsia" w:hAnsi="Cambria Math" w:cs="Calibri"/>
            <w:sz w:val="22"/>
            <w:szCs w:val="22"/>
          </w:rPr>
          <m:t>P</m:t>
        </m:r>
      </m:oMath>
      <w:r>
        <w:rPr>
          <w:rFonts w:ascii="Calibri" w:eastAsiaTheme="minorEastAsia" w:hAnsi="Calibri" w:cs="Calibri" w:hint="eastAsia"/>
          <w:iCs/>
          <w:sz w:val="22"/>
          <w:szCs w:val="22"/>
        </w:rPr>
        <w:t>,</w:t>
      </w:r>
      <w:r>
        <w:rPr>
          <w:rFonts w:ascii="Calibri" w:eastAsiaTheme="minorEastAsia" w:hAnsi="Calibri" w:cs="Calibri"/>
          <w:iCs/>
          <w:sz w:val="22"/>
          <w:szCs w:val="22"/>
        </w:rPr>
        <w:t xml:space="preserve"> </w:t>
      </w:r>
      <m:oMath>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P</m:t>
            </m:r>
          </m:e>
          <m:sub>
            <m:r>
              <w:rPr>
                <w:rFonts w:ascii="Cambria Math" w:eastAsiaTheme="minorEastAsia" w:hAnsi="Cambria Math" w:cs="Calibri"/>
                <w:sz w:val="22"/>
                <w:szCs w:val="22"/>
              </w:rPr>
              <m:t>Cyb</m:t>
            </m:r>
          </m:sub>
        </m:sSub>
      </m:oMath>
      <w:r>
        <w:rPr>
          <w:rFonts w:ascii="Calibri" w:eastAsiaTheme="minorEastAsia" w:hAnsi="Calibri" w:cs="Calibri" w:hint="eastAsia"/>
          <w:iCs/>
          <w:sz w:val="22"/>
          <w:szCs w:val="22"/>
        </w:rPr>
        <w:t xml:space="preserve"> </w:t>
      </w:r>
      <w:r>
        <w:rPr>
          <w:rFonts w:ascii="Calibri" w:eastAsiaTheme="minorEastAsia" w:hAnsi="Calibri" w:cs="Calibri"/>
          <w:iCs/>
          <w:sz w:val="22"/>
          <w:szCs w:val="22"/>
        </w:rPr>
        <w:t xml:space="preserve">and </w:t>
      </w:r>
      <m:oMath>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P</m:t>
            </m:r>
          </m:e>
          <m:sub>
            <m:r>
              <w:rPr>
                <w:rFonts w:ascii="Cambria Math" w:eastAsiaTheme="minorEastAsia" w:hAnsi="Cambria Math" w:cs="Calibri"/>
                <w:sz w:val="22"/>
                <w:szCs w:val="22"/>
              </w:rPr>
              <m:t>BP</m:t>
            </m:r>
          </m:sub>
        </m:sSub>
      </m:oMath>
      <w:r>
        <w:rPr>
          <w:rFonts w:ascii="Calibri" w:eastAsiaTheme="minorEastAsia" w:hAnsi="Calibri" w:cs="Calibri" w:hint="eastAsia"/>
          <w:iCs/>
          <w:sz w:val="22"/>
          <w:szCs w:val="22"/>
        </w:rPr>
        <w:t>:</w:t>
      </w:r>
      <w:r w:rsidRPr="00EB6549">
        <w:t xml:space="preserve"> </w:t>
      </w:r>
      <w:r w:rsidRPr="00B70B8C">
        <w:rPr>
          <w:rFonts w:ascii="Calibri" w:eastAsiaTheme="minorEastAsia" w:hAnsi="Calibri" w:cs="Calibri"/>
          <w:sz w:val="22"/>
          <w:szCs w:val="22"/>
          <w:lang w:eastAsia="zh-CN"/>
        </w:rPr>
        <w:t>"delta", "alpha", "gamma</w:t>
      </w:r>
      <w:proofErr w:type="gramStart"/>
      <w:r w:rsidRPr="00B70B8C">
        <w:rPr>
          <w:rFonts w:ascii="Calibri" w:eastAsiaTheme="minorEastAsia" w:hAnsi="Calibri" w:cs="Calibri"/>
          <w:sz w:val="22"/>
          <w:szCs w:val="22"/>
          <w:lang w:eastAsia="zh-CN"/>
        </w:rPr>
        <w:t>",  "</w:t>
      </w:r>
      <w:proofErr w:type="gramEnd"/>
      <w:r w:rsidRPr="00B70B8C">
        <w:rPr>
          <w:rFonts w:ascii="Calibri" w:eastAsiaTheme="minorEastAsia" w:hAnsi="Calibri" w:cs="Calibri"/>
          <w:sz w:val="22"/>
          <w:szCs w:val="22"/>
          <w:lang w:eastAsia="zh-CN"/>
        </w:rPr>
        <w:t xml:space="preserve">ductal",  "acinar", "beta", </w:t>
      </w:r>
      <w:r>
        <w:rPr>
          <w:rFonts w:ascii="Calibri" w:eastAsiaTheme="minorEastAsia" w:hAnsi="Calibri" w:cs="Calibri"/>
          <w:sz w:val="22"/>
          <w:szCs w:val="22"/>
          <w:lang w:eastAsia="zh-CN"/>
        </w:rPr>
        <w:t>and</w:t>
      </w:r>
      <w:r w:rsidRPr="00B70B8C">
        <w:rPr>
          <w:rFonts w:ascii="Calibri" w:eastAsiaTheme="minorEastAsia" w:hAnsi="Calibri" w:cs="Calibri"/>
          <w:sz w:val="22"/>
          <w:szCs w:val="22"/>
          <w:lang w:eastAsia="zh-CN"/>
        </w:rPr>
        <w:t xml:space="preserve"> "PSC"</w:t>
      </w:r>
      <w:r>
        <w:rPr>
          <w:rFonts w:ascii="Calibri" w:eastAsiaTheme="minorEastAsia" w:hAnsi="Calibri" w:cs="Calibri"/>
          <w:sz w:val="22"/>
          <w:szCs w:val="22"/>
          <w:lang w:eastAsia="zh-CN"/>
        </w:rPr>
        <w:t>.</w:t>
      </w:r>
      <w:r w:rsidR="00FA520C" w:rsidRPr="00FA520C">
        <w:t xml:space="preserve"> </w:t>
      </w:r>
    </w:p>
    <w:p w14:paraId="2C29A743" w14:textId="385F9453" w:rsidR="00976CD9" w:rsidRPr="00FA520C" w:rsidRDefault="00FA520C" w:rsidP="00FA520C">
      <w:pPr>
        <w:pStyle w:val="BodyText"/>
        <w:jc w:val="both"/>
        <w:rPr>
          <w:rFonts w:ascii="Calibri" w:eastAsiaTheme="minorEastAsia" w:hAnsi="Calibri" w:cs="Calibri"/>
          <w:sz w:val="22"/>
          <w:szCs w:val="22"/>
        </w:rPr>
      </w:pPr>
      <w:r w:rsidRPr="00FA520C">
        <w:rPr>
          <w:rFonts w:ascii="Calibri" w:eastAsiaTheme="minorEastAsia" w:hAnsi="Calibri" w:cs="Calibri"/>
          <w:sz w:val="22"/>
          <w:szCs w:val="22"/>
          <w:lang w:eastAsia="zh-CN"/>
        </w:rPr>
        <w:t xml:space="preserve">In general, when comparing the performance of </w:t>
      </w:r>
      <w:proofErr w:type="spellStart"/>
      <w:r w:rsidRPr="00FA520C">
        <w:rPr>
          <w:rFonts w:ascii="Calibri" w:eastAsiaTheme="minorEastAsia" w:hAnsi="Calibri" w:cs="Calibri"/>
          <w:sz w:val="22"/>
          <w:szCs w:val="22"/>
          <w:lang w:eastAsia="zh-CN"/>
        </w:rPr>
        <w:t>CybersortX</w:t>
      </w:r>
      <w:proofErr w:type="spellEnd"/>
      <w:r w:rsidRPr="00FA520C">
        <w:rPr>
          <w:rFonts w:ascii="Calibri" w:eastAsiaTheme="minorEastAsia" w:hAnsi="Calibri" w:cs="Calibri"/>
          <w:sz w:val="22"/>
          <w:szCs w:val="22"/>
          <w:lang w:eastAsia="zh-CN"/>
        </w:rPr>
        <w:t xml:space="preserve"> and </w:t>
      </w:r>
      <w:proofErr w:type="spellStart"/>
      <w:r w:rsidRPr="00FA520C">
        <w:rPr>
          <w:rFonts w:ascii="Calibri" w:eastAsiaTheme="minorEastAsia" w:hAnsi="Calibri" w:cs="Calibri"/>
          <w:sz w:val="22"/>
          <w:szCs w:val="22"/>
          <w:lang w:eastAsia="zh-CN"/>
        </w:rPr>
        <w:t>BayesPrism</w:t>
      </w:r>
      <w:proofErr w:type="spellEnd"/>
      <w:r w:rsidRPr="00FA520C">
        <w:rPr>
          <w:rFonts w:ascii="Calibri" w:eastAsiaTheme="minorEastAsia" w:hAnsi="Calibri" w:cs="Calibri"/>
          <w:sz w:val="22"/>
          <w:szCs w:val="22"/>
          <w:lang w:eastAsia="zh-CN"/>
        </w:rPr>
        <w:t xml:space="preserve"> on the PBMC dataset, </w:t>
      </w:r>
      <w:proofErr w:type="spellStart"/>
      <w:r w:rsidRPr="00FA520C">
        <w:rPr>
          <w:rFonts w:ascii="Calibri" w:eastAsiaTheme="minorEastAsia" w:hAnsi="Calibri" w:cs="Calibri"/>
          <w:sz w:val="22"/>
          <w:szCs w:val="22"/>
          <w:lang w:eastAsia="zh-CN"/>
        </w:rPr>
        <w:t>CybersortX</w:t>
      </w:r>
      <w:proofErr w:type="spellEnd"/>
      <w:r w:rsidRPr="00FA520C">
        <w:rPr>
          <w:rFonts w:ascii="Calibri" w:eastAsiaTheme="minorEastAsia" w:hAnsi="Calibri" w:cs="Calibri"/>
          <w:sz w:val="22"/>
          <w:szCs w:val="22"/>
          <w:lang w:eastAsia="zh-CN"/>
        </w:rPr>
        <w:t xml:space="preserve"> continues to exhibit superior performance, particularly in the estimation of "acinar," "delta," "gamma," "PSC," and "endothelial" cell types. </w:t>
      </w:r>
      <w:proofErr w:type="spellStart"/>
      <w:r w:rsidRPr="00FA520C">
        <w:rPr>
          <w:rFonts w:ascii="Calibri" w:eastAsiaTheme="minorEastAsia" w:hAnsi="Calibri" w:cs="Calibri"/>
          <w:sz w:val="22"/>
          <w:szCs w:val="22"/>
          <w:lang w:eastAsia="zh-CN"/>
        </w:rPr>
        <w:t>BayesPrism</w:t>
      </w:r>
      <w:proofErr w:type="spellEnd"/>
      <w:r w:rsidRPr="00FA520C">
        <w:rPr>
          <w:rFonts w:ascii="Calibri" w:eastAsiaTheme="minorEastAsia" w:hAnsi="Calibri" w:cs="Calibri"/>
          <w:sz w:val="22"/>
          <w:szCs w:val="22"/>
          <w:lang w:eastAsia="zh-CN"/>
        </w:rPr>
        <w:t>, on the other hand, notably falters in the estimation of "delta" but showcases improved performance for the "beta" cell type. Notably, both packages encounter challenges in accurately estimating the "alpha" cell type.</w:t>
      </w:r>
    </w:p>
    <w:p w14:paraId="5C4ED2BF" w14:textId="56F7BE34" w:rsidR="003C33F1" w:rsidRPr="003C33F1" w:rsidRDefault="003C33F1" w:rsidP="003C33F1">
      <w:pPr>
        <w:pStyle w:val="BodyText"/>
      </w:pPr>
      <w:r>
        <w:rPr>
          <w:noProof/>
        </w:rPr>
        <w:drawing>
          <wp:inline distT="0" distB="0" distL="0" distR="0" wp14:anchorId="7948C267" wp14:editId="7756F0BC">
            <wp:extent cx="5334000" cy="2222500"/>
            <wp:effectExtent l="0" t="0" r="0" b="0"/>
            <wp:docPr id="30" name="Picture" descr="A graph of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A graph of different colored dots&#10;&#10;Description automatically generated"/>
                    <pic:cNvPicPr>
                      <a:picLocks noChangeAspect="1" noChangeArrowheads="1"/>
                    </pic:cNvPicPr>
                  </pic:nvPicPr>
                  <pic:blipFill>
                    <a:blip r:embed="rId19"/>
                    <a:stretch>
                      <a:fillRect/>
                    </a:stretch>
                  </pic:blipFill>
                  <pic:spPr bwMode="auto">
                    <a:xfrm>
                      <a:off x="0" y="0"/>
                      <a:ext cx="5334000" cy="2222500"/>
                    </a:xfrm>
                    <a:prstGeom prst="rect">
                      <a:avLst/>
                    </a:prstGeom>
                    <a:noFill/>
                    <a:ln w="9525">
                      <a:noFill/>
                      <a:headEnd/>
                      <a:tailEnd/>
                    </a:ln>
                  </pic:spPr>
                </pic:pic>
              </a:graphicData>
            </a:graphic>
          </wp:inline>
        </w:drawing>
      </w:r>
    </w:p>
    <w:p w14:paraId="19127350" w14:textId="740BD4FE" w:rsidR="00000000" w:rsidRDefault="003C33F1" w:rsidP="00FA520C">
      <w:pPr>
        <w:pStyle w:val="Caption"/>
        <w:jc w:val="center"/>
      </w:pPr>
      <w:r>
        <w:t xml:space="preserve">Figure </w:t>
      </w:r>
      <w:fldSimple w:instr=" SEQ Figure \* ARABIC ">
        <w:r>
          <w:rPr>
            <w:noProof/>
          </w:rPr>
          <w:t>4</w:t>
        </w:r>
      </w:fldSimple>
      <w:r>
        <w:t xml:space="preserve"> </w:t>
      </w:r>
      <w:r w:rsidRPr="00C670B1">
        <w:t xml:space="preserve">Scatterplot of estimated fraction for </w:t>
      </w:r>
      <w:r>
        <w:t xml:space="preserve">pancreas </w:t>
      </w:r>
      <w:r w:rsidRPr="00C670B1">
        <w:t>dataset</w:t>
      </w:r>
      <w:bookmarkEnd w:id="4"/>
    </w:p>
    <w:p w14:paraId="62498B84" w14:textId="740C3795" w:rsidR="00FA520C" w:rsidRPr="00FA520C" w:rsidRDefault="00FA520C" w:rsidP="00FA520C">
      <w:pPr>
        <w:pStyle w:val="BodyText"/>
        <w:jc w:val="both"/>
        <w:rPr>
          <w:rFonts w:ascii="Calibri" w:hAnsi="Calibri" w:cs="Calibri"/>
          <w:sz w:val="22"/>
          <w:szCs w:val="22"/>
        </w:rPr>
      </w:pPr>
      <w:r w:rsidRPr="00FA520C">
        <w:rPr>
          <w:rFonts w:ascii="Calibri" w:hAnsi="Calibri" w:cs="Calibri"/>
          <w:sz w:val="22"/>
          <w:szCs w:val="22"/>
        </w:rPr>
        <w:t xml:space="preserve">In the examination of individual cell types detailed in Table 3, </w:t>
      </w:r>
      <w:proofErr w:type="spellStart"/>
      <w:r w:rsidRPr="00FA520C">
        <w:rPr>
          <w:rFonts w:ascii="Calibri" w:hAnsi="Calibri" w:cs="Calibri"/>
          <w:sz w:val="22"/>
          <w:szCs w:val="22"/>
        </w:rPr>
        <w:t>CybersortX</w:t>
      </w:r>
      <w:proofErr w:type="spellEnd"/>
      <w:r w:rsidRPr="00FA520C">
        <w:rPr>
          <w:rFonts w:ascii="Calibri" w:hAnsi="Calibri" w:cs="Calibri"/>
          <w:sz w:val="22"/>
          <w:szCs w:val="22"/>
        </w:rPr>
        <w:t xml:space="preserve"> demonstrates a tendency toward higher Mean Squared Error (MSE) values, indicating a greater deviation from the ground truth proportions. This is particularly noticeable for ductal and acinar cell types. Conversely, </w:t>
      </w:r>
      <w:proofErr w:type="spellStart"/>
      <w:r w:rsidRPr="00FA520C">
        <w:rPr>
          <w:rFonts w:ascii="Calibri" w:hAnsi="Calibri" w:cs="Calibri"/>
          <w:sz w:val="22"/>
          <w:szCs w:val="22"/>
        </w:rPr>
        <w:t>BayesPrism</w:t>
      </w:r>
      <w:proofErr w:type="spellEnd"/>
      <w:r w:rsidRPr="00FA520C">
        <w:rPr>
          <w:rFonts w:ascii="Calibri" w:hAnsi="Calibri" w:cs="Calibri"/>
          <w:sz w:val="22"/>
          <w:szCs w:val="22"/>
        </w:rPr>
        <w:t xml:space="preserve"> consistently produces lower MSE values across various cell types, suggesting a generally more accurate estimation of cell proportions. Furthermore, </w:t>
      </w:r>
      <w:proofErr w:type="spellStart"/>
      <w:r w:rsidRPr="00FA520C">
        <w:rPr>
          <w:rFonts w:ascii="Calibri" w:hAnsi="Calibri" w:cs="Calibri"/>
          <w:sz w:val="22"/>
          <w:szCs w:val="22"/>
        </w:rPr>
        <w:t>BayesPrism</w:t>
      </w:r>
      <w:proofErr w:type="spellEnd"/>
      <w:r w:rsidRPr="00FA520C">
        <w:rPr>
          <w:rFonts w:ascii="Calibri" w:hAnsi="Calibri" w:cs="Calibri"/>
          <w:sz w:val="22"/>
          <w:szCs w:val="22"/>
        </w:rPr>
        <w:t xml:space="preserve"> consistently outperforms </w:t>
      </w:r>
      <w:proofErr w:type="spellStart"/>
      <w:r w:rsidRPr="00FA520C">
        <w:rPr>
          <w:rFonts w:ascii="Calibri" w:hAnsi="Calibri" w:cs="Calibri"/>
          <w:sz w:val="22"/>
          <w:szCs w:val="22"/>
        </w:rPr>
        <w:t>CybersortX</w:t>
      </w:r>
      <w:proofErr w:type="spellEnd"/>
      <w:r w:rsidRPr="00FA520C">
        <w:rPr>
          <w:rFonts w:ascii="Calibri" w:hAnsi="Calibri" w:cs="Calibri"/>
          <w:sz w:val="22"/>
          <w:szCs w:val="22"/>
        </w:rPr>
        <w:t xml:space="preserve"> in terms of correlation coefficients, reflecting a stronger linear relationship with the ground truth. Noteworthy variations in performance at the sample level are observed, with T2D2 displaying elevated MSE in </w:t>
      </w:r>
      <w:proofErr w:type="spellStart"/>
      <w:r w:rsidRPr="00FA520C">
        <w:rPr>
          <w:rFonts w:ascii="Calibri" w:hAnsi="Calibri" w:cs="Calibri"/>
          <w:sz w:val="22"/>
          <w:szCs w:val="22"/>
        </w:rPr>
        <w:t>BayesPrism</w:t>
      </w:r>
      <w:proofErr w:type="spellEnd"/>
      <w:r w:rsidRPr="00FA520C">
        <w:rPr>
          <w:rFonts w:ascii="Calibri" w:hAnsi="Calibri" w:cs="Calibri"/>
          <w:sz w:val="22"/>
          <w:szCs w:val="22"/>
        </w:rPr>
        <w:t>.</w:t>
      </w:r>
    </w:p>
    <w:p w14:paraId="5FC72679" w14:textId="3A7A26B6" w:rsidR="00EB6549" w:rsidRPr="00FA520C" w:rsidRDefault="00FA520C" w:rsidP="00FA520C">
      <w:pPr>
        <w:pStyle w:val="BodyText"/>
        <w:jc w:val="both"/>
        <w:rPr>
          <w:rFonts w:ascii="Calibri" w:hAnsi="Calibri" w:cs="Calibri"/>
          <w:b/>
          <w:bCs/>
          <w:sz w:val="22"/>
          <w:szCs w:val="22"/>
        </w:rPr>
      </w:pPr>
      <w:r w:rsidRPr="00FA520C">
        <w:rPr>
          <w:rFonts w:ascii="Calibri" w:hAnsi="Calibri" w:cs="Calibri"/>
          <w:sz w:val="22"/>
          <w:szCs w:val="22"/>
        </w:rPr>
        <w:t xml:space="preserve">In summary, the analysis highlights the nuanced performance of </w:t>
      </w:r>
      <w:proofErr w:type="spellStart"/>
      <w:r w:rsidRPr="00FA520C">
        <w:rPr>
          <w:rFonts w:ascii="Calibri" w:hAnsi="Calibri" w:cs="Calibri"/>
          <w:sz w:val="22"/>
          <w:szCs w:val="22"/>
        </w:rPr>
        <w:t>CybersortX</w:t>
      </w:r>
      <w:proofErr w:type="spellEnd"/>
      <w:r w:rsidRPr="00FA520C">
        <w:rPr>
          <w:rFonts w:ascii="Calibri" w:hAnsi="Calibri" w:cs="Calibri"/>
          <w:sz w:val="22"/>
          <w:szCs w:val="22"/>
        </w:rPr>
        <w:t xml:space="preserve"> and </w:t>
      </w:r>
      <w:proofErr w:type="spellStart"/>
      <w:r w:rsidRPr="00FA520C">
        <w:rPr>
          <w:rFonts w:ascii="Calibri" w:hAnsi="Calibri" w:cs="Calibri"/>
          <w:sz w:val="22"/>
          <w:szCs w:val="22"/>
        </w:rPr>
        <w:t>BayesPrism</w:t>
      </w:r>
      <w:proofErr w:type="spellEnd"/>
      <w:r w:rsidRPr="00FA520C">
        <w:rPr>
          <w:rFonts w:ascii="Calibri" w:hAnsi="Calibri" w:cs="Calibri"/>
          <w:sz w:val="22"/>
          <w:szCs w:val="22"/>
        </w:rPr>
        <w:t xml:space="preserve"> in fraction estimation for pancreas cell types. While </w:t>
      </w:r>
      <w:proofErr w:type="spellStart"/>
      <w:r w:rsidRPr="00FA520C">
        <w:rPr>
          <w:rFonts w:ascii="Calibri" w:hAnsi="Calibri" w:cs="Calibri"/>
          <w:sz w:val="22"/>
          <w:szCs w:val="22"/>
        </w:rPr>
        <w:t>CybersortX</w:t>
      </w:r>
      <w:proofErr w:type="spellEnd"/>
      <w:r w:rsidRPr="00FA520C">
        <w:rPr>
          <w:rFonts w:ascii="Calibri" w:hAnsi="Calibri" w:cs="Calibri"/>
          <w:sz w:val="22"/>
          <w:szCs w:val="22"/>
        </w:rPr>
        <w:t xml:space="preserve"> tends to exhibit higher MSE values, indicating greater deviation from the ground truth, </w:t>
      </w:r>
      <w:proofErr w:type="spellStart"/>
      <w:r w:rsidRPr="00FA520C">
        <w:rPr>
          <w:rFonts w:ascii="Calibri" w:hAnsi="Calibri" w:cs="Calibri"/>
          <w:sz w:val="22"/>
          <w:szCs w:val="22"/>
        </w:rPr>
        <w:t>BayesPrism</w:t>
      </w:r>
      <w:proofErr w:type="spellEnd"/>
      <w:r w:rsidRPr="00FA520C">
        <w:rPr>
          <w:rFonts w:ascii="Calibri" w:hAnsi="Calibri" w:cs="Calibri"/>
          <w:sz w:val="22"/>
          <w:szCs w:val="22"/>
        </w:rPr>
        <w:t xml:space="preserve"> consistently demonstrates lower MSE and higher correlation coefficients, reflecting a more accurate estimation of cell proportions. The sample-level analysis unveils variability in performance across specific samples. Overall, the findings suggest that the choice between </w:t>
      </w:r>
      <w:proofErr w:type="spellStart"/>
      <w:r w:rsidRPr="00FA520C">
        <w:rPr>
          <w:rFonts w:ascii="Calibri" w:hAnsi="Calibri" w:cs="Calibri"/>
          <w:sz w:val="22"/>
          <w:szCs w:val="22"/>
        </w:rPr>
        <w:t>CybersortX</w:t>
      </w:r>
      <w:proofErr w:type="spellEnd"/>
      <w:r w:rsidRPr="00FA520C">
        <w:rPr>
          <w:rFonts w:ascii="Calibri" w:hAnsi="Calibri" w:cs="Calibri"/>
          <w:sz w:val="22"/>
          <w:szCs w:val="22"/>
        </w:rPr>
        <w:t xml:space="preserve"> and </w:t>
      </w:r>
      <w:proofErr w:type="spellStart"/>
      <w:r w:rsidRPr="00FA520C">
        <w:rPr>
          <w:rFonts w:ascii="Calibri" w:hAnsi="Calibri" w:cs="Calibri"/>
          <w:sz w:val="22"/>
          <w:szCs w:val="22"/>
        </w:rPr>
        <w:t>BayesPrism</w:t>
      </w:r>
      <w:proofErr w:type="spellEnd"/>
      <w:r w:rsidRPr="00FA520C">
        <w:rPr>
          <w:rFonts w:ascii="Calibri" w:hAnsi="Calibri" w:cs="Calibri"/>
          <w:sz w:val="22"/>
          <w:szCs w:val="22"/>
        </w:rPr>
        <w:t xml:space="preserve"> depends on the specific priorities of the analysis, considering the trade-off between precision and bias in cell proportion estimation.</w:t>
      </w:r>
    </w:p>
    <w:p w14:paraId="779B0698" w14:textId="77777777" w:rsidR="003C33F1" w:rsidRDefault="003C33F1" w:rsidP="003C33F1">
      <w:pPr>
        <w:pStyle w:val="BodyText"/>
        <w:rPr>
          <w:noProof/>
        </w:rPr>
      </w:pPr>
    </w:p>
    <w:p w14:paraId="7DEABBB7" w14:textId="313052EB" w:rsidR="003C33F1" w:rsidRDefault="003C33F1" w:rsidP="003C33F1">
      <w:pPr>
        <w:pStyle w:val="BodyText"/>
        <w:rPr>
          <w:noProof/>
        </w:rPr>
      </w:pPr>
      <w:r w:rsidRPr="003C33F1">
        <w:lastRenderedPageBreak/>
        <w:drawing>
          <wp:inline distT="0" distB="0" distL="0" distR="0" wp14:anchorId="65C2549F" wp14:editId="56068F92">
            <wp:extent cx="5400000" cy="3450000"/>
            <wp:effectExtent l="0" t="0" r="0" b="0"/>
            <wp:docPr id="66097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75477" name="Picture 1" descr="A screenshot of a computer&#10;&#10;Description automatically generated"/>
                    <pic:cNvPicPr/>
                  </pic:nvPicPr>
                  <pic:blipFill>
                    <a:blip r:embed="rId20"/>
                    <a:stretch>
                      <a:fillRect/>
                    </a:stretch>
                  </pic:blipFill>
                  <pic:spPr>
                    <a:xfrm>
                      <a:off x="0" y="0"/>
                      <a:ext cx="5400000" cy="3450000"/>
                    </a:xfrm>
                    <a:prstGeom prst="rect">
                      <a:avLst/>
                    </a:prstGeom>
                  </pic:spPr>
                </pic:pic>
              </a:graphicData>
            </a:graphic>
          </wp:inline>
        </w:drawing>
      </w:r>
    </w:p>
    <w:p w14:paraId="0E96C404" w14:textId="210D6290" w:rsidR="003C33F1" w:rsidRDefault="003C33F1" w:rsidP="003C33F1">
      <w:pPr>
        <w:pStyle w:val="Caption"/>
        <w:jc w:val="center"/>
      </w:pPr>
      <w:r>
        <w:t xml:space="preserve">Table </w:t>
      </w:r>
      <w:r>
        <w:fldChar w:fldCharType="begin"/>
      </w:r>
      <w:r>
        <w:instrText xml:space="preserve"> SEQ Table \* ARABIC </w:instrText>
      </w:r>
      <w:r>
        <w:fldChar w:fldCharType="separate"/>
      </w:r>
      <w:r>
        <w:t>3</w:t>
      </w:r>
      <w:r>
        <w:fldChar w:fldCharType="end"/>
      </w:r>
      <w:r>
        <w:t xml:space="preserve"> </w:t>
      </w:r>
      <w:r w:rsidRPr="00E22607">
        <w:t>Tables for fraction estimation (</w:t>
      </w:r>
      <w:r>
        <w:t>pancreas</w:t>
      </w:r>
      <w:r w:rsidRPr="00E22607">
        <w:t>)</w:t>
      </w:r>
    </w:p>
    <w:p w14:paraId="4BDB27A5" w14:textId="77777777" w:rsidR="003C33F1" w:rsidRDefault="003C33F1" w:rsidP="003C33F1">
      <w:pPr>
        <w:pStyle w:val="Caption"/>
      </w:pPr>
    </w:p>
    <w:p w14:paraId="0079E515" w14:textId="683EE434" w:rsidR="003C33F1" w:rsidRDefault="003C33F1" w:rsidP="00E34B37">
      <w:pPr>
        <w:pStyle w:val="BodyText"/>
        <w:rPr>
          <w:noProof/>
        </w:rPr>
      </w:pPr>
      <w:r w:rsidRPr="003C33F1">
        <w:rPr>
          <w:noProof/>
        </w:rPr>
        <w:drawing>
          <wp:inline distT="0" distB="0" distL="0" distR="0" wp14:anchorId="4FC59487" wp14:editId="33EA6DD9">
            <wp:extent cx="5400000" cy="2309375"/>
            <wp:effectExtent l="0" t="0" r="0" b="0"/>
            <wp:docPr id="7828441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4123" name="Picture 1" descr="A screenshot of a computer screen&#10;&#10;Description automatically generated"/>
                    <pic:cNvPicPr/>
                  </pic:nvPicPr>
                  <pic:blipFill>
                    <a:blip r:embed="rId21"/>
                    <a:stretch>
                      <a:fillRect/>
                    </a:stretch>
                  </pic:blipFill>
                  <pic:spPr>
                    <a:xfrm>
                      <a:off x="0" y="0"/>
                      <a:ext cx="5400000" cy="2309375"/>
                    </a:xfrm>
                    <a:prstGeom prst="rect">
                      <a:avLst/>
                    </a:prstGeom>
                  </pic:spPr>
                </pic:pic>
              </a:graphicData>
            </a:graphic>
          </wp:inline>
        </w:drawing>
      </w:r>
    </w:p>
    <w:p w14:paraId="5052DDEC" w14:textId="6681A508" w:rsidR="003C33F1" w:rsidRPr="00E34B37" w:rsidRDefault="003C33F1" w:rsidP="00E34B37">
      <w:pPr>
        <w:pStyle w:val="BodyText"/>
        <w:jc w:val="center"/>
        <w:rPr>
          <w:i/>
          <w:iCs/>
          <w:noProof/>
        </w:rPr>
      </w:pPr>
      <w:r w:rsidRPr="00E34B37">
        <w:rPr>
          <w:i/>
          <w:iCs/>
          <w:noProof/>
        </w:rPr>
        <w:t xml:space="preserve">Table </w:t>
      </w:r>
      <w:r w:rsidRPr="00E34B37">
        <w:rPr>
          <w:i/>
          <w:iCs/>
          <w:noProof/>
        </w:rPr>
        <w:fldChar w:fldCharType="begin"/>
      </w:r>
      <w:r w:rsidRPr="00E34B37">
        <w:rPr>
          <w:i/>
          <w:iCs/>
          <w:noProof/>
        </w:rPr>
        <w:instrText xml:space="preserve"> SEQ Table \* ARABIC </w:instrText>
      </w:r>
      <w:r w:rsidRPr="00E34B37">
        <w:rPr>
          <w:i/>
          <w:iCs/>
          <w:noProof/>
        </w:rPr>
        <w:fldChar w:fldCharType="separate"/>
      </w:r>
      <w:r w:rsidRPr="00E34B37">
        <w:rPr>
          <w:i/>
          <w:iCs/>
          <w:noProof/>
        </w:rPr>
        <w:t>4</w:t>
      </w:r>
      <w:r w:rsidRPr="00E34B37">
        <w:rPr>
          <w:i/>
          <w:iCs/>
          <w:noProof/>
        </w:rPr>
        <w:fldChar w:fldCharType="end"/>
      </w:r>
      <w:r w:rsidRPr="00E34B37">
        <w:rPr>
          <w:i/>
          <w:iCs/>
          <w:noProof/>
        </w:rPr>
        <w:t xml:space="preserve"> Tables for bulk estimation (PBMC)</w:t>
      </w:r>
    </w:p>
    <w:p w14:paraId="1147A818" w14:textId="4B84E3EA" w:rsidR="00FA520C" w:rsidRDefault="00FA520C" w:rsidP="00E34B37">
      <w:pPr>
        <w:pStyle w:val="Heading2"/>
      </w:pPr>
      <w:r>
        <w:t>Conclusion</w:t>
      </w:r>
    </w:p>
    <w:p w14:paraId="77C0C459" w14:textId="77777777" w:rsidR="00CD231A" w:rsidRPr="00CD231A" w:rsidRDefault="00CD231A" w:rsidP="00CD231A">
      <w:pPr>
        <w:pStyle w:val="BodyText"/>
        <w:rPr>
          <w:rFonts w:ascii="Calibri" w:hAnsi="Calibri" w:cs="Calibri"/>
          <w:sz w:val="22"/>
          <w:szCs w:val="22"/>
        </w:rPr>
      </w:pPr>
      <w:r w:rsidRPr="00CD231A">
        <w:rPr>
          <w:rFonts w:ascii="Calibri" w:hAnsi="Calibri" w:cs="Calibri"/>
          <w:sz w:val="22"/>
          <w:szCs w:val="22"/>
        </w:rPr>
        <w:t xml:space="preserve">This paper details a structured experiment utilizing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and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to analyze two diverse datasets: PBMC and pancreas. The primary objective was to estimate cell type proportions and gain insights into the overall biological composition of the samples, employing single-cell data as a reference and bulk data as input.</w:t>
      </w:r>
    </w:p>
    <w:p w14:paraId="39397F55" w14:textId="77777777" w:rsidR="00CD231A" w:rsidRPr="00CD231A" w:rsidRDefault="00CD231A" w:rsidP="00CD231A">
      <w:pPr>
        <w:pStyle w:val="BodyText"/>
        <w:rPr>
          <w:rFonts w:ascii="Calibri" w:hAnsi="Calibri" w:cs="Calibri"/>
          <w:sz w:val="22"/>
          <w:szCs w:val="22"/>
        </w:rPr>
      </w:pPr>
    </w:p>
    <w:p w14:paraId="626310B8" w14:textId="45D090A7" w:rsidR="00CD231A" w:rsidRPr="00CD231A" w:rsidRDefault="00CD231A" w:rsidP="00CD231A">
      <w:pPr>
        <w:pStyle w:val="BodyText"/>
        <w:rPr>
          <w:rFonts w:ascii="Calibri" w:hAnsi="Calibri" w:cs="Calibri"/>
          <w:sz w:val="22"/>
          <w:szCs w:val="22"/>
        </w:rPr>
      </w:pPr>
      <w:r w:rsidRPr="00CD231A">
        <w:rPr>
          <w:rFonts w:ascii="Calibri" w:hAnsi="Calibri" w:cs="Calibri"/>
          <w:sz w:val="22"/>
          <w:szCs w:val="22"/>
        </w:rPr>
        <w:lastRenderedPageBreak/>
        <w:t>To enhance the accuracy of subsequent deconvolution processes, the initial data preprocessing emphasized filtering out highly expressed genes related to ribosomal proteins and mitochondrial functions. Additionally, the visualization of outlier genes in both single-cell and bulk RNA-seq datasets provided crucial insights into potential sources of variation.</w:t>
      </w:r>
    </w:p>
    <w:p w14:paraId="4F69A9B9" w14:textId="6D4A30F4" w:rsidR="00CD231A" w:rsidRPr="00CD231A" w:rsidRDefault="00CD231A" w:rsidP="00CD231A">
      <w:pPr>
        <w:pStyle w:val="BodyText"/>
        <w:rPr>
          <w:rFonts w:ascii="Calibri" w:hAnsi="Calibri" w:cs="Calibri"/>
          <w:sz w:val="22"/>
          <w:szCs w:val="22"/>
        </w:rPr>
      </w:pPr>
      <w:r w:rsidRPr="00CD231A">
        <w:rPr>
          <w:rFonts w:ascii="Calibri" w:hAnsi="Calibri" w:cs="Calibri"/>
          <w:sz w:val="22"/>
          <w:szCs w:val="22"/>
        </w:rPr>
        <w:t xml:space="preserve">Considering computational efficiency, it's noteworthy that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stands out due to its avoidance of Gibbs Sampling, making it much preferred in terms of computational time. The estimated fraction on the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website, obtained through "Run </w:t>
      </w:r>
      <w:proofErr w:type="spellStart"/>
      <w:r w:rsidRPr="00CD231A">
        <w:rPr>
          <w:rFonts w:ascii="Calibri" w:hAnsi="Calibri" w:cs="Calibri"/>
          <w:sz w:val="22"/>
          <w:szCs w:val="22"/>
        </w:rPr>
        <w:t>CIBERSORTx</w:t>
      </w:r>
      <w:proofErr w:type="spellEnd"/>
      <w:r w:rsidRPr="00CD231A">
        <w:rPr>
          <w:rFonts w:ascii="Calibri" w:hAnsi="Calibri" w:cs="Calibri"/>
          <w:sz w:val="22"/>
          <w:szCs w:val="22"/>
        </w:rPr>
        <w:t xml:space="preserve">," typically takes a few minutes. In contrast, the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package's fraction calculation, executed on an R script on Compute Canada, requires several hours. Importantly, attempting to run such large datasets on local R software may lead to program interruption due to insufficient memory.</w:t>
      </w:r>
    </w:p>
    <w:p w14:paraId="725B6A64" w14:textId="5244FC1F" w:rsidR="00CD231A" w:rsidRPr="00CD231A" w:rsidRDefault="00CD231A" w:rsidP="00CD231A">
      <w:pPr>
        <w:pStyle w:val="BodyText"/>
        <w:rPr>
          <w:rFonts w:ascii="Calibri" w:hAnsi="Calibri" w:cs="Calibri"/>
          <w:sz w:val="22"/>
          <w:szCs w:val="22"/>
        </w:rPr>
      </w:pPr>
      <w:r w:rsidRPr="00CD231A">
        <w:rPr>
          <w:rFonts w:ascii="Calibri" w:hAnsi="Calibri" w:cs="Calibri"/>
          <w:sz w:val="22"/>
          <w:szCs w:val="22"/>
        </w:rPr>
        <w:t xml:space="preserve">The subsequent analyses on PBMC and pancreas datasets uncovered distinct patterns in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and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performance. In PBMC,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excelled in estimating cell type proportions, with significant differences observed between individual cell types. This trend was corroborated in the bulk estimation results, underscoring </w:t>
      </w:r>
      <w:proofErr w:type="spellStart"/>
      <w:r w:rsidRPr="00CD231A">
        <w:rPr>
          <w:rFonts w:ascii="Calibri" w:hAnsi="Calibri" w:cs="Calibri"/>
          <w:sz w:val="22"/>
          <w:szCs w:val="22"/>
        </w:rPr>
        <w:t>CybersortX's</w:t>
      </w:r>
      <w:proofErr w:type="spellEnd"/>
      <w:r w:rsidRPr="00CD231A">
        <w:rPr>
          <w:rFonts w:ascii="Calibri" w:hAnsi="Calibri" w:cs="Calibri"/>
          <w:sz w:val="22"/>
          <w:szCs w:val="22"/>
        </w:rPr>
        <w:t xml:space="preserve"> efficacy in capturing the cellular composition of PBMC samples.</w:t>
      </w:r>
    </w:p>
    <w:p w14:paraId="74D3A628" w14:textId="3B89184A" w:rsidR="00CD231A" w:rsidRPr="00CD231A" w:rsidRDefault="00CD231A" w:rsidP="00CD231A">
      <w:pPr>
        <w:pStyle w:val="BodyText"/>
        <w:rPr>
          <w:rFonts w:ascii="Calibri" w:hAnsi="Calibri" w:cs="Calibri"/>
          <w:sz w:val="22"/>
          <w:szCs w:val="22"/>
        </w:rPr>
      </w:pPr>
      <w:r w:rsidRPr="00CD231A">
        <w:rPr>
          <w:rFonts w:ascii="Calibri" w:hAnsi="Calibri" w:cs="Calibri"/>
          <w:sz w:val="22"/>
          <w:szCs w:val="22"/>
        </w:rPr>
        <w:t xml:space="preserve">In the pancreas dataset,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maintained its superiority over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particularly in estimating proportions for specific cell types. Although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displayed higher MSE values,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showcased lower MSE and higher correlation coefficients, indicative of a more accurate estimation of cell proportions. This nuanced performance was evident at both the cell and sample levels.</w:t>
      </w:r>
    </w:p>
    <w:p w14:paraId="372EE156" w14:textId="769A3B92" w:rsidR="00FA520C" w:rsidRDefault="00CD231A" w:rsidP="00CD231A">
      <w:pPr>
        <w:pStyle w:val="BodyText"/>
        <w:rPr>
          <w:rFonts w:ascii="Calibri" w:hAnsi="Calibri" w:cs="Calibri"/>
          <w:sz w:val="22"/>
          <w:szCs w:val="22"/>
        </w:rPr>
      </w:pPr>
      <w:r w:rsidRPr="00CD231A">
        <w:rPr>
          <w:rFonts w:ascii="Calibri" w:hAnsi="Calibri" w:cs="Calibri"/>
          <w:sz w:val="22"/>
          <w:szCs w:val="22"/>
        </w:rPr>
        <w:t xml:space="preserve">In summary, the findings suggest that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and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possess distinct advantages and disadvantages, with </w:t>
      </w:r>
      <w:proofErr w:type="spellStart"/>
      <w:r w:rsidRPr="00CD231A">
        <w:rPr>
          <w:rFonts w:ascii="Calibri" w:hAnsi="Calibri" w:cs="Calibri"/>
          <w:sz w:val="22"/>
          <w:szCs w:val="22"/>
        </w:rPr>
        <w:t>CybersortX</w:t>
      </w:r>
      <w:proofErr w:type="spellEnd"/>
      <w:r w:rsidRPr="00CD231A">
        <w:rPr>
          <w:rFonts w:ascii="Calibri" w:hAnsi="Calibri" w:cs="Calibri"/>
          <w:sz w:val="22"/>
          <w:szCs w:val="22"/>
        </w:rPr>
        <w:t xml:space="preserve"> generally outperforming </w:t>
      </w:r>
      <w:proofErr w:type="spellStart"/>
      <w:r w:rsidRPr="00CD231A">
        <w:rPr>
          <w:rFonts w:ascii="Calibri" w:hAnsi="Calibri" w:cs="Calibri"/>
          <w:sz w:val="22"/>
          <w:szCs w:val="22"/>
        </w:rPr>
        <w:t>BayesPrism</w:t>
      </w:r>
      <w:proofErr w:type="spellEnd"/>
      <w:r w:rsidRPr="00CD231A">
        <w:rPr>
          <w:rFonts w:ascii="Calibri" w:hAnsi="Calibri" w:cs="Calibri"/>
          <w:sz w:val="22"/>
          <w:szCs w:val="22"/>
        </w:rPr>
        <w:t xml:space="preserve"> in estimating cell type proportions. The choice between the two methods should be guided by specific analysis priorities, considering the balance of precision and bias in cell proportion estimation. This report contributes valuable insights into the tools' strengths and limitations, aiding researchers in making informed decisions based on the goals of their analyses. Additionally, the consideration of computational efficiency underscores the practical implications of choosing between these methods in large-scale analyses.</w:t>
      </w:r>
    </w:p>
    <w:p w14:paraId="7FE1BF85" w14:textId="77777777" w:rsidR="00CD231A" w:rsidRPr="00FA520C" w:rsidRDefault="00CD231A" w:rsidP="00CD231A">
      <w:pPr>
        <w:pStyle w:val="BodyText"/>
      </w:pPr>
    </w:p>
    <w:p w14:paraId="5EA5965F" w14:textId="475B3687" w:rsidR="00E34B37" w:rsidRDefault="00E34B37" w:rsidP="00E34B37">
      <w:pPr>
        <w:pStyle w:val="Heading2"/>
      </w:pPr>
      <w:r>
        <w:t>Reference</w:t>
      </w:r>
    </w:p>
    <w:p w14:paraId="362067A0" w14:textId="20022FD2" w:rsidR="00E34B37" w:rsidRPr="00CD231A" w:rsidRDefault="00CD231A" w:rsidP="00E34B37">
      <w:pPr>
        <w:pStyle w:val="BodyText"/>
        <w:rPr>
          <w:rFonts w:ascii="Calibri" w:hAnsi="Calibri" w:cs="Calibri"/>
          <w:sz w:val="22"/>
          <w:szCs w:val="22"/>
        </w:rPr>
      </w:pPr>
      <w:r>
        <w:rPr>
          <w:rFonts w:ascii="Calibri" w:hAnsi="Calibri" w:cs="Calibri"/>
          <w:sz w:val="22"/>
          <w:szCs w:val="22"/>
        </w:rPr>
        <w:t>Chu</w:t>
      </w:r>
      <w:r w:rsidR="00E34B37" w:rsidRPr="00CD231A">
        <w:rPr>
          <w:rFonts w:ascii="Calibri" w:hAnsi="Calibri" w:cs="Calibri"/>
          <w:sz w:val="22"/>
          <w:szCs w:val="22"/>
        </w:rPr>
        <w:t xml:space="preserve">, T., Wang, Z., Pe’er, D. et al. Cell type and gene expression deconvolution with </w:t>
      </w:r>
      <w:proofErr w:type="spellStart"/>
      <w:r w:rsidR="00E34B37" w:rsidRPr="00CD231A">
        <w:rPr>
          <w:rFonts w:ascii="Calibri" w:hAnsi="Calibri" w:cs="Calibri"/>
          <w:sz w:val="22"/>
          <w:szCs w:val="22"/>
        </w:rPr>
        <w:t>BayesPrism</w:t>
      </w:r>
      <w:proofErr w:type="spellEnd"/>
      <w:r w:rsidR="00E34B37" w:rsidRPr="00CD231A">
        <w:rPr>
          <w:rFonts w:ascii="Calibri" w:hAnsi="Calibri" w:cs="Calibri"/>
          <w:sz w:val="22"/>
          <w:szCs w:val="22"/>
        </w:rPr>
        <w:t xml:space="preserve"> enables Bayesian integrative analysis across bulk and single-cell RNA sequencing in oncology. Nat Cancer 3, 505–517 (2022). https://doi.org/10.1038/s43018-022-00356-3</w:t>
      </w:r>
    </w:p>
    <w:p w14:paraId="0A65896F" w14:textId="321A15CC" w:rsidR="00E34B37" w:rsidRPr="00CD231A" w:rsidRDefault="00E34B37" w:rsidP="00E34B37">
      <w:pPr>
        <w:pStyle w:val="Caption"/>
        <w:rPr>
          <w:rFonts w:ascii="Calibri" w:eastAsia="Calibri" w:hAnsi="Calibri" w:cs="Calibri"/>
          <w:i w:val="0"/>
          <w:sz w:val="22"/>
          <w:szCs w:val="22"/>
        </w:rPr>
      </w:pPr>
      <w:r w:rsidRPr="00CD231A">
        <w:rPr>
          <w:rFonts w:ascii="Calibri" w:eastAsia="Calibri" w:hAnsi="Calibri" w:cs="Calibri"/>
          <w:i w:val="0"/>
          <w:sz w:val="22"/>
          <w:szCs w:val="22"/>
        </w:rPr>
        <w:t xml:space="preserve">Newman, A.M., Steen, C.B., Liu, C.L. et al. Determining cell type abundance and expression from bulk tissues with digital cytometry. Nat </w:t>
      </w:r>
      <w:proofErr w:type="spellStart"/>
      <w:r w:rsidRPr="00CD231A">
        <w:rPr>
          <w:rFonts w:ascii="Calibri" w:eastAsia="Calibri" w:hAnsi="Calibri" w:cs="Calibri"/>
          <w:i w:val="0"/>
          <w:sz w:val="22"/>
          <w:szCs w:val="22"/>
        </w:rPr>
        <w:t>Biotechnol</w:t>
      </w:r>
      <w:proofErr w:type="spellEnd"/>
      <w:r w:rsidRPr="00CD231A">
        <w:rPr>
          <w:rFonts w:ascii="Calibri" w:eastAsia="Calibri" w:hAnsi="Calibri" w:cs="Calibri"/>
          <w:i w:val="0"/>
          <w:sz w:val="22"/>
          <w:szCs w:val="22"/>
        </w:rPr>
        <w:t> 37, 773–782 (2019). https://doi.org/10.1038/s41587-019-0114-2</w:t>
      </w:r>
    </w:p>
    <w:sectPr w:rsidR="00E34B37" w:rsidRPr="00CD231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6B55" w14:textId="77777777" w:rsidR="003F431A" w:rsidRDefault="003F431A">
      <w:pPr>
        <w:spacing w:after="0"/>
      </w:pPr>
      <w:r>
        <w:separator/>
      </w:r>
    </w:p>
  </w:endnote>
  <w:endnote w:type="continuationSeparator" w:id="0">
    <w:p w14:paraId="16B083FC" w14:textId="77777777" w:rsidR="003F431A" w:rsidRDefault="003F43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ECE1" w14:textId="77777777" w:rsidR="003F431A" w:rsidRDefault="003F431A">
      <w:r>
        <w:separator/>
      </w:r>
    </w:p>
  </w:footnote>
  <w:footnote w:type="continuationSeparator" w:id="0">
    <w:p w14:paraId="1896C1D0" w14:textId="77777777" w:rsidR="003F431A" w:rsidRDefault="003F4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44BA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1161EA"/>
    <w:multiLevelType w:val="hybridMultilevel"/>
    <w:tmpl w:val="50A68714"/>
    <w:lvl w:ilvl="0" w:tplc="B98835FC">
      <w:start w:val="1"/>
      <w:numFmt w:val="bullet"/>
      <w:lvlText w:val=""/>
      <w:lvlJc w:val="left"/>
      <w:pPr>
        <w:ind w:left="440" w:hanging="440"/>
      </w:pPr>
      <w:rPr>
        <w:rFonts w:ascii="Wingdings" w:hAnsi="Wingdings" w:hint="default"/>
        <w:w w:val="99"/>
        <w:sz w:val="18"/>
        <w:szCs w:val="21"/>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B01CA2"/>
    <w:multiLevelType w:val="hybridMultilevel"/>
    <w:tmpl w:val="77B2427C"/>
    <w:lvl w:ilvl="0" w:tplc="B98835FC">
      <w:start w:val="1"/>
      <w:numFmt w:val="bullet"/>
      <w:lvlText w:val=""/>
      <w:lvlJc w:val="left"/>
      <w:pPr>
        <w:ind w:left="440" w:hanging="440"/>
      </w:pPr>
      <w:rPr>
        <w:rFonts w:ascii="Wingdings" w:hAnsi="Wingdings" w:hint="default"/>
        <w:w w:val="99"/>
        <w:sz w:val="18"/>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426F6A"/>
    <w:multiLevelType w:val="hybridMultilevel"/>
    <w:tmpl w:val="F8B6E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8E3394E"/>
    <w:multiLevelType w:val="hybridMultilevel"/>
    <w:tmpl w:val="402E8B0C"/>
    <w:lvl w:ilvl="0" w:tplc="B98835FC">
      <w:start w:val="1"/>
      <w:numFmt w:val="bullet"/>
      <w:lvlText w:val=""/>
      <w:lvlJc w:val="left"/>
      <w:pPr>
        <w:ind w:left="440" w:hanging="440"/>
      </w:pPr>
      <w:rPr>
        <w:rFonts w:ascii="Wingdings" w:hAnsi="Wingdings" w:hint="default"/>
        <w:w w:val="99"/>
        <w:sz w:val="18"/>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F9047AD"/>
    <w:multiLevelType w:val="hybridMultilevel"/>
    <w:tmpl w:val="0BDC7494"/>
    <w:lvl w:ilvl="0" w:tplc="B98835FC">
      <w:start w:val="1"/>
      <w:numFmt w:val="bullet"/>
      <w:lvlText w:val=""/>
      <w:lvlJc w:val="left"/>
      <w:pPr>
        <w:ind w:left="440" w:hanging="440"/>
      </w:pPr>
      <w:rPr>
        <w:rFonts w:ascii="Wingdings" w:hAnsi="Wingdings" w:hint="default"/>
        <w:w w:val="99"/>
        <w:sz w:val="18"/>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46E4658"/>
    <w:multiLevelType w:val="hybridMultilevel"/>
    <w:tmpl w:val="A6AA6CDC"/>
    <w:lvl w:ilvl="0" w:tplc="1A1C18E6">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4CD7722"/>
    <w:multiLevelType w:val="multilevel"/>
    <w:tmpl w:val="2A9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E06610"/>
    <w:multiLevelType w:val="hybridMultilevel"/>
    <w:tmpl w:val="76E6ED84"/>
    <w:lvl w:ilvl="0" w:tplc="B98835FC">
      <w:start w:val="1"/>
      <w:numFmt w:val="bullet"/>
      <w:lvlText w:val=""/>
      <w:lvlJc w:val="left"/>
      <w:pPr>
        <w:ind w:left="440" w:hanging="440"/>
      </w:pPr>
      <w:rPr>
        <w:rFonts w:ascii="Wingdings" w:hAnsi="Wingdings" w:hint="default"/>
        <w:w w:val="99"/>
        <w:sz w:val="18"/>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18343534">
    <w:abstractNumId w:val="0"/>
  </w:num>
  <w:num w:numId="2" w16cid:durableId="1683583280">
    <w:abstractNumId w:val="3"/>
  </w:num>
  <w:num w:numId="3" w16cid:durableId="1728799531">
    <w:abstractNumId w:val="7"/>
  </w:num>
  <w:num w:numId="4" w16cid:durableId="1375151788">
    <w:abstractNumId w:val="5"/>
  </w:num>
  <w:num w:numId="5" w16cid:durableId="660815356">
    <w:abstractNumId w:val="1"/>
  </w:num>
  <w:num w:numId="6" w16cid:durableId="1198471208">
    <w:abstractNumId w:val="2"/>
  </w:num>
  <w:num w:numId="7" w16cid:durableId="1707411946">
    <w:abstractNumId w:val="8"/>
  </w:num>
  <w:num w:numId="8" w16cid:durableId="1714302969">
    <w:abstractNumId w:val="6"/>
  </w:num>
  <w:num w:numId="9" w16cid:durableId="1359234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03BF"/>
    <w:rsid w:val="00330FA5"/>
    <w:rsid w:val="003C33F1"/>
    <w:rsid w:val="003F431A"/>
    <w:rsid w:val="005303BF"/>
    <w:rsid w:val="006E6E51"/>
    <w:rsid w:val="0079587F"/>
    <w:rsid w:val="007F7EB7"/>
    <w:rsid w:val="00863EED"/>
    <w:rsid w:val="00976CD9"/>
    <w:rsid w:val="009A2F70"/>
    <w:rsid w:val="00A32565"/>
    <w:rsid w:val="00B70B8C"/>
    <w:rsid w:val="00CD231A"/>
    <w:rsid w:val="00E34B37"/>
    <w:rsid w:val="00EB6549"/>
    <w:rsid w:val="00FA520C"/>
    <w:rsid w:val="00FC16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199F3"/>
  <w15:docId w15:val="{097251E5-8C1F-46E9-8B03-82DAD542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E6E51"/>
    <w:pPr>
      <w:spacing w:before="180" w:after="180"/>
    </w:pPr>
    <w:rPr>
      <w:rFonts w:eastAsia="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9A2F70"/>
    <w:pPr>
      <w:spacing w:before="100" w:beforeAutospacing="1" w:after="100" w:afterAutospacing="1"/>
    </w:pPr>
    <w:rPr>
      <w:rFonts w:ascii="宋体" w:eastAsia="宋体" w:hAnsi="宋体" w:cs="宋体"/>
      <w:lang w:eastAsia="zh-CN"/>
    </w:rPr>
  </w:style>
  <w:style w:type="character" w:styleId="PlaceholderText">
    <w:name w:val="Placeholder Text"/>
    <w:basedOn w:val="DefaultParagraphFont"/>
    <w:rsid w:val="009A2F70"/>
    <w:rPr>
      <w:color w:val="666666"/>
    </w:rPr>
  </w:style>
  <w:style w:type="character" w:styleId="HTMLCode">
    <w:name w:val="HTML Code"/>
    <w:basedOn w:val="DefaultParagraphFont"/>
    <w:uiPriority w:val="99"/>
    <w:unhideWhenUsed/>
    <w:rsid w:val="006E6E51"/>
    <w:rPr>
      <w:rFonts w:ascii="宋体" w:eastAsia="宋体" w:hAnsi="宋体" w:cs="宋体"/>
      <w:sz w:val="24"/>
      <w:szCs w:val="24"/>
    </w:rPr>
  </w:style>
  <w:style w:type="paragraph" w:styleId="ListParagraph">
    <w:name w:val="List Paragraph"/>
    <w:basedOn w:val="Normal"/>
    <w:rsid w:val="00E34B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9740">
      <w:bodyDiv w:val="1"/>
      <w:marLeft w:val="0"/>
      <w:marRight w:val="0"/>
      <w:marTop w:val="0"/>
      <w:marBottom w:val="0"/>
      <w:divBdr>
        <w:top w:val="none" w:sz="0" w:space="0" w:color="auto"/>
        <w:left w:val="none" w:sz="0" w:space="0" w:color="auto"/>
        <w:bottom w:val="none" w:sz="0" w:space="0" w:color="auto"/>
        <w:right w:val="none" w:sz="0" w:space="0" w:color="auto"/>
      </w:divBdr>
    </w:div>
    <w:div w:id="392780670">
      <w:bodyDiv w:val="1"/>
      <w:marLeft w:val="0"/>
      <w:marRight w:val="0"/>
      <w:marTop w:val="0"/>
      <w:marBottom w:val="0"/>
      <w:divBdr>
        <w:top w:val="none" w:sz="0" w:space="0" w:color="auto"/>
        <w:left w:val="none" w:sz="0" w:space="0" w:color="auto"/>
        <w:bottom w:val="none" w:sz="0" w:space="0" w:color="auto"/>
        <w:right w:val="none" w:sz="0" w:space="0" w:color="auto"/>
      </w:divBdr>
    </w:div>
    <w:div w:id="449596657">
      <w:bodyDiv w:val="1"/>
      <w:marLeft w:val="0"/>
      <w:marRight w:val="0"/>
      <w:marTop w:val="0"/>
      <w:marBottom w:val="0"/>
      <w:divBdr>
        <w:top w:val="none" w:sz="0" w:space="0" w:color="auto"/>
        <w:left w:val="none" w:sz="0" w:space="0" w:color="auto"/>
        <w:bottom w:val="none" w:sz="0" w:space="0" w:color="auto"/>
        <w:right w:val="none" w:sz="0" w:space="0" w:color="auto"/>
      </w:divBdr>
    </w:div>
    <w:div w:id="550381732">
      <w:bodyDiv w:val="1"/>
      <w:marLeft w:val="0"/>
      <w:marRight w:val="0"/>
      <w:marTop w:val="0"/>
      <w:marBottom w:val="0"/>
      <w:divBdr>
        <w:top w:val="none" w:sz="0" w:space="0" w:color="auto"/>
        <w:left w:val="none" w:sz="0" w:space="0" w:color="auto"/>
        <w:bottom w:val="none" w:sz="0" w:space="0" w:color="auto"/>
        <w:right w:val="none" w:sz="0" w:space="0" w:color="auto"/>
      </w:divBdr>
    </w:div>
    <w:div w:id="940795944">
      <w:bodyDiv w:val="1"/>
      <w:marLeft w:val="0"/>
      <w:marRight w:val="0"/>
      <w:marTop w:val="0"/>
      <w:marBottom w:val="0"/>
      <w:divBdr>
        <w:top w:val="none" w:sz="0" w:space="0" w:color="auto"/>
        <w:left w:val="none" w:sz="0" w:space="0" w:color="auto"/>
        <w:bottom w:val="none" w:sz="0" w:space="0" w:color="auto"/>
        <w:right w:val="none" w:sz="0" w:space="0" w:color="auto"/>
      </w:divBdr>
    </w:div>
    <w:div w:id="968708887">
      <w:bodyDiv w:val="1"/>
      <w:marLeft w:val="0"/>
      <w:marRight w:val="0"/>
      <w:marTop w:val="0"/>
      <w:marBottom w:val="0"/>
      <w:divBdr>
        <w:top w:val="none" w:sz="0" w:space="0" w:color="auto"/>
        <w:left w:val="none" w:sz="0" w:space="0" w:color="auto"/>
        <w:bottom w:val="none" w:sz="0" w:space="0" w:color="auto"/>
        <w:right w:val="none" w:sz="0" w:space="0" w:color="auto"/>
      </w:divBdr>
    </w:div>
    <w:div w:id="1426343786">
      <w:bodyDiv w:val="1"/>
      <w:marLeft w:val="0"/>
      <w:marRight w:val="0"/>
      <w:marTop w:val="0"/>
      <w:marBottom w:val="0"/>
      <w:divBdr>
        <w:top w:val="none" w:sz="0" w:space="0" w:color="auto"/>
        <w:left w:val="none" w:sz="0" w:space="0" w:color="auto"/>
        <w:bottom w:val="none" w:sz="0" w:space="0" w:color="auto"/>
        <w:right w:val="none" w:sz="0" w:space="0" w:color="auto"/>
      </w:divBdr>
    </w:div>
    <w:div w:id="1519927921">
      <w:bodyDiv w:val="1"/>
      <w:marLeft w:val="0"/>
      <w:marRight w:val="0"/>
      <w:marTop w:val="0"/>
      <w:marBottom w:val="0"/>
      <w:divBdr>
        <w:top w:val="none" w:sz="0" w:space="0" w:color="auto"/>
        <w:left w:val="none" w:sz="0" w:space="0" w:color="auto"/>
        <w:bottom w:val="none" w:sz="0" w:space="0" w:color="auto"/>
        <w:right w:val="none" w:sz="0" w:space="0" w:color="auto"/>
      </w:divBdr>
    </w:div>
    <w:div w:id="1582719769">
      <w:bodyDiv w:val="1"/>
      <w:marLeft w:val="0"/>
      <w:marRight w:val="0"/>
      <w:marTop w:val="0"/>
      <w:marBottom w:val="0"/>
      <w:divBdr>
        <w:top w:val="none" w:sz="0" w:space="0" w:color="auto"/>
        <w:left w:val="none" w:sz="0" w:space="0" w:color="auto"/>
        <w:bottom w:val="none" w:sz="0" w:space="0" w:color="auto"/>
        <w:right w:val="none" w:sz="0" w:space="0" w:color="auto"/>
      </w:divBdr>
      <w:divsChild>
        <w:div w:id="574514077">
          <w:marLeft w:val="0"/>
          <w:marRight w:val="0"/>
          <w:marTop w:val="0"/>
          <w:marBottom w:val="0"/>
          <w:divBdr>
            <w:top w:val="single" w:sz="2" w:space="0" w:color="D9D9E3"/>
            <w:left w:val="single" w:sz="2" w:space="0" w:color="D9D9E3"/>
            <w:bottom w:val="single" w:sz="2" w:space="0" w:color="D9D9E3"/>
            <w:right w:val="single" w:sz="2" w:space="0" w:color="D9D9E3"/>
          </w:divBdr>
          <w:divsChild>
            <w:div w:id="2012442089">
              <w:marLeft w:val="0"/>
              <w:marRight w:val="0"/>
              <w:marTop w:val="0"/>
              <w:marBottom w:val="0"/>
              <w:divBdr>
                <w:top w:val="single" w:sz="2" w:space="0" w:color="D9D9E3"/>
                <w:left w:val="single" w:sz="2" w:space="0" w:color="D9D9E3"/>
                <w:bottom w:val="single" w:sz="2" w:space="0" w:color="D9D9E3"/>
                <w:right w:val="single" w:sz="2" w:space="0" w:color="D9D9E3"/>
              </w:divBdr>
              <w:divsChild>
                <w:div w:id="957762121">
                  <w:marLeft w:val="0"/>
                  <w:marRight w:val="0"/>
                  <w:marTop w:val="0"/>
                  <w:marBottom w:val="0"/>
                  <w:divBdr>
                    <w:top w:val="single" w:sz="2" w:space="0" w:color="D9D9E3"/>
                    <w:left w:val="single" w:sz="2" w:space="0" w:color="D9D9E3"/>
                    <w:bottom w:val="single" w:sz="2" w:space="0" w:color="D9D9E3"/>
                    <w:right w:val="single" w:sz="2" w:space="0" w:color="D9D9E3"/>
                  </w:divBdr>
                  <w:divsChild>
                    <w:div w:id="522591058">
                      <w:marLeft w:val="0"/>
                      <w:marRight w:val="0"/>
                      <w:marTop w:val="0"/>
                      <w:marBottom w:val="0"/>
                      <w:divBdr>
                        <w:top w:val="single" w:sz="2" w:space="0" w:color="D9D9E3"/>
                        <w:left w:val="single" w:sz="2" w:space="0" w:color="D9D9E3"/>
                        <w:bottom w:val="single" w:sz="2" w:space="0" w:color="D9D9E3"/>
                        <w:right w:val="single" w:sz="2" w:space="0" w:color="D9D9E3"/>
                      </w:divBdr>
                      <w:divsChild>
                        <w:div w:id="1913926854">
                          <w:marLeft w:val="0"/>
                          <w:marRight w:val="0"/>
                          <w:marTop w:val="0"/>
                          <w:marBottom w:val="0"/>
                          <w:divBdr>
                            <w:top w:val="single" w:sz="2" w:space="0" w:color="D9D9E3"/>
                            <w:left w:val="single" w:sz="2" w:space="0" w:color="D9D9E3"/>
                            <w:bottom w:val="single" w:sz="2" w:space="0" w:color="D9D9E3"/>
                            <w:right w:val="single" w:sz="2" w:space="0" w:color="D9D9E3"/>
                          </w:divBdr>
                          <w:divsChild>
                            <w:div w:id="2090152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48739761">
                                  <w:marLeft w:val="0"/>
                                  <w:marRight w:val="0"/>
                                  <w:marTop w:val="0"/>
                                  <w:marBottom w:val="0"/>
                                  <w:divBdr>
                                    <w:top w:val="single" w:sz="2" w:space="0" w:color="D9D9E3"/>
                                    <w:left w:val="single" w:sz="2" w:space="0" w:color="D9D9E3"/>
                                    <w:bottom w:val="single" w:sz="2" w:space="0" w:color="D9D9E3"/>
                                    <w:right w:val="single" w:sz="2" w:space="0" w:color="D9D9E3"/>
                                  </w:divBdr>
                                  <w:divsChild>
                                    <w:div w:id="1080759154">
                                      <w:marLeft w:val="0"/>
                                      <w:marRight w:val="0"/>
                                      <w:marTop w:val="0"/>
                                      <w:marBottom w:val="0"/>
                                      <w:divBdr>
                                        <w:top w:val="single" w:sz="2" w:space="0" w:color="D9D9E3"/>
                                        <w:left w:val="single" w:sz="2" w:space="0" w:color="D9D9E3"/>
                                        <w:bottom w:val="single" w:sz="2" w:space="0" w:color="D9D9E3"/>
                                        <w:right w:val="single" w:sz="2" w:space="0" w:color="D9D9E3"/>
                                      </w:divBdr>
                                      <w:divsChild>
                                        <w:div w:id="1492332115">
                                          <w:marLeft w:val="0"/>
                                          <w:marRight w:val="0"/>
                                          <w:marTop w:val="0"/>
                                          <w:marBottom w:val="0"/>
                                          <w:divBdr>
                                            <w:top w:val="single" w:sz="2" w:space="0" w:color="D9D9E3"/>
                                            <w:left w:val="single" w:sz="2" w:space="0" w:color="D9D9E3"/>
                                            <w:bottom w:val="single" w:sz="2" w:space="0" w:color="D9D9E3"/>
                                            <w:right w:val="single" w:sz="2" w:space="0" w:color="D9D9E3"/>
                                          </w:divBdr>
                                          <w:divsChild>
                                            <w:div w:id="301086479">
                                              <w:marLeft w:val="0"/>
                                              <w:marRight w:val="0"/>
                                              <w:marTop w:val="0"/>
                                              <w:marBottom w:val="0"/>
                                              <w:divBdr>
                                                <w:top w:val="single" w:sz="2" w:space="0" w:color="D9D9E3"/>
                                                <w:left w:val="single" w:sz="2" w:space="0" w:color="D9D9E3"/>
                                                <w:bottom w:val="single" w:sz="2" w:space="0" w:color="D9D9E3"/>
                                                <w:right w:val="single" w:sz="2" w:space="0" w:color="D9D9E3"/>
                                              </w:divBdr>
                                              <w:divsChild>
                                                <w:div w:id="615718614">
                                                  <w:marLeft w:val="0"/>
                                                  <w:marRight w:val="0"/>
                                                  <w:marTop w:val="0"/>
                                                  <w:marBottom w:val="0"/>
                                                  <w:divBdr>
                                                    <w:top w:val="single" w:sz="2" w:space="0" w:color="D9D9E3"/>
                                                    <w:left w:val="single" w:sz="2" w:space="0" w:color="D9D9E3"/>
                                                    <w:bottom w:val="single" w:sz="2" w:space="0" w:color="D9D9E3"/>
                                                    <w:right w:val="single" w:sz="2" w:space="0" w:color="D9D9E3"/>
                                                  </w:divBdr>
                                                  <w:divsChild>
                                                    <w:div w:id="58098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4344452">
          <w:marLeft w:val="0"/>
          <w:marRight w:val="0"/>
          <w:marTop w:val="0"/>
          <w:marBottom w:val="0"/>
          <w:divBdr>
            <w:top w:val="none" w:sz="0" w:space="0" w:color="auto"/>
            <w:left w:val="none" w:sz="0" w:space="0" w:color="auto"/>
            <w:bottom w:val="none" w:sz="0" w:space="0" w:color="auto"/>
            <w:right w:val="none" w:sz="0" w:space="0" w:color="auto"/>
          </w:divBdr>
        </w:div>
      </w:divsChild>
    </w:div>
    <w:div w:id="1674382814">
      <w:bodyDiv w:val="1"/>
      <w:marLeft w:val="0"/>
      <w:marRight w:val="0"/>
      <w:marTop w:val="0"/>
      <w:marBottom w:val="0"/>
      <w:divBdr>
        <w:top w:val="none" w:sz="0" w:space="0" w:color="auto"/>
        <w:left w:val="none" w:sz="0" w:space="0" w:color="auto"/>
        <w:bottom w:val="none" w:sz="0" w:space="0" w:color="auto"/>
        <w:right w:val="none" w:sz="0" w:space="0" w:color="auto"/>
      </w:divBdr>
      <w:divsChild>
        <w:div w:id="1077172367">
          <w:marLeft w:val="0"/>
          <w:marRight w:val="0"/>
          <w:marTop w:val="0"/>
          <w:marBottom w:val="0"/>
          <w:divBdr>
            <w:top w:val="single" w:sz="2" w:space="0" w:color="D9D9E3"/>
            <w:left w:val="single" w:sz="2" w:space="0" w:color="D9D9E3"/>
            <w:bottom w:val="single" w:sz="2" w:space="0" w:color="D9D9E3"/>
            <w:right w:val="single" w:sz="2" w:space="0" w:color="D9D9E3"/>
          </w:divBdr>
          <w:divsChild>
            <w:div w:id="34240078">
              <w:marLeft w:val="0"/>
              <w:marRight w:val="0"/>
              <w:marTop w:val="0"/>
              <w:marBottom w:val="0"/>
              <w:divBdr>
                <w:top w:val="single" w:sz="2" w:space="0" w:color="D9D9E3"/>
                <w:left w:val="single" w:sz="2" w:space="0" w:color="D9D9E3"/>
                <w:bottom w:val="single" w:sz="2" w:space="0" w:color="D9D9E3"/>
                <w:right w:val="single" w:sz="2" w:space="0" w:color="D9D9E3"/>
              </w:divBdr>
              <w:divsChild>
                <w:div w:id="452748378">
                  <w:marLeft w:val="0"/>
                  <w:marRight w:val="0"/>
                  <w:marTop w:val="0"/>
                  <w:marBottom w:val="0"/>
                  <w:divBdr>
                    <w:top w:val="single" w:sz="2" w:space="0" w:color="D9D9E3"/>
                    <w:left w:val="single" w:sz="2" w:space="0" w:color="D9D9E3"/>
                    <w:bottom w:val="single" w:sz="2" w:space="0" w:color="D9D9E3"/>
                    <w:right w:val="single" w:sz="2" w:space="0" w:color="D9D9E3"/>
                  </w:divBdr>
                  <w:divsChild>
                    <w:div w:id="2063287785">
                      <w:marLeft w:val="0"/>
                      <w:marRight w:val="0"/>
                      <w:marTop w:val="0"/>
                      <w:marBottom w:val="0"/>
                      <w:divBdr>
                        <w:top w:val="single" w:sz="2" w:space="0" w:color="D9D9E3"/>
                        <w:left w:val="single" w:sz="2" w:space="0" w:color="D9D9E3"/>
                        <w:bottom w:val="single" w:sz="2" w:space="0" w:color="D9D9E3"/>
                        <w:right w:val="single" w:sz="2" w:space="0" w:color="D9D9E3"/>
                      </w:divBdr>
                      <w:divsChild>
                        <w:div w:id="1617364905">
                          <w:marLeft w:val="0"/>
                          <w:marRight w:val="0"/>
                          <w:marTop w:val="0"/>
                          <w:marBottom w:val="0"/>
                          <w:divBdr>
                            <w:top w:val="single" w:sz="2" w:space="0" w:color="D9D9E3"/>
                            <w:left w:val="single" w:sz="2" w:space="0" w:color="D9D9E3"/>
                            <w:bottom w:val="single" w:sz="2" w:space="0" w:color="D9D9E3"/>
                            <w:right w:val="single" w:sz="2" w:space="0" w:color="D9D9E3"/>
                          </w:divBdr>
                          <w:divsChild>
                            <w:div w:id="472064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375191">
                                  <w:marLeft w:val="0"/>
                                  <w:marRight w:val="0"/>
                                  <w:marTop w:val="0"/>
                                  <w:marBottom w:val="0"/>
                                  <w:divBdr>
                                    <w:top w:val="single" w:sz="2" w:space="0" w:color="D9D9E3"/>
                                    <w:left w:val="single" w:sz="2" w:space="0" w:color="D9D9E3"/>
                                    <w:bottom w:val="single" w:sz="2" w:space="0" w:color="D9D9E3"/>
                                    <w:right w:val="single" w:sz="2" w:space="0" w:color="D9D9E3"/>
                                  </w:divBdr>
                                  <w:divsChild>
                                    <w:div w:id="1753310461">
                                      <w:marLeft w:val="0"/>
                                      <w:marRight w:val="0"/>
                                      <w:marTop w:val="0"/>
                                      <w:marBottom w:val="0"/>
                                      <w:divBdr>
                                        <w:top w:val="single" w:sz="2" w:space="0" w:color="D9D9E3"/>
                                        <w:left w:val="single" w:sz="2" w:space="0" w:color="D9D9E3"/>
                                        <w:bottom w:val="single" w:sz="2" w:space="0" w:color="D9D9E3"/>
                                        <w:right w:val="single" w:sz="2" w:space="0" w:color="D9D9E3"/>
                                      </w:divBdr>
                                      <w:divsChild>
                                        <w:div w:id="708843134">
                                          <w:marLeft w:val="0"/>
                                          <w:marRight w:val="0"/>
                                          <w:marTop w:val="0"/>
                                          <w:marBottom w:val="0"/>
                                          <w:divBdr>
                                            <w:top w:val="single" w:sz="2" w:space="0" w:color="D9D9E3"/>
                                            <w:left w:val="single" w:sz="2" w:space="0" w:color="D9D9E3"/>
                                            <w:bottom w:val="single" w:sz="2" w:space="0" w:color="D9D9E3"/>
                                            <w:right w:val="single" w:sz="2" w:space="0" w:color="D9D9E3"/>
                                          </w:divBdr>
                                          <w:divsChild>
                                            <w:div w:id="1358694755">
                                              <w:marLeft w:val="0"/>
                                              <w:marRight w:val="0"/>
                                              <w:marTop w:val="0"/>
                                              <w:marBottom w:val="0"/>
                                              <w:divBdr>
                                                <w:top w:val="single" w:sz="2" w:space="0" w:color="D9D9E3"/>
                                                <w:left w:val="single" w:sz="2" w:space="0" w:color="D9D9E3"/>
                                                <w:bottom w:val="single" w:sz="2" w:space="0" w:color="D9D9E3"/>
                                                <w:right w:val="single" w:sz="2" w:space="0" w:color="D9D9E3"/>
                                              </w:divBdr>
                                              <w:divsChild>
                                                <w:div w:id="1981766060">
                                                  <w:marLeft w:val="0"/>
                                                  <w:marRight w:val="0"/>
                                                  <w:marTop w:val="0"/>
                                                  <w:marBottom w:val="0"/>
                                                  <w:divBdr>
                                                    <w:top w:val="single" w:sz="2" w:space="0" w:color="D9D9E3"/>
                                                    <w:left w:val="single" w:sz="2" w:space="0" w:color="D9D9E3"/>
                                                    <w:bottom w:val="single" w:sz="2" w:space="0" w:color="D9D9E3"/>
                                                    <w:right w:val="single" w:sz="2" w:space="0" w:color="D9D9E3"/>
                                                  </w:divBdr>
                                                  <w:divsChild>
                                                    <w:div w:id="4063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52814">
          <w:marLeft w:val="0"/>
          <w:marRight w:val="0"/>
          <w:marTop w:val="0"/>
          <w:marBottom w:val="0"/>
          <w:divBdr>
            <w:top w:val="none" w:sz="0" w:space="0" w:color="auto"/>
            <w:left w:val="none" w:sz="0" w:space="0" w:color="auto"/>
            <w:bottom w:val="none" w:sz="0" w:space="0" w:color="auto"/>
            <w:right w:val="none" w:sz="0" w:space="0" w:color="auto"/>
          </w:divBdr>
        </w:div>
      </w:divsChild>
    </w:div>
    <w:div w:id="1727299217">
      <w:bodyDiv w:val="1"/>
      <w:marLeft w:val="0"/>
      <w:marRight w:val="0"/>
      <w:marTop w:val="0"/>
      <w:marBottom w:val="0"/>
      <w:divBdr>
        <w:top w:val="none" w:sz="0" w:space="0" w:color="auto"/>
        <w:left w:val="none" w:sz="0" w:space="0" w:color="auto"/>
        <w:bottom w:val="none" w:sz="0" w:space="0" w:color="auto"/>
        <w:right w:val="none" w:sz="0" w:space="0" w:color="auto"/>
      </w:divBdr>
    </w:div>
    <w:div w:id="1851875448">
      <w:bodyDiv w:val="1"/>
      <w:marLeft w:val="0"/>
      <w:marRight w:val="0"/>
      <w:marTop w:val="0"/>
      <w:marBottom w:val="0"/>
      <w:divBdr>
        <w:top w:val="none" w:sz="0" w:space="0" w:color="auto"/>
        <w:left w:val="none" w:sz="0" w:space="0" w:color="auto"/>
        <w:bottom w:val="none" w:sz="0" w:space="0" w:color="auto"/>
        <w:right w:val="none" w:sz="0" w:space="0" w:color="auto"/>
      </w:divBdr>
    </w:div>
    <w:div w:id="1879584685">
      <w:bodyDiv w:val="1"/>
      <w:marLeft w:val="0"/>
      <w:marRight w:val="0"/>
      <w:marTop w:val="0"/>
      <w:marBottom w:val="0"/>
      <w:divBdr>
        <w:top w:val="none" w:sz="0" w:space="0" w:color="auto"/>
        <w:left w:val="none" w:sz="0" w:space="0" w:color="auto"/>
        <w:bottom w:val="none" w:sz="0" w:space="0" w:color="auto"/>
        <w:right w:val="none" w:sz="0" w:space="0" w:color="auto"/>
      </w:divBdr>
    </w:div>
    <w:div w:id="1963490497">
      <w:bodyDiv w:val="1"/>
      <w:marLeft w:val="0"/>
      <w:marRight w:val="0"/>
      <w:marTop w:val="0"/>
      <w:marBottom w:val="0"/>
      <w:divBdr>
        <w:top w:val="none" w:sz="0" w:space="0" w:color="auto"/>
        <w:left w:val="none" w:sz="0" w:space="0" w:color="auto"/>
        <w:bottom w:val="none" w:sz="0" w:space="0" w:color="auto"/>
        <w:right w:val="none" w:sz="0" w:space="0" w:color="auto"/>
      </w:divBdr>
      <w:divsChild>
        <w:div w:id="429589175">
          <w:marLeft w:val="0"/>
          <w:marRight w:val="0"/>
          <w:marTop w:val="0"/>
          <w:marBottom w:val="0"/>
          <w:divBdr>
            <w:top w:val="single" w:sz="2" w:space="0" w:color="D9D9E3"/>
            <w:left w:val="single" w:sz="2" w:space="0" w:color="D9D9E3"/>
            <w:bottom w:val="single" w:sz="2" w:space="0" w:color="D9D9E3"/>
            <w:right w:val="single" w:sz="2" w:space="0" w:color="D9D9E3"/>
          </w:divBdr>
          <w:divsChild>
            <w:div w:id="476604097">
              <w:marLeft w:val="0"/>
              <w:marRight w:val="0"/>
              <w:marTop w:val="0"/>
              <w:marBottom w:val="0"/>
              <w:divBdr>
                <w:top w:val="single" w:sz="2" w:space="0" w:color="D9D9E3"/>
                <w:left w:val="single" w:sz="2" w:space="0" w:color="D9D9E3"/>
                <w:bottom w:val="single" w:sz="2" w:space="0" w:color="D9D9E3"/>
                <w:right w:val="single" w:sz="2" w:space="0" w:color="D9D9E3"/>
              </w:divBdr>
              <w:divsChild>
                <w:div w:id="1686781620">
                  <w:marLeft w:val="0"/>
                  <w:marRight w:val="0"/>
                  <w:marTop w:val="0"/>
                  <w:marBottom w:val="0"/>
                  <w:divBdr>
                    <w:top w:val="single" w:sz="2" w:space="0" w:color="D9D9E3"/>
                    <w:left w:val="single" w:sz="2" w:space="0" w:color="D9D9E3"/>
                    <w:bottom w:val="single" w:sz="2" w:space="0" w:color="D9D9E3"/>
                    <w:right w:val="single" w:sz="2" w:space="0" w:color="D9D9E3"/>
                  </w:divBdr>
                  <w:divsChild>
                    <w:div w:id="500200886">
                      <w:marLeft w:val="0"/>
                      <w:marRight w:val="0"/>
                      <w:marTop w:val="0"/>
                      <w:marBottom w:val="0"/>
                      <w:divBdr>
                        <w:top w:val="single" w:sz="2" w:space="0" w:color="D9D9E3"/>
                        <w:left w:val="single" w:sz="2" w:space="0" w:color="D9D9E3"/>
                        <w:bottom w:val="single" w:sz="2" w:space="0" w:color="D9D9E3"/>
                        <w:right w:val="single" w:sz="2" w:space="0" w:color="D9D9E3"/>
                      </w:divBdr>
                      <w:divsChild>
                        <w:div w:id="61174179">
                          <w:marLeft w:val="0"/>
                          <w:marRight w:val="0"/>
                          <w:marTop w:val="0"/>
                          <w:marBottom w:val="0"/>
                          <w:divBdr>
                            <w:top w:val="single" w:sz="2" w:space="0" w:color="D9D9E3"/>
                            <w:left w:val="single" w:sz="2" w:space="0" w:color="D9D9E3"/>
                            <w:bottom w:val="single" w:sz="2" w:space="0" w:color="D9D9E3"/>
                            <w:right w:val="single" w:sz="2" w:space="0" w:color="D9D9E3"/>
                          </w:divBdr>
                          <w:divsChild>
                            <w:div w:id="4757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3068">
                                  <w:marLeft w:val="0"/>
                                  <w:marRight w:val="0"/>
                                  <w:marTop w:val="0"/>
                                  <w:marBottom w:val="0"/>
                                  <w:divBdr>
                                    <w:top w:val="single" w:sz="2" w:space="0" w:color="D9D9E3"/>
                                    <w:left w:val="single" w:sz="2" w:space="0" w:color="D9D9E3"/>
                                    <w:bottom w:val="single" w:sz="2" w:space="0" w:color="D9D9E3"/>
                                    <w:right w:val="single" w:sz="2" w:space="0" w:color="D9D9E3"/>
                                  </w:divBdr>
                                  <w:divsChild>
                                    <w:div w:id="1142775785">
                                      <w:marLeft w:val="0"/>
                                      <w:marRight w:val="0"/>
                                      <w:marTop w:val="0"/>
                                      <w:marBottom w:val="0"/>
                                      <w:divBdr>
                                        <w:top w:val="single" w:sz="2" w:space="0" w:color="D9D9E3"/>
                                        <w:left w:val="single" w:sz="2" w:space="0" w:color="D9D9E3"/>
                                        <w:bottom w:val="single" w:sz="2" w:space="0" w:color="D9D9E3"/>
                                        <w:right w:val="single" w:sz="2" w:space="0" w:color="D9D9E3"/>
                                      </w:divBdr>
                                      <w:divsChild>
                                        <w:div w:id="2140949758">
                                          <w:marLeft w:val="0"/>
                                          <w:marRight w:val="0"/>
                                          <w:marTop w:val="0"/>
                                          <w:marBottom w:val="0"/>
                                          <w:divBdr>
                                            <w:top w:val="single" w:sz="2" w:space="0" w:color="D9D9E3"/>
                                            <w:left w:val="single" w:sz="2" w:space="0" w:color="D9D9E3"/>
                                            <w:bottom w:val="single" w:sz="2" w:space="0" w:color="D9D9E3"/>
                                            <w:right w:val="single" w:sz="2" w:space="0" w:color="D9D9E3"/>
                                          </w:divBdr>
                                          <w:divsChild>
                                            <w:div w:id="710157708">
                                              <w:marLeft w:val="0"/>
                                              <w:marRight w:val="0"/>
                                              <w:marTop w:val="0"/>
                                              <w:marBottom w:val="0"/>
                                              <w:divBdr>
                                                <w:top w:val="single" w:sz="2" w:space="0" w:color="D9D9E3"/>
                                                <w:left w:val="single" w:sz="2" w:space="0" w:color="D9D9E3"/>
                                                <w:bottom w:val="single" w:sz="2" w:space="0" w:color="D9D9E3"/>
                                                <w:right w:val="single" w:sz="2" w:space="0" w:color="D9D9E3"/>
                                              </w:divBdr>
                                              <w:divsChild>
                                                <w:div w:id="1006252276">
                                                  <w:marLeft w:val="0"/>
                                                  <w:marRight w:val="0"/>
                                                  <w:marTop w:val="0"/>
                                                  <w:marBottom w:val="0"/>
                                                  <w:divBdr>
                                                    <w:top w:val="single" w:sz="2" w:space="0" w:color="D9D9E3"/>
                                                    <w:left w:val="single" w:sz="2" w:space="0" w:color="D9D9E3"/>
                                                    <w:bottom w:val="single" w:sz="2" w:space="0" w:color="D9D9E3"/>
                                                    <w:right w:val="single" w:sz="2" w:space="0" w:color="D9D9E3"/>
                                                  </w:divBdr>
                                                  <w:divsChild>
                                                    <w:div w:id="21836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65359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ibersortx.stanford.edu/download.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2270</Words>
  <Characters>13195</Characters>
  <Application>Microsoft Office Word</Application>
  <DocSecurity>0</DocSecurity>
  <Lines>231</Lines>
  <Paragraphs>83</Paragraphs>
  <ScaleCrop>false</ScaleCrop>
  <HeadingPairs>
    <vt:vector size="2" baseType="variant">
      <vt:variant>
        <vt:lpstr>Title</vt:lpstr>
      </vt:variant>
      <vt:variant>
        <vt:i4>1</vt:i4>
      </vt:variant>
    </vt:vector>
  </HeadingPairs>
  <TitlesOfParts>
    <vt:vector size="1" baseType="lpstr">
      <vt:lpstr>Tutorial: bulk RNA-seq deconvolution using BayesPrism</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bulk RNA-seq deconvolution using BayesPrism</dc:title>
  <dc:creator>Sophia Zhao</dc:creator>
  <cp:keywords/>
  <cp:lastModifiedBy>Sophia Zhao</cp:lastModifiedBy>
  <cp:revision>2</cp:revision>
  <dcterms:created xsi:type="dcterms:W3CDTF">2023-12-18T23:21:00Z</dcterms:created>
  <dcterms:modified xsi:type="dcterms:W3CDTF">2023-12-18T23:21:00Z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2023-12-13</vt:lpwstr>
  </property>
  <property fmtid="{D5CDD505-2E9C-101B-9397-08002B2CF9AE}" pid="3" name="output">
    <vt:lpwstr/>
  </property>
  <property fmtid="{D5CDD505-2E9C-101B-9397-08002B2CF9AE}" pid="4" name="GrammarlyDocumentId">
    <vt:lpwstr>8abce69b83e4434bbcc209da0325e65029bc9a6d7f5052375ed3f55773fd9790</vt:lpwstr>
  </property>
</Properties>
</file>