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3"/>
      </w:pPr>
      <w:r>
        <w:rPr>
          <w:rFonts w:ascii="Microsoft JhengHei" w:hAnsi="Microsoft JhengHei" w:eastAsia="Microsoft JhengHei"/>
          <w:sz w:val="28"/>
        </w:rPr>
        <w:t>MeshShading</w:t>
      </w:r>
    </w:p>
    <w:p>
      <w:pPr>
        <w:pStyle w:val="Heading4"/>
      </w:pPr>
      <w:r>
        <w:rPr>
          <w:rFonts w:ascii="Microsoft JhengHei" w:hAnsi="Microsoft JhengHei" w:eastAsia="Microsoft JhengHei"/>
          <w:sz w:val="22"/>
        </w:rPr>
        <w:t>功能描述</w:t>
      </w:r>
    </w:p>
    <w:p>
      <w:pPr>
        <w:ind w:left="1134"/>
      </w:pPr>
      <w:r>
        <w:t>....</w:t>
      </w:r>
    </w:p>
    <w:p>
      <w:pPr>
        <w:pStyle w:val="Heading4"/>
      </w:pPr>
      <w:r>
        <w:rPr>
          <w:rFonts w:ascii="Microsoft JhengHei" w:hAnsi="Microsoft JhengHei" w:eastAsia="Microsoft JhengHei"/>
          <w:sz w:val="22"/>
        </w:rPr>
        <w:t>API 参考</w:t>
      </w:r>
    </w:p>
    <w:p>
      <w:pPr>
        <w:pStyle w:val="ListBullet"/>
        <w:ind w:left="1531"/>
      </w:pPr>
      <w:r>
        <w:t>CVI_MPI_ISP_SetMeshShadingAttr: 设置MeshShading属性参数</w:t>
      </w:r>
    </w:p>
    <w:p>
      <w:pPr>
        <w:pStyle w:val="ListBullet"/>
        <w:ind w:left="1531"/>
      </w:pPr>
      <w:r>
        <w:t>CVI_MPI_ISP_GetMeshShadingAttr: 获取MeshShading属性参数</w:t>
      </w:r>
    </w:p>
    <w:p>
      <w:pPr>
        <w:pStyle w:val="ListBullet"/>
        <w:ind w:left="1531"/>
      </w:pPr>
      <w:r>
        <w:t>CVI_MPI_ISP_SetMeshShadingGainLutAttr: 设置MeshShadingGainLut属性参数</w:t>
      </w:r>
    </w:p>
    <w:p>
      <w:pPr>
        <w:pStyle w:val="ListBullet"/>
        <w:ind w:left="1531"/>
      </w:pPr>
      <w:r>
        <w:t>CVI_MPI_ISP_GetMeshShadingGainLutAttr: 获取MeshShadingGainLut属性参数</w:t>
      </w:r>
    </w:p>
    <w:p>
      <w:pPr>
        <w:pStyle w:val="ListBullet"/>
        <w:ind w:left="1531"/>
      </w:pPr>
      <w:r>
        <w:t>CVI_MPI_ISP_SetRadialShadingAttr: 设置RadialShading属性参数</w:t>
      </w:r>
    </w:p>
    <w:p>
      <w:pPr>
        <w:pStyle w:val="ListBullet"/>
        <w:ind w:left="1531"/>
      </w:pPr>
      <w:r>
        <w:t>CVI_MPI_ISP_GetRadialShadingAttr: 获取RadialShading属性参数</w:t>
      </w:r>
    </w:p>
    <w:p>
      <w:pPr>
        <w:pStyle w:val="ListBullet"/>
        <w:ind w:left="1531"/>
      </w:pPr>
      <w:r>
        <w:t>CVI_MPI_ISP_SetRadialShadingGainLutAttr: 设置RadialShadingGainLut属性参数</w:t>
      </w:r>
    </w:p>
    <w:p>
      <w:pPr>
        <w:pStyle w:val="ListBullet"/>
        <w:ind w:left="1531"/>
      </w:pPr>
      <w:r>
        <w:t>CVI_MPI_ISP_GetRadialShadingGainLutAttr: 获取RadialShadingGainLut属性参数</w:t>
      </w:r>
    </w:p>
    <w:p>
      <w:pPr>
        <w:ind w:left="0"/>
      </w:pPr>
      <w:r>
        <w:t>CVI_MPI_ISP_SetMeshShadingAttr</w:t>
      </w:r>
    </w:p>
    <w:p>
      <w:pPr>
        <w:ind w:left="1134"/>
      </w:pPr>
      <w:r>
        <w:t>【描述】</w:t>
      </w:r>
    </w:p>
    <w:p>
      <w:pPr>
        <w:ind w:left="1134"/>
      </w:pPr>
      <w:r>
        <w:t>设置 MeshShading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CVI_MPI_ISP_SetMeshShadingAttr(VI_PIPE ViPipe, const ISP_MeshShading_ATTR_S *pstMeshShadingAttr);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pstMeshShadingAttr</w:t>
            </w:r>
          </w:p>
        </w:tc>
        <w:tc>
          <w:tcPr>
            <w:tcW w:type="dxa" w:w="2880"/>
          </w:tcPr>
          <w:p>
            <w:r>
              <w:t>pstMeshShadingAttr 属性参数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CVI_MPI_ISP_GetMeshShadingAttr</w:t>
      </w:r>
    </w:p>
    <w:p>
      <w:pPr>
        <w:ind w:left="0"/>
      </w:pPr>
      <w:r>
        <w:t>CVI_MPI_ISP_GetMeshShadingAttr</w:t>
      </w:r>
    </w:p>
    <w:p>
      <w:pPr>
        <w:ind w:left="1134"/>
      </w:pPr>
      <w:r>
        <w:t>【描述】</w:t>
      </w:r>
    </w:p>
    <w:p>
      <w:pPr>
        <w:ind w:left="1134"/>
      </w:pPr>
      <w:r>
        <w:t>获取 MeshShading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CVI_MPI_ISP_GetMeshShadingAttr(VI_PIPE ViPipe, ISP_MeshShading_ATTR_S *pstMeshShadingAttr);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pstMeshShadingAttr</w:t>
            </w:r>
          </w:p>
        </w:tc>
        <w:tc>
          <w:tcPr>
            <w:tcW w:type="dxa" w:w="2880"/>
          </w:tcPr>
          <w:p>
            <w:r>
              <w:t>pstMeshShadingAttr 属性参数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CVI_MPI_ISP_SetMeshShadingAttr</w:t>
      </w:r>
    </w:p>
    <w:p>
      <w:pPr>
        <w:ind w:left="0"/>
      </w:pPr>
      <w:r>
        <w:t>CVI_MPI_ISP_SetMeshShadingGainLutAttr</w:t>
      </w:r>
    </w:p>
    <w:p>
      <w:pPr>
        <w:ind w:left="1134"/>
      </w:pPr>
      <w:r>
        <w:t>【描述】</w:t>
      </w:r>
    </w:p>
    <w:p>
      <w:pPr>
        <w:ind w:left="1134"/>
      </w:pPr>
      <w:r>
        <w:t>设置 MeshShadingGainLut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CVI_MPI_ISP_SetMeshShadingGainLutAttr(VI_PIPE ViPipe, const ISP_MeshShadingGainLut_ATTR_S *pstMeshShadingGainLutAttr);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pstMeshShadingGainLutAttr</w:t>
            </w:r>
          </w:p>
        </w:tc>
        <w:tc>
          <w:tcPr>
            <w:tcW w:type="dxa" w:w="2880"/>
          </w:tcPr>
          <w:p>
            <w:r>
              <w:t>pstMeshShadingGainLutAttr 属性参数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CVI_MPI_ISP_GetMeshShadingGainLutAttr</w:t>
      </w:r>
    </w:p>
    <w:p>
      <w:pPr>
        <w:ind w:left="0"/>
      </w:pPr>
      <w:r>
        <w:t>CVI_MPI_ISP_GetMeshShadingGainLutAttr</w:t>
      </w:r>
    </w:p>
    <w:p>
      <w:pPr>
        <w:ind w:left="1134"/>
      </w:pPr>
      <w:r>
        <w:t>【描述】</w:t>
      </w:r>
    </w:p>
    <w:p>
      <w:pPr>
        <w:ind w:left="1134"/>
      </w:pPr>
      <w:r>
        <w:t>获取 MeshShadingGainLut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CVI_MPI_ISP_GetMeshShadingGainLutAttr(VI_PIPE ViPipe, ISP_MeshShadingGainLut_ATTR_S *pstMeshShadingGainLutAttr);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pstMeshShadingGainLutAttr</w:t>
            </w:r>
          </w:p>
        </w:tc>
        <w:tc>
          <w:tcPr>
            <w:tcW w:type="dxa" w:w="2880"/>
          </w:tcPr>
          <w:p>
            <w:r>
              <w:t>pstMeshShadingGainLutAttr 属性参数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CVI_MPI_ISP_SetMeshShadingGainLutAttr</w:t>
      </w:r>
    </w:p>
    <w:p>
      <w:pPr>
        <w:ind w:left="0"/>
      </w:pPr>
      <w:r>
        <w:t>CVI_MPI_ISP_SetRadialShadingAttr</w:t>
      </w:r>
    </w:p>
    <w:p>
      <w:pPr>
        <w:ind w:left="1134"/>
      </w:pPr>
      <w:r>
        <w:t>【描述】</w:t>
      </w:r>
    </w:p>
    <w:p>
      <w:pPr>
        <w:ind w:left="1134"/>
      </w:pPr>
      <w:r>
        <w:t>设置 RadialShading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CVI_MPI_ISP_SetRadialShadingAttr(VI_PIPE ViPipe, const ISP_RadialShading_ATTR_S *pstRadialShadingAttr);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pstRadialShadingAttr</w:t>
            </w:r>
          </w:p>
        </w:tc>
        <w:tc>
          <w:tcPr>
            <w:tcW w:type="dxa" w:w="2880"/>
          </w:tcPr>
          <w:p>
            <w:r>
              <w:t>pstRadialShadingAttr 属性参数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CVI_MPI_ISP_GetRadialShadingAttr</w:t>
      </w:r>
    </w:p>
    <w:p>
      <w:pPr>
        <w:ind w:left="0"/>
      </w:pPr>
      <w:r>
        <w:t>CVI_MPI_ISP_GetRadialShadingAttr</w:t>
      </w:r>
    </w:p>
    <w:p>
      <w:pPr>
        <w:ind w:left="1134"/>
      </w:pPr>
      <w:r>
        <w:t>【描述】</w:t>
      </w:r>
    </w:p>
    <w:p>
      <w:pPr>
        <w:ind w:left="1134"/>
      </w:pPr>
      <w:r>
        <w:t>获取 RadialShading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CVI_MPI_ISP_GetRadialShadingAttr(VI_PIPE ViPipe, ISP_RadialShading_ATTR_S *pstRadialShadingAttr);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pstRadialShadingAttr</w:t>
            </w:r>
          </w:p>
        </w:tc>
        <w:tc>
          <w:tcPr>
            <w:tcW w:type="dxa" w:w="2880"/>
          </w:tcPr>
          <w:p>
            <w:r>
              <w:t>pstRadialShadingAttr 属性参数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CVI_MPI_ISP_SetRadialShadingAttr</w:t>
      </w:r>
    </w:p>
    <w:p>
      <w:pPr>
        <w:ind w:left="0"/>
      </w:pPr>
      <w:r>
        <w:t>CVI_MPI_ISP_SetRadialShadingGainLutAttr</w:t>
      </w:r>
    </w:p>
    <w:p>
      <w:pPr>
        <w:ind w:left="1134"/>
      </w:pPr>
      <w:r>
        <w:t>【描述】</w:t>
      </w:r>
    </w:p>
    <w:p>
      <w:pPr>
        <w:ind w:left="1134"/>
      </w:pPr>
      <w:r>
        <w:t>设置 RadialShadingGainLut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CVI_MPI_ISP_SetRadialShadingGainLutAttr(VI_PIPE ViPipe, const ISP_RadialShadingGainLut_ATTR_S *pstRadialShadingGainLutAttr);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pstRadialShadingGainLutAttr</w:t>
            </w:r>
          </w:p>
        </w:tc>
        <w:tc>
          <w:tcPr>
            <w:tcW w:type="dxa" w:w="2880"/>
          </w:tcPr>
          <w:p>
            <w:r>
              <w:t>pstRadialShadingGainLutAttr 属性参数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CVI_MPI_ISP_GetRadialShadingGainLutAttr</w:t>
      </w:r>
    </w:p>
    <w:p>
      <w:pPr>
        <w:ind w:left="0"/>
      </w:pPr>
      <w:r>
        <w:t>CVI_MPI_ISP_GetRadialShadingGainLutAttr</w:t>
      </w:r>
    </w:p>
    <w:p>
      <w:pPr>
        <w:ind w:left="1134"/>
      </w:pPr>
      <w:r>
        <w:t>【描述】</w:t>
      </w:r>
    </w:p>
    <w:p>
      <w:pPr>
        <w:ind w:left="1134"/>
      </w:pPr>
      <w:r>
        <w:t>获取 RadialShadingGainLut 属性参数</w:t>
      </w:r>
    </w:p>
    <w:p>
      <w:pPr>
        <w:ind w:left="1134"/>
      </w:pPr>
      <w:r>
        <w:t>【语法】</w:t>
      </w:r>
    </w:p>
    <w:p>
      <w:pPr>
        <w:ind w:left="1134"/>
      </w:pPr>
      <w:r>
        <w:t>CVI_S32 CVI_MPI_ISP_GetRadialShadingGainLutAttr(VI_PIPE ViPipe, ISP_RadialShadingGainLut_ATTR_S *pstRadialShadingGainLutAttr);</w:t>
      </w:r>
    </w:p>
    <w:p>
      <w:pPr>
        <w:ind w:left="1134"/>
      </w:pPr>
      <w:r>
        <w:t>【参数】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1531"/>
      </w:tblGrid>
      <w:tr>
        <w:tc>
          <w:tcPr>
            <w:tcW w:type="dxa" w:w="2880"/>
            <w:shd w:fill="C0C0C0"/>
          </w:tcPr>
          <w:p>
            <w:r>
              <w:t>参数名称</w:t>
            </w:r>
          </w:p>
        </w:tc>
        <w:tc>
          <w:tcPr>
            <w:tcW w:type="dxa" w:w="2880"/>
            <w:shd w:fill="C0C0C0"/>
          </w:tcPr>
          <w:p>
            <w:r>
              <w:t>描述</w:t>
            </w:r>
          </w:p>
        </w:tc>
        <w:tc>
          <w:tcPr>
            <w:tcW w:type="dxa" w:w="2880"/>
            <w:shd w:fill="C0C0C0"/>
          </w:tcPr>
          <w:p>
            <w:r>
              <w:t>输入/输出</w:t>
            </w:r>
          </w:p>
        </w:tc>
      </w:tr>
      <w:tr>
        <w:tc>
          <w:tcPr>
            <w:tcW w:type="dxa" w:w="2880"/>
          </w:tcPr>
          <w:p>
            <w:r>
              <w:t>ViPipe</w:t>
            </w:r>
          </w:p>
        </w:tc>
        <w:tc>
          <w:tcPr>
            <w:tcW w:type="dxa" w:w="2880"/>
          </w:tcPr>
          <w:p>
            <w:r>
              <w:t>VI_PIPE 号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</w:tr>
      <w:tr>
        <w:tc>
          <w:tcPr>
            <w:tcW w:type="dxa" w:w="2880"/>
          </w:tcPr>
          <w:p>
            <w:r>
              <w:t>pstRadialShadingGainLutAttr</w:t>
            </w:r>
          </w:p>
        </w:tc>
        <w:tc>
          <w:tcPr>
            <w:tcW w:type="dxa" w:w="2880"/>
          </w:tcPr>
          <w:p>
            <w:r>
              <w:t>pstRadialShadingGainLutAttr 属性参数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</w:tbl>
    <w:p/>
    <w:p>
      <w:pPr>
        <w:ind w:left="1134"/>
      </w:pPr>
      <w:r>
        <w:t>【返回值】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返回值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非 0</w:t>
            </w:r>
          </w:p>
        </w:tc>
        <w:tc>
          <w:tcPr>
            <w:tcW w:type="dxa" w:w="4320"/>
          </w:tcPr>
          <w:p>
            <w:r>
              <w:t>失败，其值为错误码</w:t>
            </w:r>
          </w:p>
        </w:tc>
      </w:tr>
    </w:tbl>
    <w:p/>
    <w:p>
      <w:pPr>
        <w:ind w:left="1134"/>
      </w:pPr>
      <w:r>
        <w:t>【需求】</w:t>
      </w:r>
    </w:p>
    <w:p>
      <w:pPr>
        <w:pStyle w:val="ListBullet"/>
        <w:ind w:left="1531"/>
      </w:pPr>
      <w:r>
        <w:t>头文件: 123.h, 456.h</w:t>
      </w:r>
    </w:p>
    <w:p>
      <w:pPr>
        <w:pStyle w:val="ListBullet"/>
        <w:ind w:left="1531"/>
      </w:pPr>
      <w:r>
        <w:t>库文件: a.so, b.so</w:t>
      </w:r>
    </w:p>
    <w:p>
      <w:pPr>
        <w:ind w:left="1134"/>
      </w:pPr>
      <w:r>
        <w:t>【注意】</w:t>
      </w:r>
    </w:p>
    <w:p>
      <w:pPr>
        <w:ind w:left="1134"/>
      </w:pPr>
      <w:r>
        <w:t>无</w:t>
      </w:r>
    </w:p>
    <w:p>
      <w:pPr>
        <w:ind w:left="1134"/>
      </w:pPr>
      <w:r>
        <w:t>【举例】</w:t>
      </w:r>
    </w:p>
    <w:p>
      <w:pPr>
        <w:ind w:left="1134"/>
      </w:pPr>
      <w:r>
        <w:t>无</w:t>
      </w:r>
    </w:p>
    <w:p>
      <w:pPr>
        <w:ind w:left="1134"/>
      </w:pPr>
      <w:r>
        <w:t>【相关主题】</w:t>
      </w:r>
    </w:p>
    <w:p>
      <w:pPr>
        <w:pStyle w:val="ListBullet"/>
        <w:ind w:left="1531"/>
      </w:pPr>
      <w:r>
        <w:t>CVI_MPI_ISP_SetRadialShadingGainLutAttr</w:t>
      </w:r>
    </w:p>
    <w:p>
      <w:pPr>
        <w:pStyle w:val="Heading4"/>
      </w:pPr>
      <w:r>
        <w:rPr>
          <w:rFonts w:ascii="Microsoft JhengHei" w:hAnsi="Microsoft JhengHei" w:eastAsia="Microsoft JhengHei"/>
          <w:sz w:val="22"/>
        </w:rPr>
        <w:t>数据类型</w:t>
      </w:r>
    </w:p>
    <w:p>
      <w:pPr>
        <w:ind w:left="1134"/>
      </w:pPr>
      <w:r>
        <w:t>...................</w:t>
      </w:r>
    </w:p>
    <w:p>
      <w:pPr>
        <w:pStyle w:val="ListBullet"/>
        <w:ind w:left="1531"/>
      </w:pPr>
      <w:r>
        <w:t>ISP_MeshShading_MANUAL_ATTR_S: 定义数据格式</w:t>
      </w:r>
    </w:p>
    <w:p>
      <w:pPr>
        <w:pStyle w:val="ListBullet"/>
        <w:ind w:left="1531"/>
      </w:pPr>
      <w:r>
        <w:t>ISP_MeshShading_AUTO_ATTR_S: 定义数据格式</w:t>
      </w:r>
    </w:p>
    <w:p>
      <w:pPr>
        <w:pStyle w:val="ListBullet"/>
        <w:ind w:left="1531"/>
      </w:pPr>
      <w:r>
        <w:t>ISP_MeshShading_ATTR_S: 定义数据格式</w:t>
      </w:r>
    </w:p>
    <w:p>
      <w:pPr>
        <w:pStyle w:val="ListBullet"/>
        <w:ind w:left="1531"/>
      </w:pPr>
      <w:r>
        <w:t>ISP_RadialShading_MANUAL_ATTR_S: 定义数据格式</w:t>
      </w:r>
    </w:p>
    <w:p>
      <w:pPr>
        <w:pStyle w:val="ListBullet"/>
        <w:ind w:left="1531"/>
      </w:pPr>
      <w:r>
        <w:t>ISP_RadialShading_AUTO_ATTR_S: 定义数据格式</w:t>
      </w:r>
    </w:p>
    <w:p>
      <w:pPr>
        <w:pStyle w:val="ListBullet"/>
        <w:ind w:left="1531"/>
      </w:pPr>
      <w:r>
        <w:t>ISP_RadialShading_ATTR_S: 定义数据格式</w:t>
      </w:r>
    </w:p>
    <w:p>
      <w:pPr>
        <w:pStyle w:val="ListBullet"/>
        <w:ind w:left="1531"/>
      </w:pPr>
      <w:r>
        <w:t>ISP_RadialShadingGainLut_MANUAL_ATTR_S: 定义数据格式</w:t>
      </w:r>
    </w:p>
    <w:p>
      <w:pPr>
        <w:pStyle w:val="ListBullet"/>
        <w:ind w:left="1531"/>
      </w:pPr>
      <w:r>
        <w:t>ISP_RadialShadingGainLut_AUTO_ATTR_S: 定义数据格式</w:t>
      </w:r>
    </w:p>
    <w:p>
      <w:pPr>
        <w:pStyle w:val="ListBullet"/>
        <w:ind w:left="1531"/>
      </w:pPr>
      <w:r>
        <w:t>ISP_RadialShadingGainLut_ATTR_S: 定义数据格式</w:t>
      </w:r>
    </w:p>
    <w:p>
      <w:pPr>
        <w:ind w:left="0"/>
      </w:pPr>
      <w:r>
        <w:t>ISP_MeshShading_MANUAL_ATTR_S</w:t>
      </w:r>
    </w:p>
    <w:p>
      <w:pPr>
        <w:ind w:left="1134"/>
      </w:pPr>
      <w:r>
        <w:t>【说明】</w:t>
      </w:r>
    </w:p>
    <w:p>
      <w:pPr>
        <w:ind w:left="1134"/>
      </w:pPr>
      <w:r>
        <w:t>定义数据格式</w:t>
      </w:r>
    </w:p>
    <w:p>
      <w:pPr>
        <w:ind w:left="1134"/>
      </w:pPr>
      <w:r>
        <w:t>【定义】</w:t>
      </w:r>
    </w:p>
    <w:p>
      <w:pPr>
        <w:ind w:left="1134"/>
      </w:pPr>
      <w:r>
        <w:t>typedef struct cviISP_MeshShading_MANUAL_ATTR_S {</w:t>
        <w:br/>
        <w:tab/>
        <w:t>CVI_U16 MeshStr;</w:t>
        <w:br/>
        <w:t>} ISP_MeshShading_MANUAL_ATTR_S;</w:t>
      </w:r>
    </w:p>
    <w:p>
      <w:pPr>
        <w:ind w:left="1134"/>
      </w:pPr>
      <w:r>
        <w:t>【成员】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成员名称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MeshStr</w:t>
            </w:r>
          </w:p>
        </w:tc>
        <w:tc>
          <w:tcPr>
            <w:tcW w:type="dxa" w:w="4320"/>
          </w:tcPr>
          <w:p>
            <w:r>
              <w:t>LSC 補償強度</w:t>
            </w:r>
          </w:p>
        </w:tc>
      </w:tr>
    </w:tbl>
    <w:p/>
    <w:p>
      <w:pPr>
        <w:ind w:left="1134"/>
      </w:pPr>
      <w:r>
        <w:t>【注意事项】</w:t>
      </w:r>
    </w:p>
    <w:p>
      <w:pPr>
        <w:ind w:left="1134"/>
      </w:pPr>
      <w:r>
        <w:t>....</w:t>
      </w:r>
    </w:p>
    <w:p>
      <w:pPr>
        <w:ind w:left="1134"/>
      </w:pPr>
      <w:r>
        <w:t>【相关数据类型及接口】</w:t>
      </w:r>
    </w:p>
    <w:p>
      <w:pPr>
        <w:pStyle w:val="ListBullet"/>
        <w:ind w:left="1531"/>
      </w:pPr>
      <w:r>
        <w:t>...</w:t>
      </w:r>
    </w:p>
    <w:p>
      <w:pPr>
        <w:ind w:left="0"/>
      </w:pPr>
      <w:r>
        <w:t>ISP_MeshShading_AUTO_ATTR_S</w:t>
      </w:r>
    </w:p>
    <w:p>
      <w:pPr>
        <w:ind w:left="1134"/>
      </w:pPr>
      <w:r>
        <w:t>【说明】</w:t>
      </w:r>
    </w:p>
    <w:p>
      <w:pPr>
        <w:ind w:left="1134"/>
      </w:pPr>
      <w:r>
        <w:t>定义数据格式</w:t>
      </w:r>
    </w:p>
    <w:p>
      <w:pPr>
        <w:ind w:left="1134"/>
      </w:pPr>
      <w:r>
        <w:t>【定义】</w:t>
      </w:r>
    </w:p>
    <w:p>
      <w:pPr>
        <w:ind w:left="1134"/>
      </w:pPr>
      <w:r>
        <w:t>typedef struct cviISP_MeshShading_AUTO_ATTR_S {</w:t>
        <w:br/>
        <w:tab/>
        <w:t>CVI_U16 MeshStr[ISP_AUTO_ISO_STRENGTH_NUM];</w:t>
        <w:br/>
        <w:t>} ISP_MeshShading_AUTO_ATTR_S;</w:t>
      </w:r>
    </w:p>
    <w:p>
      <w:pPr>
        <w:ind w:left="1134"/>
      </w:pPr>
      <w:r>
        <w:t>【成员】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成员名称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MeshStr[ISP_AUTO_ISO_STRENGTH_NUM]</w:t>
            </w:r>
          </w:p>
        </w:tc>
        <w:tc>
          <w:tcPr>
            <w:tcW w:type="dxa" w:w="4320"/>
          </w:tcPr>
          <w:p>
            <w:r>
              <w:t>LSC 補償強度</w:t>
            </w:r>
          </w:p>
        </w:tc>
      </w:tr>
    </w:tbl>
    <w:p/>
    <w:p>
      <w:pPr>
        <w:ind w:left="1134"/>
      </w:pPr>
      <w:r>
        <w:t>【注意事项】</w:t>
      </w:r>
    </w:p>
    <w:p>
      <w:pPr>
        <w:ind w:left="1134"/>
      </w:pPr>
      <w:r>
        <w:t>....</w:t>
      </w:r>
    </w:p>
    <w:p>
      <w:pPr>
        <w:ind w:left="1134"/>
      </w:pPr>
      <w:r>
        <w:t>【相关数据类型及接口】</w:t>
      </w:r>
    </w:p>
    <w:p>
      <w:pPr>
        <w:pStyle w:val="ListBullet"/>
        <w:ind w:left="1531"/>
      </w:pPr>
      <w:r>
        <w:t>...</w:t>
      </w:r>
    </w:p>
    <w:p>
      <w:pPr>
        <w:ind w:left="0"/>
      </w:pPr>
      <w:r>
        <w:t>ISP_RadialShading_MANUAL_ATTR_S</w:t>
      </w:r>
    </w:p>
    <w:p>
      <w:pPr>
        <w:ind w:left="1134"/>
      </w:pPr>
      <w:r>
        <w:t>【说明】</w:t>
      </w:r>
    </w:p>
    <w:p>
      <w:pPr>
        <w:ind w:left="1134"/>
      </w:pPr>
      <w:r>
        <w:t>定义数据格式</w:t>
      </w:r>
    </w:p>
    <w:p>
      <w:pPr>
        <w:ind w:left="1134"/>
      </w:pPr>
      <w:r>
        <w:t>【定义】</w:t>
      </w:r>
    </w:p>
    <w:p>
      <w:pPr>
        <w:ind w:left="1134"/>
      </w:pPr>
      <w:r>
        <w:t>typedef struct cviISP_RadialShading_MANUAL_ATTR_S {</w:t>
        <w:br/>
        <w:t>} ISP_RadialShading_MANUAL_ATTR_S;</w:t>
      </w:r>
    </w:p>
    <w:p>
      <w:pPr>
        <w:ind w:left="1134"/>
      </w:pPr>
      <w:r>
        <w:t>【成员】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成员名称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</w:tbl>
    <w:p/>
    <w:p>
      <w:pPr>
        <w:ind w:left="1134"/>
      </w:pPr>
      <w:r>
        <w:t>【注意事项】</w:t>
      </w:r>
    </w:p>
    <w:p>
      <w:pPr>
        <w:ind w:left="1134"/>
      </w:pPr>
      <w:r>
        <w:t>....</w:t>
      </w:r>
    </w:p>
    <w:p>
      <w:pPr>
        <w:ind w:left="1134"/>
      </w:pPr>
      <w:r>
        <w:t>【相关数据类型及接口】</w:t>
      </w:r>
    </w:p>
    <w:p>
      <w:pPr>
        <w:pStyle w:val="ListBullet"/>
        <w:ind w:left="1531"/>
      </w:pPr>
      <w:r>
        <w:t>...</w:t>
      </w:r>
    </w:p>
    <w:p>
      <w:pPr>
        <w:ind w:left="0"/>
      </w:pPr>
      <w:r>
        <w:t>ISP_RadialShading_AUTO_ATTR_S</w:t>
      </w:r>
    </w:p>
    <w:p>
      <w:pPr>
        <w:ind w:left="1134"/>
      </w:pPr>
      <w:r>
        <w:t>【说明】</w:t>
      </w:r>
    </w:p>
    <w:p>
      <w:pPr>
        <w:ind w:left="1134"/>
      </w:pPr>
      <w:r>
        <w:t>定义数据格式</w:t>
      </w:r>
    </w:p>
    <w:p>
      <w:pPr>
        <w:ind w:left="1134"/>
      </w:pPr>
      <w:r>
        <w:t>【定义】</w:t>
      </w:r>
    </w:p>
    <w:p>
      <w:pPr>
        <w:ind w:left="1134"/>
      </w:pPr>
      <w:r>
        <w:t>typedef struct cviISP_RadialShading_AUTO_ATTR_S {</w:t>
        <w:br/>
        <w:t>} ISP_RadialShading_AUTO_ATTR_S;</w:t>
      </w:r>
    </w:p>
    <w:p>
      <w:pPr>
        <w:ind w:left="1134"/>
      </w:pPr>
      <w:r>
        <w:t>【成员】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成员名称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</w:tbl>
    <w:p/>
    <w:p>
      <w:pPr>
        <w:ind w:left="1134"/>
      </w:pPr>
      <w:r>
        <w:t>【注意事项】</w:t>
      </w:r>
    </w:p>
    <w:p>
      <w:pPr>
        <w:ind w:left="1134"/>
      </w:pPr>
      <w:r>
        <w:t>....</w:t>
      </w:r>
    </w:p>
    <w:p>
      <w:pPr>
        <w:ind w:left="1134"/>
      </w:pPr>
      <w:r>
        <w:t>【相关数据类型及接口】</w:t>
      </w:r>
    </w:p>
    <w:p>
      <w:pPr>
        <w:pStyle w:val="ListBullet"/>
        <w:ind w:left="1531"/>
      </w:pPr>
      <w:r>
        <w:t>...</w:t>
      </w:r>
    </w:p>
    <w:p>
      <w:pPr>
        <w:ind w:left="0"/>
      </w:pPr>
      <w:r>
        <w:t>ISP_RadialShadingGainLut_MANUAL_ATTR_S</w:t>
      </w:r>
    </w:p>
    <w:p>
      <w:pPr>
        <w:ind w:left="1134"/>
      </w:pPr>
      <w:r>
        <w:t>【说明】</w:t>
      </w:r>
    </w:p>
    <w:p>
      <w:pPr>
        <w:ind w:left="1134"/>
      </w:pPr>
      <w:r>
        <w:t>定义数据格式</w:t>
      </w:r>
    </w:p>
    <w:p>
      <w:pPr>
        <w:ind w:left="1134"/>
      </w:pPr>
      <w:r>
        <w:t>【定义】</w:t>
      </w:r>
    </w:p>
    <w:p>
      <w:pPr>
        <w:ind w:left="1134"/>
      </w:pPr>
      <w:r>
        <w:t>typedef struct cviISP_RadialShadingGainLut_MANUAL_ATTR_S {</w:t>
        <w:br/>
        <w:t>} ISP_RadialShadingGainLut_MANUAL_ATTR_S;</w:t>
      </w:r>
    </w:p>
    <w:p>
      <w:pPr>
        <w:ind w:left="1134"/>
      </w:pPr>
      <w:r>
        <w:t>【成员】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成员名称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</w:tbl>
    <w:p/>
    <w:p>
      <w:pPr>
        <w:ind w:left="1134"/>
      </w:pPr>
      <w:r>
        <w:t>【注意事项】</w:t>
      </w:r>
    </w:p>
    <w:p>
      <w:pPr>
        <w:ind w:left="1134"/>
      </w:pPr>
      <w:r>
        <w:t>....</w:t>
      </w:r>
    </w:p>
    <w:p>
      <w:pPr>
        <w:ind w:left="1134"/>
      </w:pPr>
      <w:r>
        <w:t>【相关数据类型及接口】</w:t>
      </w:r>
    </w:p>
    <w:p>
      <w:pPr>
        <w:pStyle w:val="ListBullet"/>
        <w:ind w:left="1531"/>
      </w:pPr>
      <w:r>
        <w:t>...</w:t>
      </w:r>
    </w:p>
    <w:p>
      <w:pPr>
        <w:ind w:left="0"/>
      </w:pPr>
      <w:r>
        <w:t>ISP_RadialShadingGainLut_AUTO_ATTR_S</w:t>
      </w:r>
    </w:p>
    <w:p>
      <w:pPr>
        <w:ind w:left="1134"/>
      </w:pPr>
      <w:r>
        <w:t>【说明】</w:t>
      </w:r>
    </w:p>
    <w:p>
      <w:pPr>
        <w:ind w:left="1134"/>
      </w:pPr>
      <w:r>
        <w:t>定义数据格式</w:t>
      </w:r>
    </w:p>
    <w:p>
      <w:pPr>
        <w:ind w:left="1134"/>
      </w:pPr>
      <w:r>
        <w:t>【定义】</w:t>
      </w:r>
    </w:p>
    <w:p>
      <w:pPr>
        <w:ind w:left="1134"/>
      </w:pPr>
      <w:r>
        <w:t>typedef struct cviISP_RadialShadingGainLut_AUTO_ATTR_S {</w:t>
        <w:br/>
        <w:t>} ISP_RadialShadingGainLut_AUTO_ATTR_S;</w:t>
      </w:r>
    </w:p>
    <w:p>
      <w:pPr>
        <w:ind w:left="1134"/>
      </w:pPr>
      <w:r>
        <w:t>【成员】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531"/>
        <w:gridCol w:w="6066"/>
      </w:tblGrid>
      <w:tr>
        <w:tc>
          <w:tcPr>
            <w:tcW w:type="dxa" w:w="4320"/>
            <w:shd w:fill="C0C0C0"/>
          </w:tcPr>
          <w:p>
            <w:r>
              <w:t>成员名称</w:t>
            </w:r>
          </w:p>
        </w:tc>
        <w:tc>
          <w:tcPr>
            <w:tcW w:type="dxa" w:w="4320"/>
            <w:shd w:fill="C0C0C0"/>
          </w:tcPr>
          <w:p>
            <w:r>
              <w:t>描述</w:t>
            </w:r>
          </w:p>
        </w:tc>
      </w:tr>
    </w:tbl>
    <w:p/>
    <w:p>
      <w:pPr>
        <w:ind w:left="1134"/>
      </w:pPr>
      <w:r>
        <w:t>【注意事项】</w:t>
      </w:r>
    </w:p>
    <w:p>
      <w:pPr>
        <w:ind w:left="1134"/>
      </w:pPr>
      <w:r>
        <w:t>....</w:t>
      </w:r>
    </w:p>
    <w:p>
      <w:pPr>
        <w:ind w:left="1134"/>
      </w:pPr>
      <w:r>
        <w:t>【相关数据类型及接口】</w:t>
      </w:r>
    </w:p>
    <w:p>
      <w:pPr>
        <w:pStyle w:val="ListBullet"/>
        <w:ind w:left="1531"/>
      </w:pPr>
      <w:r>
        <w:t>...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