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BF5053" w14:textId="77777777" w:rsidR="006E446C" w:rsidRPr="006E446C" w:rsidRDefault="006E446C" w:rsidP="004C39C7">
      <w:pPr>
        <w:spacing w:line="360" w:lineRule="auto"/>
        <w:jc w:val="center"/>
        <w:rPr>
          <w:b/>
          <w:bCs/>
          <w:sz w:val="28"/>
          <w:szCs w:val="28"/>
        </w:rPr>
      </w:pPr>
      <w:r w:rsidRPr="006E446C">
        <w:rPr>
          <w:b/>
          <w:bCs/>
          <w:sz w:val="28"/>
          <w:szCs w:val="28"/>
        </w:rPr>
        <w:t>Avaliação – Harmonias Cromáticas</w:t>
      </w:r>
    </w:p>
    <w:p w14:paraId="33795D84" w14:textId="58820744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Disciplina:</w:t>
      </w:r>
      <w:r w:rsidRPr="006E446C">
        <w:rPr>
          <w:sz w:val="24"/>
          <w:szCs w:val="24"/>
        </w:rPr>
        <w:t xml:space="preserve"> ___</w:t>
      </w:r>
      <w:r w:rsidR="00BC38A1">
        <w:rPr>
          <w:sz w:val="24"/>
          <w:szCs w:val="24"/>
        </w:rPr>
        <w:t>PW</w:t>
      </w:r>
      <w:r w:rsidRPr="006E446C">
        <w:rPr>
          <w:sz w:val="24"/>
          <w:szCs w:val="24"/>
        </w:rPr>
        <w:t>_________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Aluno(a):</w:t>
      </w:r>
      <w:r w:rsidR="00BC38A1">
        <w:rPr>
          <w:sz w:val="24"/>
          <w:szCs w:val="24"/>
        </w:rPr>
        <w:t xml:space="preserve"> sophia harumi_____</w:t>
      </w:r>
      <w:r w:rsidRPr="006E446C">
        <w:rPr>
          <w:sz w:val="24"/>
          <w:szCs w:val="24"/>
        </w:rPr>
        <w:t>_____________________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Data:</w:t>
      </w:r>
      <w:r w:rsidRPr="006E446C">
        <w:rPr>
          <w:sz w:val="24"/>
          <w:szCs w:val="24"/>
        </w:rPr>
        <w:t xml:space="preserve"> </w:t>
      </w:r>
      <w:r w:rsidRPr="006E446C">
        <w:rPr>
          <w:b/>
          <w:bCs/>
          <w:sz w:val="24"/>
          <w:szCs w:val="24"/>
        </w:rPr>
        <w:t>/</w:t>
      </w:r>
      <w:r w:rsidRPr="006E446C">
        <w:rPr>
          <w:sz w:val="24"/>
          <w:szCs w:val="24"/>
        </w:rPr>
        <w:t>/_</w:t>
      </w:r>
      <w:r w:rsidR="00BC38A1">
        <w:rPr>
          <w:sz w:val="24"/>
          <w:szCs w:val="24"/>
        </w:rPr>
        <w:t>12/03/26</w:t>
      </w:r>
      <w:r w:rsidRPr="006E446C">
        <w:rPr>
          <w:sz w:val="24"/>
          <w:szCs w:val="24"/>
        </w:rPr>
        <w:t>_____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Valor total: 10,0 pontos</w:t>
      </w:r>
    </w:p>
    <w:p w14:paraId="520550DE" w14:textId="77777777" w:rsidR="006E446C" w:rsidRPr="006E446C" w:rsidRDefault="00772DF5" w:rsidP="004C39C7">
      <w:pPr>
        <w:spacing w:line="360" w:lineRule="auto"/>
      </w:pPr>
      <w:r>
        <w:pict w14:anchorId="4A54706A">
          <v:rect id="_x0000_i1025" style="width:0;height:1.5pt" o:hralign="center" o:hrstd="t" o:hr="t" fillcolor="#a0a0a0" stroked="f"/>
        </w:pict>
      </w:r>
    </w:p>
    <w:p w14:paraId="30FC2C2A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📝</w:t>
      </w:r>
      <w:r w:rsidRPr="006E446C">
        <w:rPr>
          <w:b/>
          <w:bCs/>
          <w:sz w:val="24"/>
          <w:szCs w:val="24"/>
        </w:rPr>
        <w:t xml:space="preserve"> Parte 1 – Conceitos (4,0 pontos)</w:t>
      </w:r>
    </w:p>
    <w:p w14:paraId="55372717" w14:textId="7777777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Responda de forma clara e objetiva:</w:t>
      </w:r>
    </w:p>
    <w:p w14:paraId="3FE38368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Complementares</w:t>
      </w:r>
      <w:r w:rsidRPr="006E446C">
        <w:rPr>
          <w:sz w:val="24"/>
          <w:szCs w:val="24"/>
        </w:rPr>
        <w:t xml:space="preserve"> (0,5)</w:t>
      </w:r>
    </w:p>
    <w:p w14:paraId="163515C2" w14:textId="0C7357EE" w:rsidR="006E446C" w:rsidRPr="006E446C" w:rsidRDefault="00BC38A1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BC38A1">
        <w:rPr>
          <w:sz w:val="24"/>
          <w:szCs w:val="24"/>
        </w:rPr>
        <w:t>pares de cores localizadas em lados opostos do círculo cromático, caracterizadas por criarem o contraste máximo entre si</w:t>
      </w:r>
    </w:p>
    <w:p w14:paraId="0D907950" w14:textId="10D1339F" w:rsidR="006E446C" w:rsidRPr="006E446C" w:rsidRDefault="00BC38A1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rFonts w:ascii="Arial" w:hAnsi="Arial" w:cs="Arial"/>
          <w:color w:val="0A0A0A"/>
          <w:shd w:val="clear" w:color="auto" w:fill="FFFFFF"/>
        </w:rPr>
        <w:t>Essa localização direta, com uma cor de frente para a outra, </w:t>
      </w:r>
      <w:r>
        <w:t>significa que elas possuem o maior contraste possível entre si, criando um impacto visual vibrante e de alta intensidade</w:t>
      </w:r>
    </w:p>
    <w:p w14:paraId="7A8AB0A0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</w:t>
      </w:r>
      <w:r w:rsidRPr="006E446C">
        <w:rPr>
          <w:sz w:val="24"/>
          <w:szCs w:val="24"/>
        </w:rPr>
        <w:t xml:space="preserve"> (0,5)</w:t>
      </w:r>
    </w:p>
    <w:p w14:paraId="35A6DDAA" w14:textId="03045ED6" w:rsidR="006E446C" w:rsidRDefault="007D08D5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7D08D5">
        <w:rPr>
          <w:sz w:val="24"/>
          <w:szCs w:val="24"/>
        </w:rPr>
        <w:t>grupos de 3 a 5 cores vizinhas no c</w:t>
      </w:r>
      <w:r>
        <w:rPr>
          <w:sz w:val="24"/>
          <w:szCs w:val="24"/>
        </w:rPr>
        <w:t>írculo cromático</w:t>
      </w:r>
      <w:r w:rsidRPr="007D08D5">
        <w:rPr>
          <w:sz w:val="24"/>
          <w:szCs w:val="24"/>
        </w:rPr>
        <w:t>, que compartilham uma cor primária em comum</w:t>
      </w:r>
    </w:p>
    <w:p w14:paraId="59B6F5B5" w14:textId="03CF2E9D" w:rsidR="007D08D5" w:rsidRPr="006E446C" w:rsidRDefault="007D08D5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7D08D5">
        <w:rPr>
          <w:sz w:val="24"/>
          <w:szCs w:val="24"/>
        </w:rPr>
        <w:t>Core</w:t>
      </w:r>
      <w:r>
        <w:rPr>
          <w:sz w:val="24"/>
          <w:szCs w:val="24"/>
        </w:rPr>
        <w:t>s análogas são aquelas situadas lado a lado</w:t>
      </w:r>
      <w:r w:rsidRPr="007D08D5">
        <w:rPr>
          <w:sz w:val="24"/>
          <w:szCs w:val="24"/>
        </w:rPr>
        <w:t> no círculo cromático. Elas estão próximas umas das outras e compartilham uma cor base comum, o que resulta em uma transição suave, harmoniosa e com pouco contraste entre os tons.</w:t>
      </w:r>
    </w:p>
    <w:p w14:paraId="21D34C5A" w14:textId="2F092F3C" w:rsidR="007D08D5" w:rsidRPr="007D08D5" w:rsidRDefault="006E446C" w:rsidP="007D08D5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+ uma Complementar</w:t>
      </w:r>
      <w:r w:rsidRPr="006E446C">
        <w:rPr>
          <w:sz w:val="24"/>
          <w:szCs w:val="24"/>
        </w:rPr>
        <w:t xml:space="preserve"> (0,5)</w:t>
      </w:r>
      <w:r w:rsidR="007D08D5">
        <w:rPr>
          <w:sz w:val="24"/>
          <w:szCs w:val="24"/>
        </w:rPr>
        <w:t xml:space="preserve"> </w:t>
      </w:r>
    </w:p>
    <w:p w14:paraId="7207B903" w14:textId="09F519FC" w:rsidR="007D08D5" w:rsidRPr="007D08D5" w:rsidRDefault="007D08D5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Cores análogas são vizinhas no círculo cromático, criando harmonias suaves e suaves</w:t>
      </w:r>
      <w:r>
        <w:rPr>
          <w:rFonts w:ascii="Arial" w:hAnsi="Arial" w:cs="Arial"/>
          <w:color w:val="0A0A0A"/>
          <w:shd w:val="clear" w:color="auto" w:fill="FFFFFF"/>
        </w:rPr>
        <w:t>. A combinação com uma cor complementar</w:t>
      </w:r>
      <w:r>
        <w:rPr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Fonts w:ascii="Arial" w:hAnsi="Arial" w:cs="Arial"/>
          <w:color w:val="0A0A0A"/>
          <w:shd w:val="clear" w:color="auto" w:fill="FFFFFF"/>
        </w:rPr>
        <w:t>adiciona alto contraste e vibrância à composiçã</w:t>
      </w:r>
      <w:r>
        <w:rPr>
          <w:rFonts w:ascii="Arial" w:hAnsi="Arial" w:cs="Arial"/>
          <w:color w:val="0A0A0A"/>
          <w:shd w:val="clear" w:color="auto" w:fill="FFFFFF"/>
        </w:rPr>
        <w:t>o</w:t>
      </w:r>
    </w:p>
    <w:p w14:paraId="1AF27B8A" w14:textId="2F82BCD3" w:rsidR="007D08D5" w:rsidRDefault="00772DF5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 xml:space="preserve">A combinação de cores análogas com uma complementar </w:t>
      </w:r>
      <w:r>
        <w:rPr>
          <w:rFonts w:ascii="Arial" w:hAnsi="Arial" w:cs="Arial"/>
          <w:color w:val="0A0A0A"/>
          <w:shd w:val="clear" w:color="auto" w:fill="FFFFFF"/>
        </w:rPr>
        <w:t xml:space="preserve">é uma estratégia </w:t>
      </w:r>
      <w:bookmarkStart w:id="0" w:name="_GoBack"/>
      <w:bookmarkEnd w:id="0"/>
      <w:r>
        <w:rPr>
          <w:rFonts w:ascii="Arial" w:hAnsi="Arial" w:cs="Arial"/>
          <w:color w:val="0A0A0A"/>
          <w:shd w:val="clear" w:color="auto" w:fill="FFFFFF"/>
        </w:rPr>
        <w:t>visual poderosa que equilibra suavidade com alto impacto.</w:t>
      </w:r>
    </w:p>
    <w:p w14:paraId="77D01851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lastRenderedPageBreak/>
        <w:t>Cores Análogas Relacionadas</w:t>
      </w:r>
      <w:r w:rsidRPr="006E446C">
        <w:rPr>
          <w:sz w:val="24"/>
          <w:szCs w:val="24"/>
        </w:rPr>
        <w:t xml:space="preserve"> (0,5)</w:t>
      </w:r>
    </w:p>
    <w:p w14:paraId="0541D62A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Conceito correto (0,3)</w:t>
      </w:r>
    </w:p>
    <w:p w14:paraId="49C1AAC0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Diferença em relação às análogas simples (0,2)</w:t>
      </w:r>
    </w:p>
    <w:p w14:paraId="25C06902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Intercaladas</w:t>
      </w:r>
      <w:r w:rsidRPr="006E446C">
        <w:rPr>
          <w:sz w:val="24"/>
          <w:szCs w:val="24"/>
        </w:rPr>
        <w:t xml:space="preserve"> (0,5)</w:t>
      </w:r>
    </w:p>
    <w:p w14:paraId="618942B9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</w:p>
    <w:p w14:paraId="69D19A9B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Efeito visual descrito (0,2)</w:t>
      </w:r>
    </w:p>
    <w:p w14:paraId="29251FA0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Triádicas</w:t>
      </w:r>
      <w:r w:rsidRPr="006E446C">
        <w:rPr>
          <w:sz w:val="24"/>
          <w:szCs w:val="24"/>
        </w:rPr>
        <w:t xml:space="preserve"> (0,5)</w:t>
      </w:r>
    </w:p>
    <w:p w14:paraId="103B0582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Formação correta no círculo cromático (0,3)</w:t>
      </w:r>
    </w:p>
    <w:p w14:paraId="434F1189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Característica visual (0,2)</w:t>
      </w:r>
    </w:p>
    <w:p w14:paraId="4B608F48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em Quadrado</w:t>
      </w:r>
      <w:r w:rsidRPr="006E446C">
        <w:rPr>
          <w:sz w:val="24"/>
          <w:szCs w:val="24"/>
        </w:rPr>
        <w:t xml:space="preserve"> (0,5)</w:t>
      </w:r>
    </w:p>
    <w:p w14:paraId="5265A72E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da distribuição (0,3)</w:t>
      </w:r>
    </w:p>
    <w:p w14:paraId="20CB6A60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Resultado visual (0,2)</w:t>
      </w:r>
    </w:p>
    <w:p w14:paraId="36BCB679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Tetraédricas</w:t>
      </w:r>
      <w:r w:rsidRPr="006E446C">
        <w:rPr>
          <w:sz w:val="24"/>
          <w:szCs w:val="24"/>
        </w:rPr>
        <w:t xml:space="preserve"> (0,5)</w:t>
      </w:r>
    </w:p>
    <w:p w14:paraId="00B11262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Conceito correto (0,3)</w:t>
      </w:r>
    </w:p>
    <w:p w14:paraId="241AE596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Diferença para quadrado (0,2)</w:t>
      </w:r>
    </w:p>
    <w:p w14:paraId="36E676DF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Monocromia</w:t>
      </w:r>
      <w:r w:rsidRPr="006E446C">
        <w:rPr>
          <w:sz w:val="24"/>
          <w:szCs w:val="24"/>
        </w:rPr>
        <w:t xml:space="preserve"> (0,5)</w:t>
      </w:r>
    </w:p>
    <w:p w14:paraId="426B2403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</w:p>
    <w:p w14:paraId="235164E7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de como criar variações (0,2)</w:t>
      </w:r>
    </w:p>
    <w:p w14:paraId="0498B548" w14:textId="77777777" w:rsidR="006E446C" w:rsidRPr="006E446C" w:rsidRDefault="00772DF5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4696BF9">
          <v:rect id="_x0000_i1026" style="width:0;height:1.5pt" o:hralign="center" o:hrstd="t" o:hr="t" fillcolor="#a0a0a0" stroked="f"/>
        </w:pict>
      </w:r>
    </w:p>
    <w:p w14:paraId="716F49F2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🎨</w:t>
      </w:r>
      <w:r w:rsidRPr="006E446C">
        <w:rPr>
          <w:b/>
          <w:bCs/>
          <w:sz w:val="24"/>
          <w:szCs w:val="24"/>
        </w:rPr>
        <w:t xml:space="preserve"> Parte 2 – Aplicação Prática (4,0 pontos)</w:t>
      </w:r>
    </w:p>
    <w:p w14:paraId="5574AAFF" w14:textId="77777777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Desenho correto do círculo cromático (1,0)</w:t>
      </w:r>
    </w:p>
    <w:p w14:paraId="77D0C9A2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Organização e disposição correta das cores (0,5)</w:t>
      </w:r>
    </w:p>
    <w:p w14:paraId="1FD43341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Identificação das cores primárias, secundárias e terciárias (0,5)</w:t>
      </w:r>
    </w:p>
    <w:p w14:paraId="2ABF1191" w14:textId="77777777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lastRenderedPageBreak/>
        <w:t>Aplicação das Harmonias (3,0)</w:t>
      </w:r>
    </w:p>
    <w:p w14:paraId="7F11B00E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complementar corretamente representada (1,0)</w:t>
      </w:r>
    </w:p>
    <w:p w14:paraId="649BF4C2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triádica corretamente representada (1,0)</w:t>
      </w:r>
    </w:p>
    <w:p w14:paraId="4E099110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monocromática corretamente representada (1,0)</w:t>
      </w:r>
    </w:p>
    <w:p w14:paraId="600F03CD" w14:textId="77777777" w:rsidR="006E446C" w:rsidRPr="006E446C" w:rsidRDefault="00772DF5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7B6004A6">
          <v:rect id="_x0000_i1027" style="width:0;height:1.5pt" o:hralign="center" o:hrstd="t" o:hr="t" fillcolor="#a0a0a0" stroked="f"/>
        </w:pict>
      </w:r>
    </w:p>
    <w:p w14:paraId="3B11CC61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🧐</w:t>
      </w:r>
      <w:r w:rsidRPr="006E446C">
        <w:rPr>
          <w:b/>
          <w:bCs/>
          <w:sz w:val="24"/>
          <w:szCs w:val="24"/>
        </w:rPr>
        <w:t xml:space="preserve"> Parte 3 – Análise Visual (2,0 pontos)</w:t>
      </w:r>
    </w:p>
    <w:p w14:paraId="34DA7736" w14:textId="7777777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Escolha uma peça visual (logotipo, embalagem, cartaz ou site) e responda:</w:t>
      </w:r>
    </w:p>
    <w:p w14:paraId="3C1C2184" w14:textId="77777777" w:rsidR="006E446C" w:rsidRPr="006E446C" w:rsidRDefault="006E446C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Identificação correta da harmonia utilizada (1,0)</w:t>
      </w:r>
    </w:p>
    <w:p w14:paraId="1E3EA90F" w14:textId="77777777" w:rsidR="006E446C" w:rsidRPr="006E446C" w:rsidRDefault="006E446C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Justificativa coerente com base no círculo cromático (1,0)</w:t>
      </w:r>
    </w:p>
    <w:p w14:paraId="64E871B3" w14:textId="77777777" w:rsidR="006E446C" w:rsidRPr="006E446C" w:rsidRDefault="00772DF5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D9F424D">
          <v:rect id="_x0000_i1028" style="width:0;height:1.5pt" o:hralign="center" o:hrstd="t" o:hr="t" fillcolor="#a0a0a0" stroked="f"/>
        </w:pict>
      </w:r>
    </w:p>
    <w:p w14:paraId="445EC448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📊</w:t>
      </w:r>
      <w:r w:rsidRPr="006E446C">
        <w:rPr>
          <w:b/>
          <w:bCs/>
          <w:sz w:val="24"/>
          <w:szCs w:val="24"/>
        </w:rPr>
        <w:t xml:space="preserve"> Critérios Gerais de Avaliação</w:t>
      </w:r>
    </w:p>
    <w:p w14:paraId="029CD959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Clareza na escrita</w:t>
      </w:r>
    </w:p>
    <w:p w14:paraId="564AE0FB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Uso correto da terminologia</w:t>
      </w:r>
    </w:p>
    <w:p w14:paraId="11A5D920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Organização visual</w:t>
      </w:r>
    </w:p>
    <w:p w14:paraId="2287663C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Capricho e apresentação</w:t>
      </w:r>
    </w:p>
    <w:p w14:paraId="20C983A6" w14:textId="77777777" w:rsidR="000F2C44" w:rsidRDefault="000F2C44" w:rsidP="004C39C7">
      <w:pPr>
        <w:spacing w:line="360" w:lineRule="auto"/>
      </w:pPr>
    </w:p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E53394"/>
    <w:multiLevelType w:val="multilevel"/>
    <w:tmpl w:val="09FA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11D39"/>
    <w:multiLevelType w:val="multilevel"/>
    <w:tmpl w:val="A1C0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CB321E"/>
    <w:multiLevelType w:val="multilevel"/>
    <w:tmpl w:val="E6DAD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287A4B"/>
    <w:multiLevelType w:val="multilevel"/>
    <w:tmpl w:val="D52C6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46C"/>
    <w:rsid w:val="0008067B"/>
    <w:rsid w:val="000F2C44"/>
    <w:rsid w:val="004A742D"/>
    <w:rsid w:val="004C39C7"/>
    <w:rsid w:val="006E446C"/>
    <w:rsid w:val="00723617"/>
    <w:rsid w:val="00772DF5"/>
    <w:rsid w:val="007D08D5"/>
    <w:rsid w:val="00A20658"/>
    <w:rsid w:val="00A97020"/>
    <w:rsid w:val="00BC38A1"/>
    <w:rsid w:val="00E32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94756"/>
  <w15:chartTrackingRefBased/>
  <w15:docId w15:val="{CDDF49CA-7AB8-4DE6-8F2D-B416F6C6D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E4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E4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E446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E4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E446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E4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E4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E4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E4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E446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E446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E446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E446C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E446C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E44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E446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E44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E44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E4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E4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E4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E4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E4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E446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E446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E446C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E446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E446C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E446C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7D08D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7D08D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394</Words>
  <Characters>2131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5</cp:revision>
  <dcterms:created xsi:type="dcterms:W3CDTF">2026-03-04T13:33:00Z</dcterms:created>
  <dcterms:modified xsi:type="dcterms:W3CDTF">2026-03-12T18:25:00Z</dcterms:modified>
</cp:coreProperties>
</file>