
<file path=[Content_Types].xml><?xml version="1.0" encoding="utf-8"?>
<Types xmlns="http://schemas.openxmlformats.org/package/2006/content-types">
  <Default ContentType="application/vnd.openxmlformats-officedocument.spreadsheetml.sheet" Extension="xlsx"/>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6.xml"/>
  <Override ContentType="application/vnd.ms-office.chartstyle+xml" PartName="/word/charts/style5.xml"/>
  <Override ContentType="application/vnd.ms-office.chartstyle+xml" PartName="/word/charts/style3.xml"/>
  <Override ContentType="application/vnd.ms-office.chartstyle+xml" PartName="/word/charts/style4.xml"/>
  <Override ContentType="application/vnd.ms-office.chartstyle+xml" PartName="/word/charts/style2.xml"/>
  <Override ContentType="application/vnd.ms-office.chartcolorstyle+xml" PartName="/word/charts/colors6.xml"/>
  <Override ContentType="application/vnd.ms-office.chartcolorstyle+xml" PartName="/word/charts/colors5.xml"/>
  <Override ContentType="application/vnd.ms-office.chartcolorstyle+xml" PartName="/word/charts/colors3.xml"/>
  <Override ContentType="application/vnd.ms-office.chartcolorstyle+xml" PartName="/word/charts/colors4.xml"/>
  <Override ContentType="application/vnd.ms-office.chartcolorstyle+xml" PartName="/word/charts/colors2.xml"/>
  <Override ContentType="application/vnd.ms-office.chartcolorstyle+xml" PartName="/word/charts/colors1.xml"/>
  <Override ContentType="application/vnd.openxmlformats-officedocument.wordprocessingml.document.main+xml" PartName="/word/document.xml"/>
  <Override ContentType="application/vnd.openxmlformats-officedocument.drawingml.chart+xml" PartName="/word/charts/chart6.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7.xml"/>
  <Override ContentType="application/vnd.openxmlformats-officedocument.drawingml.chart+xml" PartName="/word/charts/chart4.xml"/>
  <Override ContentType="application/vnd.openxmlformats-officedocument.drawingml.chart+xml" PartName="/word/charts/chart5.xml"/>
  <Override ContentType="application/vnd.openxmlformats-officedocument.drawingml.chart+xml" PartName="/word/charts/chart3.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TECHNICAL REPORT</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3">
      <w:pPr>
        <w:rPr/>
      </w:pPr>
      <w:r w:rsidDel="00000000" w:rsidR="00000000" w:rsidRPr="00000000">
        <w:rPr>
          <w:rtl w:val="0"/>
        </w:rPr>
        <w:t xml:space="preserve">This report presents a comprehensive analysis of sales patterns, Revenue generated, and customer demographics for Subway performance analysis by examining historical sales data. The goal is to uncover essential performance indicators, explore seasonal fluctuations, and offer strategic recommendations to enhance revenue generation and streamline operational efficiency. The dataset used for this project is a sales dataset. </w:t>
      </w:r>
    </w:p>
    <w:p w:rsidR="00000000" w:rsidDel="00000000" w:rsidP="00000000" w:rsidRDefault="00000000" w:rsidRPr="00000000" w14:paraId="00000004">
      <w:pPr>
        <w:jc w:val="center"/>
        <w:rPr/>
      </w:pPr>
      <w:r w:rsidDel="00000000" w:rsidR="00000000" w:rsidRPr="00000000">
        <w:rPr>
          <w:b w:val="1"/>
          <w:rtl w:val="0"/>
        </w:rPr>
        <w:t xml:space="preserve">Story of data</w:t>
      </w:r>
      <w:r w:rsidDel="00000000" w:rsidR="00000000" w:rsidRPr="00000000">
        <w:rPr>
          <w:rtl w:val="0"/>
        </w:rPr>
        <w:t xml:space="preserve">     </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This data was collected from surveys.                                                                                                                   </w:t>
      </w:r>
    </w:p>
    <w:p w:rsidR="00000000" w:rsidDel="00000000" w:rsidP="00000000" w:rsidRDefault="00000000" w:rsidRPr="00000000" w14:paraId="00000007">
      <w:pPr>
        <w:rPr/>
      </w:pPr>
      <w:r w:rsidDel="00000000" w:rsidR="00000000" w:rsidRPr="00000000">
        <w:rPr>
          <w:rtl w:val="0"/>
        </w:rPr>
        <w:t xml:space="preserve">Source: From a senior data analyst (Sales dataset). </w:t>
      </w:r>
    </w:p>
    <w:p w:rsidR="00000000" w:rsidDel="00000000" w:rsidP="00000000" w:rsidRDefault="00000000" w:rsidRPr="00000000" w14:paraId="00000008">
      <w:pPr>
        <w:rPr/>
      </w:pPr>
      <w:r w:rsidDel="00000000" w:rsidR="00000000" w:rsidRPr="00000000">
        <w:rPr>
          <w:rtl w:val="0"/>
        </w:rPr>
        <w:t xml:space="preserve">Contents: Customer performance, Regional sales, shipping details, Sales person performance, Product performance analysis, and amount of each transactions.</w:t>
      </w:r>
    </w:p>
    <w:p w:rsidR="00000000" w:rsidDel="00000000" w:rsidP="00000000" w:rsidRDefault="00000000" w:rsidRPr="00000000" w14:paraId="00000009">
      <w:pPr>
        <w:jc w:val="center"/>
        <w:rPr>
          <w:b w:val="1"/>
        </w:rPr>
      </w:pPr>
      <w:r w:rsidDel="00000000" w:rsidR="00000000" w:rsidRPr="00000000">
        <w:rPr>
          <w:b w:val="1"/>
          <w:rtl w:val="0"/>
        </w:rPr>
        <w:t xml:space="preserve">Data Structure</w:t>
      </w:r>
    </w:p>
    <w:p w:rsidR="00000000" w:rsidDel="00000000" w:rsidP="00000000" w:rsidRDefault="00000000" w:rsidRPr="00000000" w14:paraId="0000000A">
      <w:pPr>
        <w:spacing w:after="0" w:line="240" w:lineRule="auto"/>
        <w:jc w:val="both"/>
        <w:rPr>
          <w:rFonts w:ascii="Cambria" w:cs="Cambria" w:eastAsia="Cambria" w:hAnsi="Cambria"/>
          <w:sz w:val="28"/>
          <w:szCs w:val="28"/>
        </w:rPr>
      </w:pPr>
      <w:r w:rsidDel="00000000" w:rsidR="00000000" w:rsidRPr="00000000">
        <w:rPr>
          <w:b w:val="1"/>
          <w:rtl w:val="0"/>
        </w:rPr>
        <w:t xml:space="preserve">The data is organized in rows and columns with customers being in column </w:t>
      </w:r>
      <w:r w:rsidDel="00000000" w:rsidR="00000000" w:rsidRPr="00000000">
        <w:rPr>
          <w:rFonts w:ascii="Cambria" w:cs="Cambria" w:eastAsia="Cambria" w:hAnsi="Cambria"/>
          <w:sz w:val="28"/>
          <w:szCs w:val="28"/>
          <w:rtl w:val="0"/>
        </w:rPr>
        <w:t xml:space="preserve">including revenue, region, salespersons, and product categories are included in the dataset, which consists of sales transactions.</w:t>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spacing w:after="240" w:before="240" w:lineRule="auto"/>
        <w:rPr>
          <w:b w:val="1"/>
        </w:rPr>
      </w:pPr>
      <w:r w:rsidDel="00000000" w:rsidR="00000000" w:rsidRPr="00000000">
        <w:rPr>
          <w:rtl w:val="0"/>
        </w:rPr>
        <w:t xml:space="preserve">Key Highlights and Their Importance: The story emphasizes the critical contributions of key figures, especially Nancy Freehafer, who was recognized as the top sales performer. Additionally, Company D distinguished itself as the leading partner in terms of performance. The data also shows a notable geographical focus on New York, which emerged as the top shipping destination, while Beverages led as the most successful product category</w:t>
      </w:r>
      <w:r w:rsidDel="00000000" w:rsidR="00000000" w:rsidRPr="00000000">
        <w:rPr>
          <w:b w:val="1"/>
          <w:rtl w:val="0"/>
        </w:rPr>
        <w:t xml:space="preserve">.</w:t>
      </w:r>
    </w:p>
    <w:p w:rsidR="00000000" w:rsidDel="00000000" w:rsidP="00000000" w:rsidRDefault="00000000" w:rsidRPr="00000000" w14:paraId="0000000D">
      <w:pPr>
        <w:jc w:val="left"/>
        <w:rPr>
          <w:b w:val="1"/>
        </w:rPr>
      </w:pPr>
      <w:r w:rsidDel="00000000" w:rsidR="00000000" w:rsidRPr="00000000">
        <w:rPr>
          <w:rtl w:val="0"/>
        </w:rPr>
      </w:r>
    </w:p>
    <w:p w:rsidR="00000000" w:rsidDel="00000000" w:rsidP="00000000" w:rsidRDefault="00000000" w:rsidRPr="00000000" w14:paraId="0000000E">
      <w:pPr>
        <w:jc w:val="left"/>
        <w:rPr>
          <w:b w:val="1"/>
        </w:rPr>
      </w:pPr>
      <w:r w:rsidDel="00000000" w:rsidR="00000000" w:rsidRPr="00000000">
        <w:rPr>
          <w:rtl w:val="0"/>
        </w:rPr>
      </w:r>
    </w:p>
    <w:p w:rsidR="00000000" w:rsidDel="00000000" w:rsidP="00000000" w:rsidRDefault="00000000" w:rsidRPr="00000000" w14:paraId="0000000F">
      <w:pPr>
        <w:jc w:val="left"/>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b w:val="1"/>
          <w:rtl w:val="0"/>
        </w:rPr>
        <w:t xml:space="preserve">Data Splitting and Preprocessing</w:t>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Project split into dependent and independent variables.</w:t>
      </w:r>
    </w:p>
    <w:p w:rsidR="00000000" w:rsidDel="00000000" w:rsidP="00000000" w:rsidRDefault="00000000" w:rsidRPr="00000000" w14:paraId="00000014">
      <w:pPr>
        <w:rPr>
          <w:b w:val="1"/>
        </w:rPr>
      </w:pPr>
      <w:r w:rsidDel="00000000" w:rsidR="00000000" w:rsidRPr="00000000">
        <w:rPr>
          <w:b w:val="1"/>
          <w:rtl w:val="0"/>
        </w:rPr>
        <w:t xml:space="preserve">Independent Variables:</w:t>
      </w:r>
    </w:p>
    <w:p w:rsidR="00000000" w:rsidDel="00000000" w:rsidP="00000000" w:rsidRDefault="00000000" w:rsidRPr="00000000" w14:paraId="00000015">
      <w:pPr>
        <w:rPr/>
      </w:pPr>
      <w:r w:rsidDel="00000000" w:rsidR="00000000" w:rsidRPr="00000000">
        <w:rPr>
          <w:rtl w:val="0"/>
        </w:rPr>
        <w:t xml:space="preserve">Order date</w:t>
      </w:r>
    </w:p>
    <w:p w:rsidR="00000000" w:rsidDel="00000000" w:rsidP="00000000" w:rsidRDefault="00000000" w:rsidRPr="00000000" w14:paraId="00000016">
      <w:pPr>
        <w:rPr/>
      </w:pPr>
      <w:r w:rsidDel="00000000" w:rsidR="00000000" w:rsidRPr="00000000">
        <w:rPr>
          <w:rtl w:val="0"/>
        </w:rPr>
        <w:t xml:space="preserve">customer name</w:t>
      </w:r>
    </w:p>
    <w:p w:rsidR="00000000" w:rsidDel="00000000" w:rsidP="00000000" w:rsidRDefault="00000000" w:rsidRPr="00000000" w14:paraId="00000017">
      <w:pPr>
        <w:rPr/>
      </w:pPr>
      <w:r w:rsidDel="00000000" w:rsidR="00000000" w:rsidRPr="00000000">
        <w:rPr>
          <w:rtl w:val="0"/>
        </w:rPr>
        <w:t xml:space="preserve">city</w:t>
      </w:r>
    </w:p>
    <w:p w:rsidR="00000000" w:rsidDel="00000000" w:rsidP="00000000" w:rsidRDefault="00000000" w:rsidRPr="00000000" w14:paraId="00000018">
      <w:pPr>
        <w:rPr/>
      </w:pPr>
      <w:r w:rsidDel="00000000" w:rsidR="00000000" w:rsidRPr="00000000">
        <w:rPr>
          <w:rtl w:val="0"/>
        </w:rPr>
        <w:t xml:space="preserve">country</w:t>
      </w:r>
    </w:p>
    <w:p w:rsidR="00000000" w:rsidDel="00000000" w:rsidP="00000000" w:rsidRDefault="00000000" w:rsidRPr="00000000" w14:paraId="00000019">
      <w:pPr>
        <w:rPr/>
      </w:pPr>
      <w:r w:rsidDel="00000000" w:rsidR="00000000" w:rsidRPr="00000000">
        <w:rPr>
          <w:rtl w:val="0"/>
        </w:rPr>
        <w:t xml:space="preserve">sales person</w:t>
      </w:r>
    </w:p>
    <w:p w:rsidR="00000000" w:rsidDel="00000000" w:rsidP="00000000" w:rsidRDefault="00000000" w:rsidRPr="00000000" w14:paraId="0000001A">
      <w:pPr>
        <w:rPr/>
      </w:pPr>
      <w:r w:rsidDel="00000000" w:rsidR="00000000" w:rsidRPr="00000000">
        <w:rPr>
          <w:rtl w:val="0"/>
        </w:rPr>
        <w:t xml:space="preserve">region</w:t>
      </w:r>
    </w:p>
    <w:p w:rsidR="00000000" w:rsidDel="00000000" w:rsidP="00000000" w:rsidRDefault="00000000" w:rsidRPr="00000000" w14:paraId="0000001B">
      <w:pPr>
        <w:rPr/>
      </w:pPr>
      <w:r w:rsidDel="00000000" w:rsidR="00000000" w:rsidRPr="00000000">
        <w:rPr>
          <w:rtl w:val="0"/>
        </w:rPr>
        <w:t xml:space="preserve">ship city</w:t>
      </w:r>
    </w:p>
    <w:p w:rsidR="00000000" w:rsidDel="00000000" w:rsidP="00000000" w:rsidRDefault="00000000" w:rsidRPr="00000000" w14:paraId="0000001C">
      <w:pPr>
        <w:rPr/>
      </w:pPr>
      <w:r w:rsidDel="00000000" w:rsidR="00000000" w:rsidRPr="00000000">
        <w:rPr>
          <w:rtl w:val="0"/>
        </w:rPr>
        <w:t xml:space="preserve">payment type</w:t>
      </w:r>
    </w:p>
    <w:p w:rsidR="00000000" w:rsidDel="00000000" w:rsidP="00000000" w:rsidRDefault="00000000" w:rsidRPr="00000000" w14:paraId="0000001D">
      <w:pPr>
        <w:rPr/>
      </w:pPr>
      <w:r w:rsidDel="00000000" w:rsidR="00000000" w:rsidRPr="00000000">
        <w:rPr>
          <w:rtl w:val="0"/>
        </w:rPr>
        <w:t xml:space="preserve">product name</w:t>
      </w:r>
    </w:p>
    <w:p w:rsidR="00000000" w:rsidDel="00000000" w:rsidP="00000000" w:rsidRDefault="00000000" w:rsidRPr="00000000" w14:paraId="0000001E">
      <w:pPr>
        <w:rPr/>
      </w:pPr>
      <w:r w:rsidDel="00000000" w:rsidR="00000000" w:rsidRPr="00000000">
        <w:rPr>
          <w:rtl w:val="0"/>
        </w:rPr>
        <w:t xml:space="preserve">category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w:t>
      </w:r>
      <w:r w:rsidDel="00000000" w:rsidR="00000000" w:rsidRPr="00000000">
        <w:rPr>
          <w:b w:val="1"/>
          <w:rtl w:val="0"/>
        </w:rPr>
        <w:t xml:space="preserve">ependent Variables</w:t>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Unit price</w:t>
      </w:r>
    </w:p>
    <w:p w:rsidR="00000000" w:rsidDel="00000000" w:rsidP="00000000" w:rsidRDefault="00000000" w:rsidRPr="00000000" w14:paraId="00000023">
      <w:pPr>
        <w:rPr/>
      </w:pPr>
      <w:r w:rsidDel="00000000" w:rsidR="00000000" w:rsidRPr="00000000">
        <w:rPr>
          <w:rtl w:val="0"/>
        </w:rPr>
        <w:t xml:space="preserve">Quantity</w:t>
      </w:r>
    </w:p>
    <w:p w:rsidR="00000000" w:rsidDel="00000000" w:rsidP="00000000" w:rsidRDefault="00000000" w:rsidRPr="00000000" w14:paraId="00000024">
      <w:pPr>
        <w:rPr/>
      </w:pPr>
      <w:r w:rsidDel="00000000" w:rsidR="00000000" w:rsidRPr="00000000">
        <w:rPr>
          <w:rtl w:val="0"/>
        </w:rPr>
        <w:t xml:space="preserve">Revenue</w:t>
      </w:r>
    </w:p>
    <w:p w:rsidR="00000000" w:rsidDel="00000000" w:rsidP="00000000" w:rsidRDefault="00000000" w:rsidRPr="00000000" w14:paraId="00000025">
      <w:pPr>
        <w:rPr/>
      </w:pPr>
      <w:r w:rsidDel="00000000" w:rsidR="00000000" w:rsidRPr="00000000">
        <w:rPr>
          <w:rtl w:val="0"/>
        </w:rPr>
        <w:t xml:space="preserve">Shipping fee</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Data Cleaning</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Eliminated duplicate entries and rectified discrepancies in data values.</w:t>
      </w:r>
    </w:p>
    <w:p w:rsidR="00000000" w:rsidDel="00000000" w:rsidP="00000000" w:rsidRDefault="00000000" w:rsidRPr="00000000" w14:paraId="0000002A">
      <w:pPr>
        <w:rPr/>
      </w:pPr>
      <w:r w:rsidDel="00000000" w:rsidR="00000000" w:rsidRPr="00000000">
        <w:rPr>
          <w:rtl w:val="0"/>
        </w:rPr>
        <w:t xml:space="preserve">Unified product categories and standardized pricing information.</w:t>
      </w:r>
    </w:p>
    <w:p w:rsidR="00000000" w:rsidDel="00000000" w:rsidP="00000000" w:rsidRDefault="00000000" w:rsidRPr="00000000" w14:paraId="0000002B">
      <w:pPr>
        <w:rPr/>
      </w:pPr>
      <w:r w:rsidDel="00000000" w:rsidR="00000000" w:rsidRPr="00000000">
        <w:rPr>
          <w:rtl w:val="0"/>
        </w:rPr>
        <w:t xml:space="preserve">Converted date formats to ensure accurate time-series analysis.</w:t>
      </w:r>
    </w:p>
    <w:p w:rsidR="00000000" w:rsidDel="00000000" w:rsidP="00000000" w:rsidRDefault="00000000" w:rsidRPr="00000000" w14:paraId="0000002C">
      <w:pPr>
        <w:rPr/>
      </w:pPr>
      <w:r w:rsidDel="00000000" w:rsidR="00000000" w:rsidRPr="00000000">
        <w:rPr>
          <w:rtl w:val="0"/>
        </w:rPr>
        <w:t xml:space="preserve">Addressed missing data points for improved consistency.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Industry</w:t>
      </w:r>
      <w:r w:rsidDel="00000000" w:rsidR="00000000" w:rsidRPr="00000000">
        <w:rPr>
          <w:rtl w:val="0"/>
        </w:rPr>
        <w:t xml:space="preserve">: Retail &amp; E-commerce</w:t>
      </w:r>
    </w:p>
    <w:p w:rsidR="00000000" w:rsidDel="00000000" w:rsidP="00000000" w:rsidRDefault="00000000" w:rsidRPr="00000000" w14:paraId="0000002F">
      <w:pPr>
        <w:rPr/>
      </w:pPr>
      <w:r w:rsidDel="00000000" w:rsidR="00000000" w:rsidRPr="00000000">
        <w:rPr>
          <w:b w:val="1"/>
          <w:rtl w:val="0"/>
        </w:rPr>
        <w:t xml:space="preserve">Stakeholders</w:t>
      </w:r>
      <w:r w:rsidDel="00000000" w:rsidR="00000000" w:rsidRPr="00000000">
        <w:rPr>
          <w:rtl w:val="0"/>
        </w:rPr>
        <w:t xml:space="preserve">: The CEO</w:t>
      </w:r>
    </w:p>
    <w:p w:rsidR="00000000" w:rsidDel="00000000" w:rsidP="00000000" w:rsidRDefault="00000000" w:rsidRPr="00000000" w14:paraId="00000030">
      <w:pPr>
        <w:rPr/>
      </w:pPr>
      <w:r w:rsidDel="00000000" w:rsidR="00000000" w:rsidRPr="00000000">
        <w:rPr>
          <w:rtl w:val="0"/>
        </w:rPr>
        <w:t xml:space="preserve">what value means to this industry is revenue creation.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b w:val="1"/>
          <w:rtl w:val="0"/>
        </w:rPr>
        <w:t xml:space="preserve">Pre analysis</w:t>
      </w:r>
      <w:r w:rsidDel="00000000" w:rsidR="00000000" w:rsidRPr="00000000">
        <w:rPr>
          <w:rtl w:val="0"/>
        </w:rPr>
        <w:t xml:space="preserve">                                                                                                                                                  </w:t>
      </w:r>
    </w:p>
    <w:p w:rsidR="00000000" w:rsidDel="00000000" w:rsidP="00000000" w:rsidRDefault="00000000" w:rsidRPr="00000000" w14:paraId="00000034">
      <w:pPr>
        <w:rPr>
          <w:b w:val="1"/>
        </w:rPr>
      </w:pPr>
      <w:r w:rsidDel="00000000" w:rsidR="00000000" w:rsidRPr="00000000">
        <w:rPr>
          <w:b w:val="1"/>
          <w:rtl w:val="0"/>
        </w:rPr>
        <w:t xml:space="preserve">Sales Trends</w:t>
      </w:r>
    </w:p>
    <w:p w:rsidR="00000000" w:rsidDel="00000000" w:rsidP="00000000" w:rsidRDefault="00000000" w:rsidRPr="00000000" w14:paraId="00000035">
      <w:pPr>
        <w:rPr/>
      </w:pPr>
      <w:r w:rsidDel="00000000" w:rsidR="00000000" w:rsidRPr="00000000">
        <w:rPr>
          <w:rtl w:val="0"/>
        </w:rPr>
        <w:t xml:space="preserve">Month with the highest sales was December, and Febuary was the lowest. </w:t>
      </w:r>
    </w:p>
    <w:p w:rsidR="00000000" w:rsidDel="00000000" w:rsidP="00000000" w:rsidRDefault="00000000" w:rsidRPr="00000000" w14:paraId="00000036">
      <w:pPr>
        <w:rPr/>
      </w:pPr>
      <w:r w:rsidDel="00000000" w:rsidR="00000000" w:rsidRPr="00000000">
        <w:rPr>
          <w:rtl w:val="0"/>
        </w:rPr>
        <w:t xml:space="preserve">Northern region generated the highest revenue, while the West was the least.</w:t>
      </w:r>
    </w:p>
    <w:p w:rsidR="00000000" w:rsidDel="00000000" w:rsidP="00000000" w:rsidRDefault="00000000" w:rsidRPr="00000000" w14:paraId="00000037">
      <w:pPr>
        <w:rPr/>
      </w:pPr>
      <w:r w:rsidDel="00000000" w:rsidR="00000000" w:rsidRPr="00000000">
        <w:rPr>
          <w:rtl w:val="0"/>
        </w:rPr>
        <w:t xml:space="preserve">Beverages is the highest-grossing category, and Dried nuts and fruits.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Regional Performance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Northern region has revenue of $141660.34 with a good performance</w:t>
      </w:r>
    </w:p>
    <w:p w:rsidR="00000000" w:rsidDel="00000000" w:rsidP="00000000" w:rsidRDefault="00000000" w:rsidRPr="00000000" w14:paraId="0000003C">
      <w:pPr>
        <w:rPr/>
      </w:pPr>
      <w:r w:rsidDel="00000000" w:rsidR="00000000" w:rsidRPr="00000000">
        <w:rPr>
          <w:rtl w:val="0"/>
        </w:rPr>
        <w:t xml:space="preserve">the lowest was the western region with the revenue of $91251.98 they need targeted marketing.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Correlations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Higher sales is to revenue correlation</w:t>
      </w:r>
    </w:p>
    <w:p w:rsidR="00000000" w:rsidDel="00000000" w:rsidP="00000000" w:rsidRDefault="00000000" w:rsidRPr="00000000" w14:paraId="00000040">
      <w:pPr>
        <w:rPr/>
      </w:pPr>
      <w:r w:rsidDel="00000000" w:rsidR="00000000" w:rsidRPr="00000000">
        <w:rPr>
          <w:rtl w:val="0"/>
        </w:rPr>
        <w:t xml:space="preserve">There is a positive correlation between faster shipping and higher order values.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Product category</w:t>
      </w:r>
      <w:r w:rsidDel="00000000" w:rsidR="00000000" w:rsidRPr="00000000">
        <w:rPr>
          <w:rtl w:val="0"/>
        </w:rPr>
        <w:t xml:space="preserve">                                                                                                                                                                Beverages had the highest revenue and dried fruits and nuts with the lowest                                                                              </w:t>
      </w:r>
    </w:p>
    <w:p w:rsidR="00000000" w:rsidDel="00000000" w:rsidP="00000000" w:rsidRDefault="00000000" w:rsidRPr="00000000" w14:paraId="00000043">
      <w:pPr>
        <w:rPr/>
      </w:pPr>
      <w:r w:rsidDel="00000000" w:rsidR="00000000" w:rsidRPr="00000000">
        <w:rPr>
          <w:rtl w:val="0"/>
        </w:rPr>
        <w:t xml:space="preserve">Customer ranking                                                                                                                                                                                      Company D has the highest revenue                                                                                                                                                    </w:t>
      </w:r>
    </w:p>
    <w:p w:rsidR="00000000" w:rsidDel="00000000" w:rsidP="00000000" w:rsidRDefault="00000000" w:rsidRPr="00000000" w14:paraId="00000044">
      <w:pPr>
        <w:rPr>
          <w:b w:val="1"/>
        </w:rPr>
      </w:pPr>
      <w:r w:rsidDel="00000000" w:rsidR="00000000" w:rsidRPr="00000000">
        <w:rPr>
          <w:b w:val="1"/>
          <w:rtl w:val="0"/>
        </w:rPr>
        <w:t xml:space="preserve">Shipping City Analysis</w:t>
      </w:r>
    </w:p>
    <w:p w:rsidR="00000000" w:rsidDel="00000000" w:rsidP="00000000" w:rsidRDefault="00000000" w:rsidRPr="00000000" w14:paraId="00000045">
      <w:pPr>
        <w:rPr/>
      </w:pPr>
      <w:r w:rsidDel="00000000" w:rsidR="00000000" w:rsidRPr="00000000">
        <w:rPr>
          <w:rtl w:val="0"/>
        </w:rPr>
        <w:t xml:space="preserve">New york being the best ship city and Milwaukee the lowest ship city.                                                                          </w:t>
      </w:r>
    </w:p>
    <w:p w:rsidR="00000000" w:rsidDel="00000000" w:rsidP="00000000" w:rsidRDefault="00000000" w:rsidRPr="00000000" w14:paraId="00000046">
      <w:pPr>
        <w:rPr/>
      </w:pPr>
      <w:r w:rsidDel="00000000" w:rsidR="00000000" w:rsidRPr="00000000">
        <w:rPr>
          <w:b w:val="1"/>
          <w:rtl w:val="0"/>
        </w:rPr>
        <w:t xml:space="preserve">Sales person analysis</w:t>
      </w:r>
      <w:r w:rsidDel="00000000" w:rsidR="00000000" w:rsidRPr="00000000">
        <w:rPr>
          <w:rtl w:val="0"/>
        </w:rPr>
        <w:t xml:space="preserve">                                                                                                                                                The top sales person is Nancy Freehafer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Pre-Analysis</w:t>
      </w:r>
    </w:p>
    <w:p w:rsidR="00000000" w:rsidDel="00000000" w:rsidP="00000000" w:rsidRDefault="00000000" w:rsidRPr="00000000" w14:paraId="0000004A">
      <w:pPr>
        <w:rPr/>
      </w:pPr>
      <w:r w:rsidDel="00000000" w:rsidR="00000000" w:rsidRPr="00000000">
        <w:rPr>
          <w:rtl w:val="0"/>
        </w:rPr>
        <w:t xml:space="preserve">Before diving into the detailed analysis, several preliminary observations set the stage for understanding Subway performance analysis 2016.</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Initial Observations</w:t>
      </w:r>
    </w:p>
    <w:p w:rsidR="00000000" w:rsidDel="00000000" w:rsidP="00000000" w:rsidRDefault="00000000" w:rsidRPr="00000000" w14:paraId="0000004D">
      <w:pPr>
        <w:rPr/>
      </w:pPr>
      <w:r w:rsidDel="00000000" w:rsidR="00000000" w:rsidRPr="00000000">
        <w:rPr>
          <w:rtl w:val="0"/>
        </w:rPr>
        <w:t xml:space="preserve">- Annual Revenue: $435,036.16</w:t>
      </w:r>
    </w:p>
    <w:p w:rsidR="00000000" w:rsidDel="00000000" w:rsidP="00000000" w:rsidRDefault="00000000" w:rsidRPr="00000000" w14:paraId="0000004E">
      <w:pPr>
        <w:rPr/>
      </w:pPr>
      <w:r w:rsidDel="00000000" w:rsidR="00000000" w:rsidRPr="00000000">
        <w:rPr>
          <w:rtl w:val="0"/>
        </w:rPr>
        <w:t xml:space="preserve">- Top Regional Contribution: Northern Region </w:t>
      </w:r>
    </w:p>
    <w:p w:rsidR="00000000" w:rsidDel="00000000" w:rsidP="00000000" w:rsidRDefault="00000000" w:rsidRPr="00000000" w14:paraId="0000004F">
      <w:pPr>
        <w:rPr/>
      </w:pPr>
      <w:r w:rsidDel="00000000" w:rsidR="00000000" w:rsidRPr="00000000">
        <w:rPr>
          <w:rtl w:val="0"/>
        </w:rPr>
        <w:t xml:space="preserve">- Product Category: Beverages $110,927.11</w:t>
      </w:r>
    </w:p>
    <w:p w:rsidR="00000000" w:rsidDel="00000000" w:rsidP="00000000" w:rsidRDefault="00000000" w:rsidRPr="00000000" w14:paraId="00000050">
      <w:pPr>
        <w:rPr/>
      </w:pPr>
      <w:r w:rsidDel="00000000" w:rsidR="00000000" w:rsidRPr="00000000">
        <w:rPr>
          <w:rtl w:val="0"/>
        </w:rPr>
        <w:t xml:space="preserve">- Top Salesperson Revenue: Nancy Freehafer $192,545.24</w:t>
      </w:r>
    </w:p>
    <w:p w:rsidR="00000000" w:rsidDel="00000000" w:rsidP="00000000" w:rsidRDefault="00000000" w:rsidRPr="00000000" w14:paraId="00000051">
      <w:pPr>
        <w:rPr/>
      </w:pPr>
      <w:r w:rsidDel="00000000" w:rsidR="00000000" w:rsidRPr="00000000">
        <w:rPr>
          <w:rtl w:val="0"/>
        </w:rPr>
        <w:t xml:space="preserve">- Top Customer : Company D $97,946.55</w:t>
      </w:r>
    </w:p>
    <w:p w:rsidR="00000000" w:rsidDel="00000000" w:rsidP="00000000" w:rsidRDefault="00000000" w:rsidRPr="00000000" w14:paraId="00000052">
      <w:pPr>
        <w:rPr/>
      </w:pPr>
      <w:r w:rsidDel="00000000" w:rsidR="00000000" w:rsidRPr="00000000">
        <w:rPr>
          <w:rtl w:val="0"/>
        </w:rPr>
        <w:t xml:space="preserve">- Best Month: December $82,642.78</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b w:val="1"/>
          <w:color w:val="1f2328"/>
          <w:sz w:val="24"/>
          <w:szCs w:val="24"/>
          <w:rtl w:val="0"/>
        </w:rPr>
        <w:t xml:space="preserve">In-Analysis</w:t>
      </w:r>
    </w:p>
    <w:p w:rsidR="00000000" w:rsidDel="00000000" w:rsidP="00000000" w:rsidRDefault="00000000" w:rsidRPr="00000000" w14:paraId="00000055">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b w:val="1"/>
          <w:color w:val="1f2328"/>
          <w:sz w:val="24"/>
          <w:szCs w:val="24"/>
          <w:rtl w:val="0"/>
        </w:rPr>
        <w:t xml:space="preserve">Regional analysis</w:t>
      </w:r>
    </w:p>
    <w:p w:rsidR="00000000" w:rsidDel="00000000" w:rsidP="00000000" w:rsidRDefault="00000000" w:rsidRPr="00000000" w14:paraId="00000056">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The best region is the northern region with the revenue of 141660.34. and the region with the lowest was the western region with the revenue of 91251.98</w:t>
      </w:r>
    </w:p>
    <w:p w:rsidR="00000000" w:rsidDel="00000000" w:rsidP="00000000" w:rsidRDefault="00000000" w:rsidRPr="00000000" w14:paraId="00000057">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b w:val="1"/>
          <w:color w:val="1f2328"/>
          <w:sz w:val="24"/>
          <w:szCs w:val="24"/>
          <w:rtl w:val="0"/>
        </w:rPr>
        <w:t xml:space="preserve">City analysis </w:t>
      </w:r>
    </w:p>
    <w:p w:rsidR="00000000" w:rsidDel="00000000" w:rsidP="00000000" w:rsidRDefault="00000000" w:rsidRPr="00000000" w14:paraId="00000058">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New York City </w:t>
      </w:r>
    </w:p>
    <w:p w:rsidR="00000000" w:rsidDel="00000000" w:rsidP="00000000" w:rsidRDefault="00000000" w:rsidRPr="00000000" w14:paraId="00000059">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finding out the sales persons recident in the northern region, inquire measures they implemented and convey to the persons in the north.</w:t>
      </w:r>
    </w:p>
    <w:p w:rsidR="00000000" w:rsidDel="00000000" w:rsidP="00000000" w:rsidRDefault="00000000" w:rsidRPr="00000000" w14:paraId="0000005A">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tl w:val="0"/>
        </w:rPr>
      </w:r>
    </w:p>
    <w:p w:rsidR="00000000" w:rsidDel="00000000" w:rsidP="00000000" w:rsidRDefault="00000000" w:rsidRPr="00000000" w14:paraId="0000005B">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b w:val="1"/>
          <w:color w:val="1f2328"/>
          <w:sz w:val="24"/>
          <w:szCs w:val="24"/>
          <w:rtl w:val="0"/>
        </w:rPr>
        <w:t xml:space="preserve">Transaction analysis </w:t>
      </w:r>
    </w:p>
    <w:p w:rsidR="00000000" w:rsidDel="00000000" w:rsidP="00000000" w:rsidRDefault="00000000" w:rsidRPr="00000000" w14:paraId="0000005C">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The goods sold at 0-1000 were the highest sold goods with the count of 218 times, so goods sold from 0-1000 were mainly bought by most people. I recommend that prices of goods within this range should be offered more frequently or make goods within that price range be more available. Customers who spend more could be identified. they can be grouped as premium customers. </w:t>
      </w:r>
    </w:p>
    <w:p w:rsidR="00000000" w:rsidDel="00000000" w:rsidP="00000000" w:rsidRDefault="00000000" w:rsidRPr="00000000" w14:paraId="0000005D">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b w:val="1"/>
          <w:color w:val="1f2328"/>
          <w:sz w:val="24"/>
          <w:szCs w:val="24"/>
          <w:rtl w:val="0"/>
        </w:rPr>
        <w:t xml:space="preserve">Shipping city analysis </w:t>
      </w:r>
    </w:p>
    <w:p w:rsidR="00000000" w:rsidDel="00000000" w:rsidP="00000000" w:rsidRDefault="00000000" w:rsidRPr="00000000" w14:paraId="0000005E">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New york being the best ship and Milwaukee the lowest ship city. </w:t>
      </w:r>
    </w:p>
    <w:p w:rsidR="00000000" w:rsidDel="00000000" w:rsidP="00000000" w:rsidRDefault="00000000" w:rsidRPr="00000000" w14:paraId="0000005F">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 Setting up HQ at the new york to ensure more customers get interested in lower shipping fee encouraging more unacquired customers.</w:t>
      </w:r>
    </w:p>
    <w:p w:rsidR="00000000" w:rsidDel="00000000" w:rsidP="00000000" w:rsidRDefault="00000000" w:rsidRPr="00000000" w14:paraId="00000060">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tl w:val="0"/>
        </w:rPr>
      </w:r>
    </w:p>
    <w:p w:rsidR="00000000" w:rsidDel="00000000" w:rsidP="00000000" w:rsidRDefault="00000000" w:rsidRPr="00000000" w14:paraId="00000061">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b w:val="1"/>
          <w:color w:val="1f2328"/>
          <w:sz w:val="24"/>
          <w:szCs w:val="24"/>
          <w:rtl w:val="0"/>
        </w:rPr>
        <w:t xml:space="preserve">Product category</w:t>
      </w:r>
    </w:p>
    <w:p w:rsidR="00000000" w:rsidDel="00000000" w:rsidP="00000000" w:rsidRDefault="00000000" w:rsidRPr="00000000" w14:paraId="00000062">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The best performing product for the year is beverages with the revenue of 110577.11.</w:t>
      </w:r>
      <w:r w:rsidDel="00000000" w:rsidR="00000000" w:rsidRPr="00000000">
        <w:rPr>
          <w:rFonts w:ascii="Quattrocento Sans" w:cs="Quattrocento Sans" w:eastAsia="Quattrocento Sans" w:hAnsi="Quattrocento Sans"/>
          <w:b w:val="1"/>
          <w:color w:val="1f2328"/>
          <w:sz w:val="24"/>
          <w:szCs w:val="24"/>
          <w:rtl w:val="0"/>
        </w:rPr>
        <w:t xml:space="preserve"> </w:t>
      </w:r>
      <w:r w:rsidDel="00000000" w:rsidR="00000000" w:rsidRPr="00000000">
        <w:rPr>
          <w:rFonts w:ascii="Quattrocento Sans" w:cs="Quattrocento Sans" w:eastAsia="Quattrocento Sans" w:hAnsi="Quattrocento Sans"/>
          <w:color w:val="1f2328"/>
          <w:sz w:val="24"/>
          <w:szCs w:val="24"/>
          <w:rtl w:val="0"/>
        </w:rPr>
        <w:t xml:space="preserve">I recommend that stakeholders informs all inventory staffs to  always stock up the beverages the coming year such that it does not finish up.</w:t>
      </w:r>
    </w:p>
    <w:p w:rsidR="00000000" w:rsidDel="00000000" w:rsidP="00000000" w:rsidRDefault="00000000" w:rsidRPr="00000000" w14:paraId="00000063">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b w:val="1"/>
          <w:color w:val="1f2328"/>
          <w:sz w:val="24"/>
          <w:szCs w:val="24"/>
          <w:rtl w:val="0"/>
        </w:rPr>
        <w:t xml:space="preserve">Sales person performance</w:t>
      </w:r>
    </w:p>
    <w:p w:rsidR="00000000" w:rsidDel="00000000" w:rsidP="00000000" w:rsidRDefault="00000000" w:rsidRPr="00000000" w14:paraId="00000064">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Nancy performed best for the year 2014 by generating revenue of 104242.34.</w:t>
      </w:r>
    </w:p>
    <w:p w:rsidR="00000000" w:rsidDel="00000000" w:rsidP="00000000" w:rsidRDefault="00000000" w:rsidRPr="00000000" w14:paraId="00000065">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Jan performed least for the year and i recommed to stakeholders therefore should be sent for training on cusatomer retention.</w:t>
      </w:r>
    </w:p>
    <w:p w:rsidR="00000000" w:rsidDel="00000000" w:rsidP="00000000" w:rsidRDefault="00000000" w:rsidRPr="00000000" w14:paraId="00000066">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Nancy performed the best and i recommend that she can be put in regions with low revenue in order to implement measures in the north for these regions.</w:t>
      </w:r>
    </w:p>
    <w:p w:rsidR="00000000" w:rsidDel="00000000" w:rsidP="00000000" w:rsidRDefault="00000000" w:rsidRPr="00000000" w14:paraId="00000067">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b w:val="1"/>
          <w:color w:val="1f2328"/>
          <w:sz w:val="24"/>
          <w:szCs w:val="24"/>
          <w:rtl w:val="0"/>
        </w:rPr>
        <w:t xml:space="preserve">Customer performance analysis</w:t>
      </w:r>
    </w:p>
    <w:p w:rsidR="00000000" w:rsidDel="00000000" w:rsidP="00000000" w:rsidRDefault="00000000" w:rsidRPr="00000000" w14:paraId="00000068">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Company D performed best for the year by revenue of 67180.5.</w:t>
      </w:r>
    </w:p>
    <w:p w:rsidR="00000000" w:rsidDel="00000000" w:rsidP="00000000" w:rsidRDefault="00000000" w:rsidRPr="00000000" w14:paraId="00000069">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I recommend that he should be given discount for the products he buys next year and they can also be given free gifts.</w:t>
      </w:r>
    </w:p>
    <w:p w:rsidR="00000000" w:rsidDel="00000000" w:rsidP="00000000" w:rsidRDefault="00000000" w:rsidRPr="00000000" w14:paraId="0000006A">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Analytical tool used: </w:t>
      </w:r>
    </w:p>
    <w:p w:rsidR="00000000" w:rsidDel="00000000" w:rsidP="00000000" w:rsidRDefault="00000000" w:rsidRPr="00000000" w14:paraId="0000006B">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Pivot Tables serves as the key tool in this analysis, it is used to find the correlation between independent value and dependent value.</w:t>
      </w:r>
    </w:p>
    <w:p w:rsidR="00000000" w:rsidDel="00000000" w:rsidP="00000000" w:rsidRDefault="00000000" w:rsidRPr="00000000" w14:paraId="0000006C">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tl w:val="0"/>
        </w:rPr>
      </w:r>
    </w:p>
    <w:p w:rsidR="00000000" w:rsidDel="00000000" w:rsidP="00000000" w:rsidRDefault="00000000" w:rsidRPr="00000000" w14:paraId="0000006D">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b w:val="1"/>
          <w:color w:val="1f2328"/>
          <w:sz w:val="24"/>
          <w:szCs w:val="24"/>
          <w:rtl w:val="0"/>
        </w:rPr>
        <w:t xml:space="preserve">Post-Analysis and Insights</w:t>
      </w:r>
    </w:p>
    <w:p w:rsidR="00000000" w:rsidDel="00000000" w:rsidP="00000000" w:rsidRDefault="00000000" w:rsidRPr="00000000" w14:paraId="0000006E">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Highest ranked month being December contributed significantly to annual revenue.</w:t>
      </w:r>
    </w:p>
    <w:p w:rsidR="00000000" w:rsidDel="00000000" w:rsidP="00000000" w:rsidRDefault="00000000" w:rsidRPr="00000000" w14:paraId="0000006F">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Beverages contributed the highest to the  revenue.</w:t>
      </w:r>
    </w:p>
    <w:p w:rsidR="00000000" w:rsidDel="00000000" w:rsidP="00000000" w:rsidRDefault="00000000" w:rsidRPr="00000000" w14:paraId="00000070">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Nancy contributed mostly to company revenue, and company D had significant contributions.</w:t>
      </w:r>
    </w:p>
    <w:p w:rsidR="00000000" w:rsidDel="00000000" w:rsidP="00000000" w:rsidRDefault="00000000" w:rsidRPr="00000000" w14:paraId="00000071">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Comparison with Initial Expectations</w:t>
      </w:r>
    </w:p>
    <w:p w:rsidR="00000000" w:rsidDel="00000000" w:rsidP="00000000" w:rsidRDefault="00000000" w:rsidRPr="00000000" w14:paraId="00000072">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Sales were expected to be evenly distributed, but findings indicate strong seasonality.</w:t>
      </w:r>
    </w:p>
    <w:p w:rsidR="00000000" w:rsidDel="00000000" w:rsidP="00000000" w:rsidRDefault="00000000" w:rsidRPr="00000000" w14:paraId="00000073">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Business Growth:</w:t>
      </w:r>
    </w:p>
    <w:p w:rsidR="00000000" w:rsidDel="00000000" w:rsidP="00000000" w:rsidRDefault="00000000" w:rsidRPr="00000000" w14:paraId="00000074">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Boost marketing initiatives during December periods to capitalize on peak periods.</w:t>
      </w:r>
    </w:p>
    <w:p w:rsidR="00000000" w:rsidDel="00000000" w:rsidP="00000000" w:rsidRDefault="00000000" w:rsidRPr="00000000" w14:paraId="00000075">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Drive sales growth in underperforming regions, particularly the South, through targeted, localized promotions.</w:t>
      </w:r>
    </w:p>
    <w:p w:rsidR="00000000" w:rsidDel="00000000" w:rsidP="00000000" w:rsidRDefault="00000000" w:rsidRPr="00000000" w14:paraId="00000076">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Profitability Enhancement:</w:t>
      </w:r>
    </w:p>
    <w:p w:rsidR="00000000" w:rsidDel="00000000" w:rsidP="00000000" w:rsidRDefault="00000000" w:rsidRPr="00000000" w14:paraId="00000077">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Promote the use of premium shipping by offering faster delivery options bundled with high-value purchases.</w:t>
      </w:r>
    </w:p>
    <w:p w:rsidR="00000000" w:rsidDel="00000000" w:rsidP="00000000" w:rsidRDefault="00000000" w:rsidRPr="00000000" w14:paraId="00000078">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Customer Retention:</w:t>
      </w:r>
    </w:p>
    <w:p w:rsidR="00000000" w:rsidDel="00000000" w:rsidP="00000000" w:rsidRDefault="00000000" w:rsidRPr="00000000" w14:paraId="00000079">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Launch loyalty programs to reward repeat customers.</w:t>
      </w:r>
    </w:p>
    <w:p w:rsidR="00000000" w:rsidDel="00000000" w:rsidP="00000000" w:rsidRDefault="00000000" w:rsidRPr="00000000" w14:paraId="0000007A">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Provide personalized promotions for corporate clients to maximize high-value transactions.</w:t>
      </w:r>
    </w:p>
    <w:p w:rsidR="00000000" w:rsidDel="00000000" w:rsidP="00000000" w:rsidRDefault="00000000" w:rsidRPr="00000000" w14:paraId="0000007B">
      <w:pPr>
        <w:shd w:fill="ffffff" w:val="clear"/>
        <w:spacing w:after="280" w:line="240" w:lineRule="auto"/>
        <w:rPr>
          <w:rFonts w:ascii="Quattrocento Sans" w:cs="Quattrocento Sans" w:eastAsia="Quattrocento Sans" w:hAnsi="Quattrocento Sans"/>
          <w:color w:val="1f2328"/>
          <w:sz w:val="24"/>
          <w:szCs w:val="24"/>
        </w:rPr>
      </w:pPr>
      <w:r w:rsidDel="00000000" w:rsidR="00000000" w:rsidRPr="00000000">
        <w:rPr>
          <w:rtl w:val="0"/>
        </w:rPr>
      </w:r>
    </w:p>
    <w:p w:rsidR="00000000" w:rsidDel="00000000" w:rsidP="00000000" w:rsidRDefault="00000000" w:rsidRPr="00000000" w14:paraId="0000007C">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tl w:val="0"/>
        </w:rPr>
      </w:r>
    </w:p>
    <w:p w:rsidR="00000000" w:rsidDel="00000000" w:rsidP="00000000" w:rsidRDefault="00000000" w:rsidRPr="00000000" w14:paraId="0000007D">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tl w:val="0"/>
        </w:rPr>
      </w:r>
    </w:p>
    <w:p w:rsidR="00000000" w:rsidDel="00000000" w:rsidP="00000000" w:rsidRDefault="00000000" w:rsidRPr="00000000" w14:paraId="0000007E">
      <w:pPr>
        <w:shd w:fill="ffffff" w:val="clear"/>
        <w:spacing w:after="280" w:line="240" w:lineRule="auto"/>
        <w:jc w:val="center"/>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b w:val="1"/>
          <w:color w:val="1f2328"/>
          <w:sz w:val="24"/>
          <w:szCs w:val="24"/>
          <w:rtl w:val="0"/>
        </w:rPr>
        <w:t xml:space="preserve">Data visualization and charts</w:t>
      </w:r>
    </w:p>
    <w:p w:rsidR="00000000" w:rsidDel="00000000" w:rsidP="00000000" w:rsidRDefault="00000000" w:rsidRPr="00000000" w14:paraId="0000007F">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b w:val="1"/>
          <w:color w:val="1f2328"/>
          <w:sz w:val="24"/>
          <w:szCs w:val="24"/>
          <w:rtl w:val="0"/>
        </w:rPr>
        <w:t xml:space="preserve">Bar chart: Top city by revenue </w:t>
      </w:r>
    </w:p>
    <w:p w:rsidR="00000000" w:rsidDel="00000000" w:rsidP="00000000" w:rsidRDefault="00000000" w:rsidRPr="00000000" w14:paraId="00000080">
      <w:pPr>
        <w:shd w:fill="ffffff" w:val="clear"/>
        <w:spacing w:after="280" w:line="240" w:lineRule="auto"/>
        <w:rPr>
          <w:rFonts w:ascii="Quattrocento Sans" w:cs="Quattrocento Sans" w:eastAsia="Quattrocento Sans" w:hAnsi="Quattrocento Sans"/>
          <w:b w:val="1"/>
          <w:color w:val="1f2328"/>
          <w:sz w:val="24"/>
          <w:szCs w:val="24"/>
        </w:rPr>
      </w:pPr>
      <w:r w:rsidDel="00000000" w:rsidR="00000000" w:rsidRPr="00000000">
        <w:rPr>
          <w:rFonts w:ascii="Quattrocento Sans" w:cs="Quattrocento Sans" w:eastAsia="Quattrocento Sans" w:hAnsi="Quattrocento Sans"/>
          <w:color w:val="1f2328"/>
          <w:sz w:val="24"/>
          <w:szCs w:val="24"/>
          <w:rtl w:val="0"/>
        </w:rPr>
        <w:t xml:space="preserve">New York's having the highest sales.</w:t>
      </w:r>
      <w:r w:rsidDel="00000000" w:rsidR="00000000" w:rsidRPr="00000000">
        <w:rPr>
          <w:rFonts w:ascii="Quattrocento Sans" w:cs="Quattrocento Sans" w:eastAsia="Quattrocento Sans" w:hAnsi="Quattrocento Sans"/>
          <w:b w:val="1"/>
          <w:color w:val="1f2328"/>
          <w:sz w:val="24"/>
          <w:szCs w:val="24"/>
          <w:rtl w:val="0"/>
        </w:rPr>
        <w:t xml:space="preserve"> </w:t>
      </w:r>
    </w:p>
    <w:p w:rsidR="00000000" w:rsidDel="00000000" w:rsidP="00000000" w:rsidRDefault="00000000" w:rsidRPr="00000000" w14:paraId="00000081">
      <w:pPr>
        <w:rPr/>
      </w:pPr>
      <w:r w:rsidDel="00000000" w:rsidR="00000000" w:rsidRPr="00000000">
        <w:rPr/>
        <w:drawing>
          <wp:inline distB="0" distT="0" distL="0" distR="0">
            <wp:extent cx="5600700" cy="192405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007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Line chart: Sales trend </w:t>
      </w:r>
    </w:p>
    <w:p w:rsidR="00000000" w:rsidDel="00000000" w:rsidP="00000000" w:rsidRDefault="00000000" w:rsidRPr="00000000" w14:paraId="00000086">
      <w:pPr>
        <w:rPr/>
      </w:pPr>
      <w:r w:rsidDel="00000000" w:rsidR="00000000" w:rsidRPr="00000000">
        <w:rPr>
          <w:rFonts w:ascii="Arial" w:cs="Arial" w:eastAsia="Arial" w:hAnsi="Arial"/>
          <w:sz w:val="24"/>
          <w:szCs w:val="24"/>
          <w:rtl w:val="0"/>
        </w:rPr>
        <w:t xml:space="preserve">Analysing trends of the market by </w:t>
      </w:r>
      <w:r w:rsidDel="00000000" w:rsidR="00000000" w:rsidRPr="00000000">
        <w:rPr>
          <w:rtl w:val="0"/>
        </w:rPr>
        <w:t xml:space="preserve">The month we had the highest sale was December with a grossing revenue of  66642.78 and the lowest sale was on Febuary with 19955.5.</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0" distT="0" distL="0" distR="0">
            <wp:extent cx="5943600" cy="1609090"/>
            <wp:docPr id="4" name=""/>
            <a:graphic>
              <a:graphicData uri="http://schemas.openxmlformats.org/drawingml/2006/chart">
                <c:chart r:id="rId7"/>
              </a:graphicData>
            </a:graphic>
          </wp:inline>
        </w:drawing>
      </w:r>
      <w:r w:rsidDel="00000000" w:rsidR="00000000" w:rsidRPr="00000000">
        <w:rPr>
          <w:rtl w:val="0"/>
        </w:rPr>
      </w:r>
    </w:p>
    <w:p w:rsidR="00000000" w:rsidDel="00000000" w:rsidP="00000000" w:rsidRDefault="00000000" w:rsidRPr="00000000" w14:paraId="0000008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Column chart: Transactions by amount </w:t>
      </w:r>
    </w:p>
    <w:p w:rsidR="00000000" w:rsidDel="00000000" w:rsidP="00000000" w:rsidRDefault="00000000" w:rsidRPr="00000000" w14:paraId="0000008C">
      <w:pPr>
        <w:rPr/>
      </w:pPr>
      <w:r w:rsidDel="00000000" w:rsidR="00000000" w:rsidRPr="00000000">
        <w:rPr>
          <w:rtl w:val="0"/>
        </w:rPr>
        <w:t xml:space="preserve">The goods sold at 0-1000 were the highest sold goods with the count of 218 times, so goods sold from 0-1000 were mainly bought by most people.</w:t>
      </w:r>
    </w:p>
    <w:p w:rsidR="00000000" w:rsidDel="00000000" w:rsidP="00000000" w:rsidRDefault="00000000" w:rsidRPr="00000000" w14:paraId="0000008D">
      <w:pPr>
        <w:rPr/>
      </w:pPr>
      <w:r w:rsidDel="00000000" w:rsidR="00000000" w:rsidRPr="00000000">
        <w:rPr/>
        <w:drawing>
          <wp:inline distB="0" distT="0" distL="0" distR="0">
            <wp:extent cx="4095862" cy="2038569"/>
            <wp:docPr id="6" name=""/>
            <a:graphic>
              <a:graphicData uri="http://schemas.openxmlformats.org/drawingml/2006/chart">
                <c:chart r:id="rId8"/>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Pie chart: Sales by ship city</w:t>
      </w:r>
    </w:p>
    <w:p w:rsidR="00000000" w:rsidDel="00000000" w:rsidP="00000000" w:rsidRDefault="00000000" w:rsidRPr="00000000" w14:paraId="00000091">
      <w:pPr>
        <w:rPr/>
      </w:pPr>
      <w:r w:rsidDel="00000000" w:rsidR="00000000" w:rsidRPr="00000000">
        <w:rPr>
          <w:rtl w:val="0"/>
        </w:rPr>
        <w:t xml:space="preserve">New york being the best ship and Milwaukee the lowest ship city.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0" distT="0" distL="0" distR="0">
            <wp:extent cx="4667379" cy="2038569"/>
            <wp:docPr id="5" name=""/>
            <a:graphic>
              <a:graphicData uri="http://schemas.openxmlformats.org/drawingml/2006/chart">
                <c:chart r:id="rId9"/>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Column chart: Product category</w:t>
      </w:r>
    </w:p>
    <w:p w:rsidR="00000000" w:rsidDel="00000000" w:rsidP="00000000" w:rsidRDefault="00000000" w:rsidRPr="00000000" w14:paraId="00000098">
      <w:pPr>
        <w:rPr/>
      </w:pPr>
      <w:r w:rsidDel="00000000" w:rsidR="00000000" w:rsidRPr="00000000">
        <w:rPr>
          <w:rtl w:val="0"/>
        </w:rPr>
        <w:t xml:space="preserve">The best performing product for the year is beverages with the revenue of </w:t>
      </w:r>
    </w:p>
    <w:p w:rsidR="00000000" w:rsidDel="00000000" w:rsidP="00000000" w:rsidRDefault="00000000" w:rsidRPr="00000000" w14:paraId="00000099">
      <w:pPr>
        <w:rPr/>
      </w:pPr>
      <w:r w:rsidDel="00000000" w:rsidR="00000000" w:rsidRPr="00000000">
        <w:rPr>
          <w:rtl w:val="0"/>
        </w:rPr>
        <w:t xml:space="preserve">110577.11</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0" distT="0" distL="0" distR="0">
            <wp:extent cx="4629595" cy="2038569"/>
            <wp:docPr id="7" name=""/>
            <a:graphic>
              <a:graphicData uri="http://schemas.openxmlformats.org/drawingml/2006/chart">
                <c:chart r:id="rId10"/>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Bar chart: Sales person performance</w:t>
      </w:r>
    </w:p>
    <w:p w:rsidR="00000000" w:rsidDel="00000000" w:rsidP="00000000" w:rsidRDefault="00000000" w:rsidRPr="00000000" w14:paraId="0000009F">
      <w:pPr>
        <w:rPr/>
      </w:pPr>
      <w:r w:rsidDel="00000000" w:rsidR="00000000" w:rsidRPr="00000000">
        <w:rPr>
          <w:rtl w:val="0"/>
        </w:rPr>
        <w:t xml:space="preserve">Nancy performed best for the year 2014 by generating revenue of 104242.34.</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0" distT="0" distL="0" distR="0">
            <wp:extent cx="5401237" cy="2157132"/>
            <wp:docPr id="2" name=""/>
            <a:graphic>
              <a:graphicData uri="http://schemas.openxmlformats.org/drawingml/2006/chart">
                <c:chart r:id="rId11"/>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Arial" w:cs="Arial" w:eastAsia="Arial" w:hAnsi="Arial"/>
          <w:b w:val="1"/>
          <w:sz w:val="24"/>
          <w:szCs w:val="24"/>
        </w:rPr>
      </w:pPr>
      <w:r w:rsidDel="00000000" w:rsidR="00000000" w:rsidRPr="00000000">
        <w:rPr>
          <w:b w:val="1"/>
          <w:rtl w:val="0"/>
        </w:rPr>
        <w:t xml:space="preserve">Bar chart: </w:t>
      </w:r>
      <w:r w:rsidDel="00000000" w:rsidR="00000000" w:rsidRPr="00000000">
        <w:rPr>
          <w:rFonts w:ascii="Arial" w:cs="Arial" w:eastAsia="Arial" w:hAnsi="Arial"/>
          <w:b w:val="1"/>
          <w:sz w:val="24"/>
          <w:szCs w:val="24"/>
          <w:rtl w:val="0"/>
        </w:rPr>
        <w:t xml:space="preserve">Customer performance analysis</w:t>
      </w:r>
    </w:p>
    <w:p w:rsidR="00000000" w:rsidDel="00000000" w:rsidP="00000000" w:rsidRDefault="00000000" w:rsidRPr="00000000" w14:paraId="000000A5">
      <w:pPr>
        <w:rPr/>
      </w:pPr>
      <w:r w:rsidDel="00000000" w:rsidR="00000000" w:rsidRPr="00000000">
        <w:rPr>
          <w:rtl w:val="0"/>
        </w:rPr>
        <w:t xml:space="preserve">Company D performed best for the year by revenue of 67180.5</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0" distT="0" distL="0" distR="0">
            <wp:extent cx="5048588" cy="2172073"/>
            <wp:docPr id="1" name=""/>
            <a:graphic>
              <a:graphicData uri="http://schemas.openxmlformats.org/drawingml/2006/chart">
                <c:chart r:id="rId12"/>
              </a:graphicData>
            </a:graphic>
          </wp:inline>
        </w:drawing>
      </w:r>
      <w:r w:rsidDel="00000000" w:rsidR="00000000" w:rsidRPr="00000000">
        <w:rPr>
          <w:rtl w:val="0"/>
        </w:rPr>
      </w:r>
    </w:p>
    <w:p w:rsidR="00000000" w:rsidDel="00000000" w:rsidP="00000000" w:rsidRDefault="00000000" w:rsidRPr="00000000" w14:paraId="000000A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Don't chart: Regional analysis</w:t>
      </w:r>
    </w:p>
    <w:p w:rsidR="00000000" w:rsidDel="00000000" w:rsidP="00000000" w:rsidRDefault="00000000" w:rsidRPr="00000000" w14:paraId="000000AD">
      <w:pPr>
        <w:rPr/>
      </w:pPr>
      <w:r w:rsidDel="00000000" w:rsidR="00000000" w:rsidRPr="00000000">
        <w:rPr>
          <w:rtl w:val="0"/>
        </w:rPr>
        <w:t xml:space="preserve">The best region is the northern region with the revenue of 141660.34. and the region with the lowest was the western region with the revenue of 91251.98</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0" distT="0" distL="0" distR="0">
            <wp:extent cx="2896199" cy="2172073"/>
            <wp:docPr id="3" name=""/>
            <a:graphic>
              <a:graphicData uri="http://schemas.openxmlformats.org/drawingml/2006/chart">
                <c:chart r:id="rId13"/>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analysis offers strategic insights to optimize pricing strategies, enhance customer retention, and expand regional market presence. By leveraging these recommendations, Subway performance can foster sustainable growth and improve profitability.</w:t>
      </w:r>
    </w:p>
    <w:p w:rsidR="00000000" w:rsidDel="00000000" w:rsidP="00000000" w:rsidRDefault="00000000" w:rsidRPr="00000000" w14:paraId="000000B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Quattrocento Sa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chart" Target="charts/chart2.xml"/><Relationship Id="rId10" Type="http://schemas.openxmlformats.org/officeDocument/2006/relationships/chart" Target="charts/chart7.xml"/><Relationship Id="rId13" Type="http://schemas.openxmlformats.org/officeDocument/2006/relationships/chart" Target="charts/chart3.xml"/><Relationship Id="rId12" Type="http://schemas.openxmlformats.org/officeDocument/2006/relationships/chart" Target="charts/chart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chart" Target="charts/chart5.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chart" Target="charts/chart4.xml"/><Relationship Id="rId8" Type="http://schemas.openxmlformats.org/officeDocument/2006/relationships/chart" Target="charts/chart6.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package" Target="../embeddings/Microsoft_Excel_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8"/>
    </mc:Choice>
    <mc:Fallback>
      <c:style val="8"/>
    </mc:Fallback>
  </mc:AlternateContent>
  <c:pivotSource>
    <c:name>[Subway performance analysis by Enem sophia.xlsx]TOP 10 CUSTOMERS!PivotTable1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Arial" panose="020B0604020202020204" pitchFamily="34" charset="0"/>
                <a:cs typeface="Arial" panose="020B0604020202020204" pitchFamily="34" charset="0"/>
              </a:rPr>
              <a:t>Top 10 Customers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c:spPr>
      </c:pivotFmt>
      <c:pivotFmt>
        <c:idx val="3"/>
        <c:spPr>
          <a:solidFill>
            <a:schemeClr val="accent6">
              <a:lumMod val="75000"/>
            </a:schemeClr>
          </a:solidFill>
          <a:ln>
            <a:noFill/>
          </a:ln>
          <a:effectLst/>
        </c:spPr>
      </c:pivotFmt>
      <c:pivotFmt>
        <c:idx val="4"/>
        <c:spPr>
          <a:solidFill>
            <a:schemeClr val="accent6">
              <a:lumMod val="60000"/>
              <a:lumOff val="40000"/>
            </a:schemeClr>
          </a:solidFill>
          <a:ln>
            <a:noFill/>
          </a:ln>
          <a:effectLst/>
        </c:spPr>
      </c:pivotFmt>
      <c:pivotFmt>
        <c:idx val="5"/>
        <c:spPr>
          <a:solidFill>
            <a:schemeClr val="accent6">
              <a:lumMod val="60000"/>
              <a:lumOff val="40000"/>
            </a:schemeClr>
          </a:solidFill>
          <a:ln>
            <a:noFill/>
          </a:ln>
          <a:effectLst/>
        </c:spPr>
      </c:pivotFmt>
      <c:pivotFmt>
        <c:idx val="6"/>
        <c:spPr>
          <a:solidFill>
            <a:schemeClr val="accent6">
              <a:lumMod val="60000"/>
              <a:lumOff val="40000"/>
            </a:schemeClr>
          </a:solidFill>
          <a:ln>
            <a:noFill/>
          </a:ln>
          <a:effectLst/>
        </c:spPr>
      </c:pivotFmt>
      <c:pivotFmt>
        <c:idx val="7"/>
        <c:spPr>
          <a:solidFill>
            <a:schemeClr val="accent6">
              <a:lumMod val="40000"/>
              <a:lumOff val="60000"/>
            </a:schemeClr>
          </a:solidFill>
          <a:ln>
            <a:noFill/>
          </a:ln>
          <a:effectLst/>
        </c:spPr>
      </c:pivotFmt>
      <c:pivotFmt>
        <c:idx val="8"/>
        <c:spPr>
          <a:solidFill>
            <a:schemeClr val="accent6">
              <a:lumMod val="20000"/>
              <a:lumOff val="80000"/>
            </a:schemeClr>
          </a:solidFill>
          <a:ln>
            <a:noFill/>
          </a:ln>
          <a:effectLst/>
        </c:spPr>
      </c:pivotFmt>
      <c:pivotFmt>
        <c:idx val="9"/>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6">
              <a:lumMod val="75000"/>
            </a:schemeClr>
          </a:solidFill>
          <a:ln>
            <a:noFill/>
          </a:ln>
          <a:effectLst/>
        </c:spPr>
      </c:pivotFmt>
      <c:pivotFmt>
        <c:idx val="12"/>
        <c:spPr>
          <a:solidFill>
            <a:schemeClr val="accent6">
              <a:lumMod val="75000"/>
            </a:schemeClr>
          </a:solidFill>
          <a:ln>
            <a:noFill/>
          </a:ln>
          <a:effectLst/>
        </c:spPr>
      </c:pivotFmt>
      <c:pivotFmt>
        <c:idx val="13"/>
        <c:spPr>
          <a:solidFill>
            <a:schemeClr val="accent6">
              <a:lumMod val="60000"/>
              <a:lumOff val="40000"/>
            </a:schemeClr>
          </a:solidFill>
          <a:ln>
            <a:noFill/>
          </a:ln>
          <a:effectLst/>
        </c:spPr>
      </c:pivotFmt>
      <c:pivotFmt>
        <c:idx val="14"/>
        <c:spPr>
          <a:solidFill>
            <a:schemeClr val="accent6">
              <a:lumMod val="60000"/>
              <a:lumOff val="40000"/>
            </a:schemeClr>
          </a:solidFill>
          <a:ln>
            <a:noFill/>
          </a:ln>
          <a:effectLst/>
        </c:spPr>
      </c:pivotFmt>
      <c:pivotFmt>
        <c:idx val="15"/>
        <c:spPr>
          <a:solidFill>
            <a:schemeClr val="accent6">
              <a:lumMod val="60000"/>
              <a:lumOff val="40000"/>
            </a:schemeClr>
          </a:solidFill>
          <a:ln>
            <a:noFill/>
          </a:ln>
          <a:effectLst/>
        </c:spPr>
      </c:pivotFmt>
      <c:pivotFmt>
        <c:idx val="16"/>
        <c:spPr>
          <a:solidFill>
            <a:schemeClr val="accent6">
              <a:lumMod val="40000"/>
              <a:lumOff val="60000"/>
            </a:schemeClr>
          </a:solidFill>
          <a:ln>
            <a:noFill/>
          </a:ln>
          <a:effectLst/>
        </c:spPr>
      </c:pivotFmt>
      <c:pivotFmt>
        <c:idx val="17"/>
        <c:spPr>
          <a:solidFill>
            <a:schemeClr val="accent6">
              <a:lumMod val="20000"/>
              <a:lumOff val="80000"/>
            </a:schemeClr>
          </a:solidFill>
          <a:ln>
            <a:noFill/>
          </a:ln>
          <a:effectLst/>
        </c:spPr>
      </c:pivotFmt>
      <c:pivotFmt>
        <c:idx val="18"/>
        <c:spPr>
          <a:solidFill>
            <a:schemeClr val="accent5">
              <a:lumMod val="50000"/>
            </a:schemeClr>
          </a:solidFill>
          <a:ln>
            <a:noFill/>
          </a:ln>
          <a:effectLst/>
        </c:spPr>
      </c:pivotFmt>
      <c:pivotFmt>
        <c:idx val="19"/>
        <c:spPr>
          <a:solidFill>
            <a:schemeClr val="accent5">
              <a:lumMod val="50000"/>
            </a:schemeClr>
          </a:solidFill>
          <a:ln>
            <a:noFill/>
          </a:ln>
          <a:effectLst/>
        </c:spPr>
      </c:pivotFmt>
      <c:pivotFmt>
        <c:idx val="20"/>
        <c:spPr>
          <a:solidFill>
            <a:schemeClr val="accent5">
              <a:lumMod val="50000"/>
            </a:schemeClr>
          </a:solidFill>
          <a:ln>
            <a:noFill/>
          </a:ln>
          <a:effectLst/>
        </c:spPr>
      </c:pivotFmt>
      <c:pivotFmt>
        <c:idx val="21"/>
        <c:spPr>
          <a:solidFill>
            <a:schemeClr val="accent5">
              <a:lumMod val="60000"/>
              <a:lumOff val="40000"/>
            </a:schemeClr>
          </a:solidFill>
          <a:ln>
            <a:noFill/>
          </a:ln>
          <a:effectLst/>
        </c:spPr>
      </c:pivotFmt>
      <c:pivotFmt>
        <c:idx val="22"/>
        <c:spPr>
          <a:solidFill>
            <a:schemeClr val="accent5">
              <a:lumMod val="60000"/>
              <a:lumOff val="40000"/>
            </a:schemeClr>
          </a:solidFill>
          <a:ln>
            <a:noFill/>
          </a:ln>
          <a:effectLst/>
        </c:spPr>
      </c:pivotFmt>
      <c:pivotFmt>
        <c:idx val="23"/>
        <c:spPr>
          <a:solidFill>
            <a:schemeClr val="accent5">
              <a:lumMod val="60000"/>
              <a:lumOff val="40000"/>
            </a:schemeClr>
          </a:solidFill>
          <a:ln>
            <a:noFill/>
          </a:ln>
          <a:effectLst/>
        </c:spPr>
      </c:pivotFmt>
      <c:pivotFmt>
        <c:idx val="24"/>
        <c:spPr>
          <a:solidFill>
            <a:schemeClr val="accent5">
              <a:lumMod val="40000"/>
              <a:lumOff val="60000"/>
            </a:schemeClr>
          </a:solidFill>
          <a:ln>
            <a:noFill/>
          </a:ln>
          <a:effectLst/>
        </c:spPr>
      </c:pivotFmt>
      <c:pivotFmt>
        <c:idx val="25"/>
        <c:spPr>
          <a:solidFill>
            <a:schemeClr val="accent5">
              <a:lumMod val="40000"/>
              <a:lumOff val="60000"/>
            </a:schemeClr>
          </a:solidFill>
          <a:ln>
            <a:noFill/>
          </a:ln>
          <a:effectLst/>
        </c:spPr>
      </c:pivotFmt>
      <c:pivotFmt>
        <c:idx val="26"/>
        <c:spPr>
          <a:solidFill>
            <a:schemeClr val="accent5">
              <a:lumMod val="40000"/>
              <a:lumOff val="60000"/>
            </a:schemeClr>
          </a:solidFill>
          <a:ln>
            <a:noFill/>
          </a:ln>
          <a:effectLst/>
        </c:spPr>
      </c:pivotFmt>
      <c:pivotFmt>
        <c:idx val="27"/>
        <c:spPr>
          <a:solidFill>
            <a:schemeClr val="accent5">
              <a:lumMod val="20000"/>
              <a:lumOff val="80000"/>
            </a:schemeClr>
          </a:solidFill>
          <a:ln>
            <a:noFill/>
          </a:ln>
          <a:effectLst/>
        </c:spPr>
      </c:pivotFmt>
      <c:pivotFmt>
        <c:idx val="28"/>
        <c:spPr>
          <a:solidFill>
            <a:schemeClr val="accent5">
              <a:lumMod val="60000"/>
              <a:lumOff val="40000"/>
            </a:schemeClr>
          </a:solidFill>
          <a:ln>
            <a:noFill/>
          </a:ln>
          <a:effectLst/>
        </c:spPr>
      </c:pivotFmt>
      <c:pivotFmt>
        <c:idx val="29"/>
        <c:spPr>
          <a:solidFill>
            <a:schemeClr val="accent5">
              <a:lumMod val="40000"/>
              <a:lumOff val="60000"/>
            </a:schemeClr>
          </a:solidFill>
          <a:ln>
            <a:noFill/>
          </a:ln>
          <a:effectLst/>
        </c:spPr>
      </c:pivotFmt>
      <c:pivotFmt>
        <c:idx val="30"/>
        <c:spPr>
          <a:solidFill>
            <a:schemeClr val="accent5">
              <a:lumMod val="20000"/>
              <a:lumOff val="80000"/>
            </a:schemeClr>
          </a:solidFill>
          <a:ln>
            <a:noFill/>
          </a:ln>
          <a:effectLst/>
        </c:spPr>
      </c:pivotFmt>
      <c:pivotFmt>
        <c:idx val="31"/>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5">
              <a:lumMod val="50000"/>
            </a:schemeClr>
          </a:solidFill>
          <a:ln>
            <a:noFill/>
          </a:ln>
          <a:effectLst/>
        </c:spPr>
      </c:pivotFmt>
      <c:pivotFmt>
        <c:idx val="33"/>
        <c:spPr>
          <a:solidFill>
            <a:schemeClr val="accent5">
              <a:lumMod val="50000"/>
            </a:schemeClr>
          </a:solidFill>
          <a:ln>
            <a:noFill/>
          </a:ln>
          <a:effectLst/>
        </c:spPr>
      </c:pivotFmt>
      <c:pivotFmt>
        <c:idx val="34"/>
        <c:spPr>
          <a:solidFill>
            <a:schemeClr val="accent5">
              <a:lumMod val="60000"/>
              <a:lumOff val="40000"/>
            </a:schemeClr>
          </a:solidFill>
          <a:ln>
            <a:noFill/>
          </a:ln>
          <a:effectLst/>
        </c:spPr>
      </c:pivotFmt>
      <c:pivotFmt>
        <c:idx val="35"/>
        <c:spPr>
          <a:solidFill>
            <a:schemeClr val="accent5">
              <a:lumMod val="60000"/>
              <a:lumOff val="40000"/>
            </a:schemeClr>
          </a:solidFill>
          <a:ln>
            <a:noFill/>
          </a:ln>
          <a:effectLst/>
        </c:spPr>
      </c:pivotFmt>
      <c:pivotFmt>
        <c:idx val="36"/>
        <c:spPr>
          <a:solidFill>
            <a:schemeClr val="accent5">
              <a:lumMod val="60000"/>
              <a:lumOff val="40000"/>
            </a:schemeClr>
          </a:solidFill>
          <a:ln>
            <a:noFill/>
          </a:ln>
          <a:effectLst/>
        </c:spPr>
      </c:pivotFmt>
      <c:pivotFmt>
        <c:idx val="37"/>
        <c:spPr>
          <a:solidFill>
            <a:schemeClr val="accent5">
              <a:lumMod val="40000"/>
              <a:lumOff val="60000"/>
            </a:schemeClr>
          </a:solidFill>
          <a:ln>
            <a:noFill/>
          </a:ln>
          <a:effectLst/>
        </c:spPr>
      </c:pivotFmt>
      <c:pivotFmt>
        <c:idx val="38"/>
        <c:spPr>
          <a:solidFill>
            <a:schemeClr val="accent5">
              <a:lumMod val="40000"/>
              <a:lumOff val="60000"/>
            </a:schemeClr>
          </a:solidFill>
          <a:ln>
            <a:noFill/>
          </a:ln>
          <a:effectLst/>
        </c:spPr>
      </c:pivotFmt>
      <c:pivotFmt>
        <c:idx val="39"/>
        <c:spPr>
          <a:solidFill>
            <a:schemeClr val="accent5">
              <a:lumMod val="40000"/>
              <a:lumOff val="60000"/>
            </a:schemeClr>
          </a:solidFill>
          <a:ln>
            <a:noFill/>
          </a:ln>
          <a:effectLst/>
        </c:spPr>
      </c:pivotFmt>
      <c:pivotFmt>
        <c:idx val="40"/>
        <c:spPr>
          <a:solidFill>
            <a:schemeClr val="accent5">
              <a:lumMod val="20000"/>
              <a:lumOff val="80000"/>
            </a:schemeClr>
          </a:solidFill>
          <a:ln>
            <a:noFill/>
          </a:ln>
          <a:effectLst/>
        </c:spPr>
      </c:pivotFmt>
      <c:pivotFmt>
        <c:idx val="41"/>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2"/>
        <c:spPr>
          <a:solidFill>
            <a:schemeClr val="accent5">
              <a:lumMod val="50000"/>
            </a:schemeClr>
          </a:solidFill>
          <a:ln>
            <a:noFill/>
          </a:ln>
          <a:effectLst/>
        </c:spPr>
      </c:pivotFmt>
      <c:pivotFmt>
        <c:idx val="43"/>
        <c:spPr>
          <a:solidFill>
            <a:schemeClr val="accent5">
              <a:lumMod val="50000"/>
            </a:schemeClr>
          </a:solidFill>
          <a:ln>
            <a:noFill/>
          </a:ln>
          <a:effectLst/>
        </c:spPr>
      </c:pivotFmt>
      <c:pivotFmt>
        <c:idx val="44"/>
        <c:spPr>
          <a:solidFill>
            <a:schemeClr val="accent5">
              <a:lumMod val="60000"/>
              <a:lumOff val="40000"/>
            </a:schemeClr>
          </a:solidFill>
          <a:ln>
            <a:noFill/>
          </a:ln>
          <a:effectLst/>
        </c:spPr>
      </c:pivotFmt>
      <c:pivotFmt>
        <c:idx val="45"/>
        <c:spPr>
          <a:solidFill>
            <a:schemeClr val="accent5">
              <a:lumMod val="60000"/>
              <a:lumOff val="40000"/>
            </a:schemeClr>
          </a:solidFill>
          <a:ln>
            <a:noFill/>
          </a:ln>
          <a:effectLst/>
        </c:spPr>
      </c:pivotFmt>
      <c:pivotFmt>
        <c:idx val="46"/>
        <c:spPr>
          <a:solidFill>
            <a:schemeClr val="accent5">
              <a:lumMod val="60000"/>
              <a:lumOff val="40000"/>
            </a:schemeClr>
          </a:solidFill>
          <a:ln>
            <a:noFill/>
          </a:ln>
          <a:effectLst/>
        </c:spPr>
      </c:pivotFmt>
      <c:pivotFmt>
        <c:idx val="47"/>
        <c:spPr>
          <a:solidFill>
            <a:schemeClr val="accent5">
              <a:lumMod val="40000"/>
              <a:lumOff val="60000"/>
            </a:schemeClr>
          </a:solidFill>
          <a:ln>
            <a:noFill/>
          </a:ln>
          <a:effectLst/>
        </c:spPr>
      </c:pivotFmt>
      <c:pivotFmt>
        <c:idx val="48"/>
        <c:spPr>
          <a:solidFill>
            <a:schemeClr val="accent5">
              <a:lumMod val="40000"/>
              <a:lumOff val="60000"/>
            </a:schemeClr>
          </a:solidFill>
          <a:ln>
            <a:noFill/>
          </a:ln>
          <a:effectLst/>
        </c:spPr>
      </c:pivotFmt>
      <c:pivotFmt>
        <c:idx val="49"/>
        <c:spPr>
          <a:solidFill>
            <a:schemeClr val="accent5">
              <a:lumMod val="40000"/>
              <a:lumOff val="60000"/>
            </a:schemeClr>
          </a:solidFill>
          <a:ln>
            <a:noFill/>
          </a:ln>
          <a:effectLst/>
        </c:spPr>
      </c:pivotFmt>
      <c:pivotFmt>
        <c:idx val="50"/>
        <c:spPr>
          <a:solidFill>
            <a:schemeClr val="accent5">
              <a:lumMod val="20000"/>
              <a:lumOff val="80000"/>
            </a:schemeClr>
          </a:solidFill>
          <a:ln>
            <a:noFill/>
          </a:ln>
          <a:effectLst/>
        </c:spPr>
      </c:pivotFmt>
      <c:pivotFmt>
        <c:idx val="51"/>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2"/>
        <c:spPr>
          <a:solidFill>
            <a:schemeClr val="accent5">
              <a:lumMod val="50000"/>
            </a:schemeClr>
          </a:solidFill>
          <a:ln>
            <a:noFill/>
          </a:ln>
          <a:effectLst/>
        </c:spPr>
      </c:pivotFmt>
      <c:pivotFmt>
        <c:idx val="53"/>
        <c:spPr>
          <a:solidFill>
            <a:schemeClr val="accent5">
              <a:lumMod val="50000"/>
            </a:schemeClr>
          </a:solidFill>
          <a:ln>
            <a:noFill/>
          </a:ln>
          <a:effectLst/>
        </c:spPr>
      </c:pivotFmt>
      <c:pivotFmt>
        <c:idx val="54"/>
        <c:spPr>
          <a:solidFill>
            <a:schemeClr val="accent5">
              <a:lumMod val="60000"/>
              <a:lumOff val="40000"/>
            </a:schemeClr>
          </a:solidFill>
          <a:ln>
            <a:noFill/>
          </a:ln>
          <a:effectLst/>
        </c:spPr>
      </c:pivotFmt>
      <c:pivotFmt>
        <c:idx val="55"/>
        <c:spPr>
          <a:solidFill>
            <a:schemeClr val="accent5">
              <a:lumMod val="60000"/>
              <a:lumOff val="40000"/>
            </a:schemeClr>
          </a:solidFill>
          <a:ln>
            <a:noFill/>
          </a:ln>
          <a:effectLst/>
        </c:spPr>
      </c:pivotFmt>
      <c:pivotFmt>
        <c:idx val="56"/>
        <c:spPr>
          <a:solidFill>
            <a:schemeClr val="accent5">
              <a:lumMod val="60000"/>
              <a:lumOff val="40000"/>
            </a:schemeClr>
          </a:solidFill>
          <a:ln>
            <a:noFill/>
          </a:ln>
          <a:effectLst/>
        </c:spPr>
      </c:pivotFmt>
      <c:pivotFmt>
        <c:idx val="57"/>
        <c:spPr>
          <a:solidFill>
            <a:schemeClr val="accent5">
              <a:lumMod val="40000"/>
              <a:lumOff val="60000"/>
            </a:schemeClr>
          </a:solidFill>
          <a:ln>
            <a:noFill/>
          </a:ln>
          <a:effectLst/>
        </c:spPr>
      </c:pivotFmt>
      <c:pivotFmt>
        <c:idx val="58"/>
        <c:spPr>
          <a:solidFill>
            <a:schemeClr val="accent5">
              <a:lumMod val="40000"/>
              <a:lumOff val="60000"/>
            </a:schemeClr>
          </a:solidFill>
          <a:ln>
            <a:noFill/>
          </a:ln>
          <a:effectLst/>
        </c:spPr>
      </c:pivotFmt>
      <c:pivotFmt>
        <c:idx val="59"/>
        <c:spPr>
          <a:solidFill>
            <a:schemeClr val="accent5">
              <a:lumMod val="40000"/>
              <a:lumOff val="60000"/>
            </a:schemeClr>
          </a:solidFill>
          <a:ln>
            <a:noFill/>
          </a:ln>
          <a:effectLst/>
        </c:spPr>
      </c:pivotFmt>
      <c:pivotFmt>
        <c:idx val="60"/>
        <c:spPr>
          <a:solidFill>
            <a:schemeClr val="accent5">
              <a:lumMod val="20000"/>
              <a:lumOff val="80000"/>
            </a:schemeClr>
          </a:solidFill>
          <a:ln>
            <a:noFill/>
          </a:ln>
          <a:effectLst/>
        </c:spPr>
      </c:pivotFmt>
      <c:pivotFmt>
        <c:idx val="61"/>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2"/>
        <c:spPr>
          <a:solidFill>
            <a:schemeClr val="accent5">
              <a:lumMod val="50000"/>
            </a:schemeClr>
          </a:solidFill>
          <a:ln>
            <a:noFill/>
          </a:ln>
          <a:effectLst/>
        </c:spPr>
      </c:pivotFmt>
      <c:pivotFmt>
        <c:idx val="63"/>
        <c:spPr>
          <a:solidFill>
            <a:schemeClr val="accent5">
              <a:lumMod val="50000"/>
            </a:schemeClr>
          </a:solidFill>
          <a:ln>
            <a:noFill/>
          </a:ln>
          <a:effectLst/>
        </c:spPr>
      </c:pivotFmt>
      <c:pivotFmt>
        <c:idx val="64"/>
        <c:spPr>
          <a:solidFill>
            <a:schemeClr val="accent5">
              <a:lumMod val="60000"/>
              <a:lumOff val="40000"/>
            </a:schemeClr>
          </a:solidFill>
          <a:ln>
            <a:noFill/>
          </a:ln>
          <a:effectLst/>
        </c:spPr>
      </c:pivotFmt>
      <c:pivotFmt>
        <c:idx val="65"/>
        <c:spPr>
          <a:solidFill>
            <a:schemeClr val="accent5">
              <a:lumMod val="60000"/>
              <a:lumOff val="40000"/>
            </a:schemeClr>
          </a:solidFill>
          <a:ln>
            <a:noFill/>
          </a:ln>
          <a:effectLst/>
        </c:spPr>
      </c:pivotFmt>
      <c:pivotFmt>
        <c:idx val="66"/>
        <c:spPr>
          <a:solidFill>
            <a:schemeClr val="accent5">
              <a:lumMod val="60000"/>
              <a:lumOff val="40000"/>
            </a:schemeClr>
          </a:solidFill>
          <a:ln>
            <a:noFill/>
          </a:ln>
          <a:effectLst/>
        </c:spPr>
      </c:pivotFmt>
      <c:pivotFmt>
        <c:idx val="67"/>
        <c:spPr>
          <a:solidFill>
            <a:schemeClr val="accent5">
              <a:lumMod val="40000"/>
              <a:lumOff val="60000"/>
            </a:schemeClr>
          </a:solidFill>
          <a:ln>
            <a:noFill/>
          </a:ln>
          <a:effectLst/>
        </c:spPr>
      </c:pivotFmt>
      <c:pivotFmt>
        <c:idx val="68"/>
        <c:spPr>
          <a:solidFill>
            <a:schemeClr val="accent5">
              <a:lumMod val="40000"/>
              <a:lumOff val="60000"/>
            </a:schemeClr>
          </a:solidFill>
          <a:ln>
            <a:noFill/>
          </a:ln>
          <a:effectLst/>
        </c:spPr>
      </c:pivotFmt>
      <c:pivotFmt>
        <c:idx val="69"/>
        <c:spPr>
          <a:solidFill>
            <a:schemeClr val="accent5">
              <a:lumMod val="40000"/>
              <a:lumOff val="60000"/>
            </a:schemeClr>
          </a:solidFill>
          <a:ln>
            <a:noFill/>
          </a:ln>
          <a:effectLst/>
        </c:spPr>
      </c:pivotFmt>
      <c:pivotFmt>
        <c:idx val="70"/>
        <c:spPr>
          <a:solidFill>
            <a:schemeClr val="accent5">
              <a:lumMod val="20000"/>
              <a:lumOff val="80000"/>
            </a:schemeClr>
          </a:solidFill>
          <a:ln>
            <a:noFill/>
          </a:ln>
          <a:effectLst/>
        </c:spPr>
      </c:pivotFmt>
    </c:pivotFmts>
    <c:plotArea>
      <c:layout/>
      <c:barChart>
        <c:barDir val="bar"/>
        <c:grouping val="clustered"/>
        <c:varyColors val="0"/>
        <c:ser>
          <c:idx val="0"/>
          <c:order val="0"/>
          <c:tx>
            <c:strRef>
              <c:f>'TOP 10 CUSTOMERS'!$B$3</c:f>
              <c:strCache>
                <c:ptCount val="1"/>
                <c:pt idx="0">
                  <c:v>Total</c:v>
                </c:pt>
              </c:strCache>
            </c:strRef>
          </c:tx>
          <c:spPr>
            <a:solidFill>
              <a:schemeClr val="accent5">
                <a:lumMod val="50000"/>
              </a:schemeClr>
            </a:solidFill>
            <a:ln>
              <a:noFill/>
            </a:ln>
            <a:effectLst/>
          </c:spPr>
          <c:invertIfNegative val="0"/>
          <c:dPt>
            <c:idx val="0"/>
            <c:invertIfNegative val="0"/>
            <c:bubble3D val="0"/>
            <c:extLst>
              <c:ext xmlns:c16="http://schemas.microsoft.com/office/drawing/2014/chart" uri="{C3380CC4-5D6E-409C-BE32-E72D297353CC}">
                <c16:uniqueId val="{00000000-B9FB-4B32-8A04-F90DF85425D6}"/>
              </c:ext>
            </c:extLst>
          </c:dPt>
          <c:dPt>
            <c:idx val="1"/>
            <c:invertIfNegative val="0"/>
            <c:bubble3D val="0"/>
            <c:extLst>
              <c:ext xmlns:c16="http://schemas.microsoft.com/office/drawing/2014/chart" uri="{C3380CC4-5D6E-409C-BE32-E72D297353CC}">
                <c16:uniqueId val="{00000001-B9FB-4B32-8A04-F90DF85425D6}"/>
              </c:ext>
            </c:extLst>
          </c:dPt>
          <c:dPt>
            <c:idx val="2"/>
            <c:invertIfNegative val="0"/>
            <c:bubble3D val="0"/>
            <c:extLst>
              <c:ext xmlns:c16="http://schemas.microsoft.com/office/drawing/2014/chart" uri="{C3380CC4-5D6E-409C-BE32-E72D297353CC}">
                <c16:uniqueId val="{00000002-B9FB-4B32-8A04-F90DF85425D6}"/>
              </c:ext>
            </c:extLst>
          </c:dPt>
          <c:dPt>
            <c:idx val="3"/>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4-B9FB-4B32-8A04-F90DF85425D6}"/>
              </c:ext>
            </c:extLst>
          </c:dPt>
          <c:dPt>
            <c:idx val="4"/>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6-B9FB-4B32-8A04-F90DF85425D6}"/>
              </c:ext>
            </c:extLst>
          </c:dPt>
          <c:dPt>
            <c:idx val="5"/>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8-B9FB-4B32-8A04-F90DF85425D6}"/>
              </c:ext>
            </c:extLst>
          </c:dPt>
          <c:dPt>
            <c:idx val="6"/>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A-B9FB-4B32-8A04-F90DF85425D6}"/>
              </c:ext>
            </c:extLst>
          </c:dPt>
          <c:dPt>
            <c:idx val="7"/>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C-B9FB-4B32-8A04-F90DF85425D6}"/>
              </c:ext>
            </c:extLst>
          </c:dPt>
          <c:dPt>
            <c:idx val="8"/>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E-B9FB-4B32-8A04-F90DF85425D6}"/>
              </c:ext>
            </c:extLst>
          </c:dPt>
          <c:dPt>
            <c:idx val="9"/>
            <c:invertIfNegative val="0"/>
            <c:bubble3D val="0"/>
            <c:spPr>
              <a:solidFill>
                <a:schemeClr val="accent5">
                  <a:lumMod val="20000"/>
                  <a:lumOff val="80000"/>
                </a:schemeClr>
              </a:solidFill>
              <a:ln>
                <a:noFill/>
              </a:ln>
              <a:effectLst/>
            </c:spPr>
            <c:extLst>
              <c:ext xmlns:c16="http://schemas.microsoft.com/office/drawing/2014/chart" uri="{C3380CC4-5D6E-409C-BE32-E72D297353CC}">
                <c16:uniqueId val="{00000010-B9FB-4B32-8A04-F90DF85425D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 10 CUSTOMERS'!$A$4:$A$14</c:f>
              <c:strCache>
                <c:ptCount val="10"/>
                <c:pt idx="0">
                  <c:v>Company D</c:v>
                </c:pt>
                <c:pt idx="1">
                  <c:v>Company H</c:v>
                </c:pt>
                <c:pt idx="2">
                  <c:v>Company BB</c:v>
                </c:pt>
                <c:pt idx="3">
                  <c:v>Company F</c:v>
                </c:pt>
                <c:pt idx="4">
                  <c:v>Company A</c:v>
                </c:pt>
                <c:pt idx="5">
                  <c:v>Company I</c:v>
                </c:pt>
                <c:pt idx="6">
                  <c:v>Company J</c:v>
                </c:pt>
                <c:pt idx="7">
                  <c:v>Company Z</c:v>
                </c:pt>
                <c:pt idx="8">
                  <c:v>Company C</c:v>
                </c:pt>
                <c:pt idx="9">
                  <c:v>Company K</c:v>
                </c:pt>
              </c:strCache>
            </c:strRef>
          </c:cat>
          <c:val>
            <c:numRef>
              <c:f>'TOP 10 CUSTOMERS'!$B$4:$B$14</c:f>
              <c:numCache>
                <c:formatCode>[$$-409]#,##0.00</c:formatCode>
                <c:ptCount val="10"/>
                <c:pt idx="0">
                  <c:v>67180.5</c:v>
                </c:pt>
                <c:pt idx="1">
                  <c:v>50198.35</c:v>
                </c:pt>
                <c:pt idx="2">
                  <c:v>43703</c:v>
                </c:pt>
                <c:pt idx="3">
                  <c:v>37418</c:v>
                </c:pt>
                <c:pt idx="4">
                  <c:v>36839.990000000005</c:v>
                </c:pt>
                <c:pt idx="5">
                  <c:v>32530.6</c:v>
                </c:pt>
                <c:pt idx="6">
                  <c:v>29133.009999999995</c:v>
                </c:pt>
                <c:pt idx="7">
                  <c:v>28208.250000000007</c:v>
                </c:pt>
                <c:pt idx="8">
                  <c:v>27005.38</c:v>
                </c:pt>
                <c:pt idx="9">
                  <c:v>21937.08</c:v>
                </c:pt>
              </c:numCache>
            </c:numRef>
          </c:val>
          <c:extLst>
            <c:ext xmlns:c16="http://schemas.microsoft.com/office/drawing/2014/chart" uri="{C3380CC4-5D6E-409C-BE32-E72D297353CC}">
              <c16:uniqueId val="{00000011-B9FB-4B32-8A04-F90DF85425D6}"/>
            </c:ext>
          </c:extLst>
        </c:ser>
        <c:dLbls>
          <c:dLblPos val="outEnd"/>
          <c:showLegendKey val="0"/>
          <c:showVal val="1"/>
          <c:showCatName val="0"/>
          <c:showSerName val="0"/>
          <c:showPercent val="0"/>
          <c:showBubbleSize val="0"/>
        </c:dLbls>
        <c:gapWidth val="30"/>
        <c:axId val="441749968"/>
        <c:axId val="441750296"/>
      </c:barChart>
      <c:catAx>
        <c:axId val="44174996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750296"/>
        <c:crosses val="autoZero"/>
        <c:auto val="1"/>
        <c:lblAlgn val="ctr"/>
        <c:lblOffset val="100"/>
        <c:noMultiLvlLbl val="0"/>
      </c:catAx>
      <c:valAx>
        <c:axId val="441750296"/>
        <c:scaling>
          <c:orientation val="minMax"/>
        </c:scaling>
        <c:delete val="1"/>
        <c:axPos val="t"/>
        <c:numFmt formatCode="[$$-409]#,##0.00" sourceLinked="1"/>
        <c:majorTickMark val="none"/>
        <c:minorTickMark val="none"/>
        <c:tickLblPos val="nextTo"/>
        <c:crossAx val="441749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8"/>
    </mc:Choice>
    <mc:Fallback>
      <c:style val="8"/>
    </mc:Fallback>
  </mc:AlternateContent>
  <c:pivotSource>
    <c:name>[Subway performance analysis by Enem sophia.xlsx]SALES PERSON PERFORMANCE!PivotTable1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Arial" panose="020B0604020202020204" pitchFamily="34" charset="0"/>
                <a:cs typeface="Arial" panose="020B0604020202020204" pitchFamily="34" charset="0"/>
              </a:rPr>
              <a:t>Performance Analysis of the Sales person</a:t>
            </a:r>
          </a:p>
        </c:rich>
      </c:tx>
      <c:overlay val="0"/>
      <c:spPr>
        <a:noFill/>
        <a:ln>
          <a:noFill/>
        </a:ln>
        <a:effectLst/>
      </c:spPr>
    </c:title>
    <c:autoTitleDeleted val="0"/>
    <c:pivotFmts>
      <c:pivotFmt>
        <c:idx val="0"/>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5">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5">
              <a:lumMod val="75000"/>
            </a:schemeClr>
          </a:solidFill>
          <a:ln>
            <a:noFill/>
          </a:ln>
          <a:effectLst/>
        </c:spPr>
      </c:pivotFmt>
      <c:pivotFmt>
        <c:idx val="3"/>
        <c:spPr>
          <a:solidFill>
            <a:schemeClr val="accent5">
              <a:lumMod val="75000"/>
            </a:schemeClr>
          </a:solidFill>
          <a:ln>
            <a:noFill/>
          </a:ln>
          <a:effectLst/>
        </c:spPr>
      </c:pivotFmt>
      <c:pivotFmt>
        <c:idx val="4"/>
        <c:spPr>
          <a:solidFill>
            <a:schemeClr val="accent5">
              <a:lumMod val="75000"/>
            </a:schemeClr>
          </a:solidFill>
          <a:ln>
            <a:noFill/>
          </a:ln>
          <a:effectLst/>
        </c:spPr>
      </c:pivotFmt>
      <c:pivotFmt>
        <c:idx val="5"/>
        <c:spPr>
          <a:solidFill>
            <a:schemeClr val="accent5">
              <a:lumMod val="60000"/>
              <a:lumOff val="40000"/>
            </a:schemeClr>
          </a:solidFill>
          <a:ln>
            <a:noFill/>
          </a:ln>
          <a:effectLst/>
        </c:spPr>
      </c:pivotFmt>
      <c:pivotFmt>
        <c:idx val="6"/>
        <c:spPr>
          <a:solidFill>
            <a:schemeClr val="accent5">
              <a:lumMod val="40000"/>
              <a:lumOff val="60000"/>
            </a:schemeClr>
          </a:solidFill>
          <a:ln>
            <a:noFill/>
          </a:ln>
          <a:effectLst/>
        </c:spPr>
      </c:pivotFmt>
      <c:pivotFmt>
        <c:idx val="7"/>
        <c:spPr>
          <a:solidFill>
            <a:schemeClr val="accent5">
              <a:lumMod val="40000"/>
              <a:lumOff val="60000"/>
            </a:schemeClr>
          </a:solidFill>
          <a:ln>
            <a:noFill/>
          </a:ln>
          <a:effectLst/>
        </c:spPr>
      </c:pivotFmt>
      <c:pivotFmt>
        <c:idx val="8"/>
        <c:spPr>
          <a:solidFill>
            <a:schemeClr val="accent5">
              <a:lumMod val="20000"/>
              <a:lumOff val="80000"/>
            </a:schemeClr>
          </a:solidFill>
          <a:ln>
            <a:noFill/>
          </a:ln>
          <a:effectLst/>
        </c:spPr>
      </c:pivotFmt>
      <c:pivotFmt>
        <c:idx val="9"/>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5">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5">
              <a:lumMod val="75000"/>
            </a:schemeClr>
          </a:solidFill>
          <a:ln>
            <a:noFill/>
          </a:ln>
          <a:effectLst/>
        </c:spPr>
      </c:pivotFmt>
      <c:pivotFmt>
        <c:idx val="12"/>
        <c:spPr>
          <a:solidFill>
            <a:schemeClr val="accent5">
              <a:lumMod val="75000"/>
            </a:schemeClr>
          </a:solidFill>
          <a:ln>
            <a:noFill/>
          </a:ln>
          <a:effectLst/>
        </c:spPr>
      </c:pivotFmt>
      <c:pivotFmt>
        <c:idx val="13"/>
        <c:spPr>
          <a:solidFill>
            <a:schemeClr val="accent5">
              <a:lumMod val="75000"/>
            </a:schemeClr>
          </a:solidFill>
          <a:ln>
            <a:noFill/>
          </a:ln>
          <a:effectLst/>
        </c:spPr>
      </c:pivotFmt>
      <c:pivotFmt>
        <c:idx val="14"/>
        <c:spPr>
          <a:solidFill>
            <a:schemeClr val="accent5">
              <a:lumMod val="60000"/>
              <a:lumOff val="40000"/>
            </a:schemeClr>
          </a:solidFill>
          <a:ln>
            <a:noFill/>
          </a:ln>
          <a:effectLst/>
        </c:spPr>
      </c:pivotFmt>
      <c:pivotFmt>
        <c:idx val="15"/>
        <c:spPr>
          <a:solidFill>
            <a:schemeClr val="accent5">
              <a:lumMod val="40000"/>
              <a:lumOff val="60000"/>
            </a:schemeClr>
          </a:solidFill>
          <a:ln>
            <a:noFill/>
          </a:ln>
          <a:effectLst/>
        </c:spPr>
      </c:pivotFmt>
      <c:pivotFmt>
        <c:idx val="16"/>
        <c:spPr>
          <a:solidFill>
            <a:schemeClr val="accent5">
              <a:lumMod val="40000"/>
              <a:lumOff val="60000"/>
            </a:schemeClr>
          </a:solidFill>
          <a:ln>
            <a:noFill/>
          </a:ln>
          <a:effectLst/>
        </c:spPr>
      </c:pivotFmt>
      <c:pivotFmt>
        <c:idx val="17"/>
        <c:spPr>
          <a:solidFill>
            <a:schemeClr val="accent5">
              <a:lumMod val="20000"/>
              <a:lumOff val="80000"/>
            </a:schemeClr>
          </a:solidFill>
          <a:ln>
            <a:noFill/>
          </a:ln>
          <a:effectLst/>
        </c:spPr>
      </c:pivotFmt>
      <c:pivotFmt>
        <c:idx val="18"/>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5">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5">
              <a:lumMod val="75000"/>
            </a:schemeClr>
          </a:solidFill>
          <a:ln>
            <a:noFill/>
          </a:ln>
          <a:effectLst/>
        </c:spPr>
      </c:pivotFmt>
      <c:pivotFmt>
        <c:idx val="21"/>
        <c:spPr>
          <a:solidFill>
            <a:schemeClr val="accent5">
              <a:lumMod val="75000"/>
            </a:schemeClr>
          </a:solidFill>
          <a:ln>
            <a:noFill/>
          </a:ln>
          <a:effectLst/>
        </c:spPr>
      </c:pivotFmt>
      <c:pivotFmt>
        <c:idx val="22"/>
        <c:spPr>
          <a:solidFill>
            <a:schemeClr val="accent5">
              <a:lumMod val="75000"/>
            </a:schemeClr>
          </a:solidFill>
          <a:ln>
            <a:noFill/>
          </a:ln>
          <a:effectLst/>
        </c:spPr>
      </c:pivotFmt>
      <c:pivotFmt>
        <c:idx val="23"/>
        <c:spPr>
          <a:solidFill>
            <a:schemeClr val="accent5">
              <a:lumMod val="60000"/>
              <a:lumOff val="40000"/>
            </a:schemeClr>
          </a:solidFill>
          <a:ln>
            <a:noFill/>
          </a:ln>
          <a:effectLst/>
        </c:spPr>
      </c:pivotFmt>
      <c:pivotFmt>
        <c:idx val="24"/>
        <c:spPr>
          <a:solidFill>
            <a:schemeClr val="accent5">
              <a:lumMod val="40000"/>
              <a:lumOff val="60000"/>
            </a:schemeClr>
          </a:solidFill>
          <a:ln>
            <a:noFill/>
          </a:ln>
          <a:effectLst/>
        </c:spPr>
      </c:pivotFmt>
      <c:pivotFmt>
        <c:idx val="25"/>
        <c:spPr>
          <a:solidFill>
            <a:schemeClr val="accent5">
              <a:lumMod val="40000"/>
              <a:lumOff val="60000"/>
            </a:schemeClr>
          </a:solidFill>
          <a:ln>
            <a:noFill/>
          </a:ln>
          <a:effectLst/>
        </c:spPr>
      </c:pivotFmt>
      <c:pivotFmt>
        <c:idx val="26"/>
        <c:spPr>
          <a:solidFill>
            <a:schemeClr val="accent5">
              <a:lumMod val="20000"/>
              <a:lumOff val="80000"/>
            </a:schemeClr>
          </a:solidFill>
          <a:ln>
            <a:noFill/>
          </a:ln>
          <a:effectLst/>
        </c:spPr>
      </c:pivotFmt>
      <c:pivotFmt>
        <c:idx val="27"/>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5">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5">
              <a:lumMod val="75000"/>
            </a:schemeClr>
          </a:solidFill>
          <a:ln>
            <a:noFill/>
          </a:ln>
          <a:effectLst/>
        </c:spPr>
      </c:pivotFmt>
      <c:pivotFmt>
        <c:idx val="30"/>
        <c:spPr>
          <a:solidFill>
            <a:schemeClr val="accent5">
              <a:lumMod val="75000"/>
            </a:schemeClr>
          </a:solidFill>
          <a:ln>
            <a:noFill/>
          </a:ln>
          <a:effectLst/>
        </c:spPr>
      </c:pivotFmt>
      <c:pivotFmt>
        <c:idx val="31"/>
        <c:spPr>
          <a:solidFill>
            <a:schemeClr val="accent5">
              <a:lumMod val="75000"/>
            </a:schemeClr>
          </a:solidFill>
          <a:ln>
            <a:noFill/>
          </a:ln>
          <a:effectLst/>
        </c:spPr>
      </c:pivotFmt>
      <c:pivotFmt>
        <c:idx val="32"/>
        <c:spPr>
          <a:solidFill>
            <a:schemeClr val="accent5">
              <a:lumMod val="60000"/>
              <a:lumOff val="40000"/>
            </a:schemeClr>
          </a:solidFill>
          <a:ln>
            <a:noFill/>
          </a:ln>
          <a:effectLst/>
        </c:spPr>
      </c:pivotFmt>
      <c:pivotFmt>
        <c:idx val="33"/>
        <c:spPr>
          <a:solidFill>
            <a:schemeClr val="accent5">
              <a:lumMod val="40000"/>
              <a:lumOff val="60000"/>
            </a:schemeClr>
          </a:solidFill>
          <a:ln>
            <a:noFill/>
          </a:ln>
          <a:effectLst/>
        </c:spPr>
      </c:pivotFmt>
      <c:pivotFmt>
        <c:idx val="34"/>
        <c:spPr>
          <a:solidFill>
            <a:schemeClr val="accent5">
              <a:lumMod val="40000"/>
              <a:lumOff val="60000"/>
            </a:schemeClr>
          </a:solidFill>
          <a:ln>
            <a:noFill/>
          </a:ln>
          <a:effectLst/>
        </c:spPr>
      </c:pivotFmt>
      <c:pivotFmt>
        <c:idx val="35"/>
        <c:spPr>
          <a:solidFill>
            <a:schemeClr val="accent5">
              <a:lumMod val="20000"/>
              <a:lumOff val="80000"/>
            </a:schemeClr>
          </a:solidFill>
          <a:ln>
            <a:noFill/>
          </a:ln>
          <a:effectLst/>
        </c:spPr>
      </c:pivotFmt>
      <c:pivotFmt>
        <c:idx val="36"/>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7"/>
        <c:spPr>
          <a:solidFill>
            <a:schemeClr val="accent5">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8"/>
        <c:spPr>
          <a:solidFill>
            <a:schemeClr val="accent5">
              <a:lumMod val="75000"/>
            </a:schemeClr>
          </a:solidFill>
          <a:ln>
            <a:noFill/>
          </a:ln>
          <a:effectLst/>
        </c:spPr>
      </c:pivotFmt>
      <c:pivotFmt>
        <c:idx val="39"/>
        <c:spPr>
          <a:solidFill>
            <a:schemeClr val="accent5">
              <a:lumMod val="75000"/>
            </a:schemeClr>
          </a:solidFill>
          <a:ln>
            <a:noFill/>
          </a:ln>
          <a:effectLst/>
        </c:spPr>
      </c:pivotFmt>
      <c:pivotFmt>
        <c:idx val="40"/>
        <c:spPr>
          <a:solidFill>
            <a:schemeClr val="accent5">
              <a:lumMod val="75000"/>
            </a:schemeClr>
          </a:solidFill>
          <a:ln>
            <a:noFill/>
          </a:ln>
          <a:effectLst/>
        </c:spPr>
      </c:pivotFmt>
      <c:pivotFmt>
        <c:idx val="41"/>
        <c:spPr>
          <a:solidFill>
            <a:schemeClr val="accent5">
              <a:lumMod val="60000"/>
              <a:lumOff val="40000"/>
            </a:schemeClr>
          </a:solidFill>
          <a:ln>
            <a:noFill/>
          </a:ln>
          <a:effectLst/>
        </c:spPr>
      </c:pivotFmt>
      <c:pivotFmt>
        <c:idx val="42"/>
        <c:spPr>
          <a:solidFill>
            <a:schemeClr val="accent5">
              <a:lumMod val="40000"/>
              <a:lumOff val="60000"/>
            </a:schemeClr>
          </a:solidFill>
          <a:ln>
            <a:noFill/>
          </a:ln>
          <a:effectLst/>
        </c:spPr>
      </c:pivotFmt>
      <c:pivotFmt>
        <c:idx val="43"/>
        <c:spPr>
          <a:solidFill>
            <a:schemeClr val="accent5">
              <a:lumMod val="40000"/>
              <a:lumOff val="60000"/>
            </a:schemeClr>
          </a:solidFill>
          <a:ln>
            <a:noFill/>
          </a:ln>
          <a:effectLst/>
        </c:spPr>
      </c:pivotFmt>
      <c:pivotFmt>
        <c:idx val="44"/>
        <c:spPr>
          <a:solidFill>
            <a:schemeClr val="accent5">
              <a:lumMod val="20000"/>
              <a:lumOff val="80000"/>
            </a:schemeClr>
          </a:solidFill>
          <a:ln>
            <a:noFill/>
          </a:ln>
          <a:effectLst/>
        </c:spPr>
      </c:pivotFmt>
      <c:pivotFmt>
        <c:idx val="45"/>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6"/>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accent5">
              <a:lumMod val="75000"/>
            </a:schemeClr>
          </a:solidFill>
          <a:ln>
            <a:noFill/>
          </a:ln>
          <a:effectLst/>
        </c:spPr>
      </c:pivotFmt>
      <c:pivotFmt>
        <c:idx val="48"/>
        <c:spPr>
          <a:solidFill>
            <a:schemeClr val="accent5">
              <a:lumMod val="75000"/>
            </a:schemeClr>
          </a:solidFill>
          <a:ln>
            <a:noFill/>
          </a:ln>
          <a:effectLst/>
        </c:spPr>
      </c:pivotFmt>
      <c:pivotFmt>
        <c:idx val="49"/>
        <c:spPr>
          <a:solidFill>
            <a:schemeClr val="accent5">
              <a:lumMod val="75000"/>
            </a:schemeClr>
          </a:solidFill>
          <a:ln>
            <a:noFill/>
          </a:ln>
          <a:effectLst/>
        </c:spPr>
      </c:pivotFmt>
      <c:pivotFmt>
        <c:idx val="50"/>
        <c:spPr>
          <a:solidFill>
            <a:schemeClr val="accent5">
              <a:lumMod val="60000"/>
              <a:lumOff val="40000"/>
            </a:schemeClr>
          </a:solidFill>
          <a:ln>
            <a:noFill/>
          </a:ln>
          <a:effectLst/>
        </c:spPr>
      </c:pivotFmt>
      <c:pivotFmt>
        <c:idx val="51"/>
        <c:spPr>
          <a:solidFill>
            <a:schemeClr val="accent5">
              <a:lumMod val="40000"/>
              <a:lumOff val="60000"/>
            </a:schemeClr>
          </a:solidFill>
          <a:ln>
            <a:noFill/>
          </a:ln>
          <a:effectLst/>
        </c:spPr>
      </c:pivotFmt>
      <c:pivotFmt>
        <c:idx val="52"/>
        <c:spPr>
          <a:solidFill>
            <a:schemeClr val="accent5">
              <a:lumMod val="40000"/>
              <a:lumOff val="60000"/>
            </a:schemeClr>
          </a:solidFill>
          <a:ln>
            <a:noFill/>
          </a:ln>
          <a:effectLst/>
        </c:spPr>
      </c:pivotFmt>
      <c:pivotFmt>
        <c:idx val="53"/>
        <c:spPr>
          <a:solidFill>
            <a:schemeClr val="accent5">
              <a:lumMod val="20000"/>
              <a:lumOff val="80000"/>
            </a:schemeClr>
          </a:solidFill>
          <a:ln>
            <a:noFill/>
          </a:ln>
          <a:effectLst/>
        </c:spPr>
      </c:pivotFmt>
    </c:pivotFmts>
    <c:plotArea>
      <c:layout/>
      <c:barChart>
        <c:barDir val="bar"/>
        <c:grouping val="clustered"/>
        <c:varyColors val="0"/>
        <c:ser>
          <c:idx val="0"/>
          <c:order val="0"/>
          <c:tx>
            <c:strRef>
              <c:f>'SALES PERSON PERFORMANCE'!$B$3</c:f>
              <c:strCache>
                <c:ptCount val="1"/>
                <c:pt idx="0">
                  <c:v>Total</c:v>
                </c:pt>
              </c:strCache>
            </c:strRef>
          </c:tx>
          <c:spPr>
            <a:solidFill>
              <a:schemeClr val="accent5">
                <a:lumMod val="50000"/>
              </a:schemeClr>
            </a:solidFill>
            <a:ln>
              <a:noFill/>
            </a:ln>
            <a:effectLst/>
          </c:spPr>
          <c:invertIfNegative val="0"/>
          <c:dPt>
            <c:idx val="0"/>
            <c:invertIfNegative val="0"/>
            <c:bubble3D val="0"/>
            <c:extLst>
              <c:ext xmlns:c16="http://schemas.microsoft.com/office/drawing/2014/chart" uri="{C3380CC4-5D6E-409C-BE32-E72D297353CC}">
                <c16:uniqueId val="{00000000-2325-47A5-A360-0B80BC9E3C85}"/>
              </c:ext>
            </c:extLst>
          </c:dPt>
          <c:dPt>
            <c:idx val="1"/>
            <c:invertIfNegative val="0"/>
            <c:bubble3D val="0"/>
            <c:spPr>
              <a:solidFill>
                <a:schemeClr val="accent5">
                  <a:lumMod val="75000"/>
                </a:schemeClr>
              </a:solidFill>
              <a:ln>
                <a:noFill/>
              </a:ln>
              <a:effectLst/>
            </c:spPr>
            <c:extLst>
              <c:ext xmlns:c16="http://schemas.microsoft.com/office/drawing/2014/chart" uri="{C3380CC4-5D6E-409C-BE32-E72D297353CC}">
                <c16:uniqueId val="{00000002-2325-47A5-A360-0B80BC9E3C85}"/>
              </c:ext>
            </c:extLst>
          </c:dPt>
          <c:dPt>
            <c:idx val="2"/>
            <c:invertIfNegative val="0"/>
            <c:bubble3D val="0"/>
            <c:spPr>
              <a:solidFill>
                <a:schemeClr val="accent5">
                  <a:lumMod val="75000"/>
                </a:schemeClr>
              </a:solidFill>
              <a:ln>
                <a:noFill/>
              </a:ln>
              <a:effectLst/>
            </c:spPr>
            <c:extLst>
              <c:ext xmlns:c16="http://schemas.microsoft.com/office/drawing/2014/chart" uri="{C3380CC4-5D6E-409C-BE32-E72D297353CC}">
                <c16:uniqueId val="{00000004-2325-47A5-A360-0B80BC9E3C85}"/>
              </c:ext>
            </c:extLst>
          </c:dPt>
          <c:dPt>
            <c:idx val="3"/>
            <c:invertIfNegative val="0"/>
            <c:bubble3D val="0"/>
            <c:spPr>
              <a:solidFill>
                <a:schemeClr val="accent5">
                  <a:lumMod val="75000"/>
                </a:schemeClr>
              </a:solidFill>
              <a:ln>
                <a:noFill/>
              </a:ln>
              <a:effectLst/>
            </c:spPr>
            <c:extLst>
              <c:ext xmlns:c16="http://schemas.microsoft.com/office/drawing/2014/chart" uri="{C3380CC4-5D6E-409C-BE32-E72D297353CC}">
                <c16:uniqueId val="{00000006-2325-47A5-A360-0B80BC9E3C85}"/>
              </c:ext>
            </c:extLst>
          </c:dPt>
          <c:dPt>
            <c:idx val="4"/>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8-2325-47A5-A360-0B80BC9E3C85}"/>
              </c:ext>
            </c:extLst>
          </c:dPt>
          <c:dPt>
            <c:idx val="5"/>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A-2325-47A5-A360-0B80BC9E3C85}"/>
              </c:ext>
            </c:extLst>
          </c:dPt>
          <c:dPt>
            <c:idx val="6"/>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C-2325-47A5-A360-0B80BC9E3C85}"/>
              </c:ext>
            </c:extLst>
          </c:dPt>
          <c:dPt>
            <c:idx val="7"/>
            <c:invertIfNegative val="0"/>
            <c:bubble3D val="0"/>
            <c:spPr>
              <a:solidFill>
                <a:schemeClr val="accent5">
                  <a:lumMod val="20000"/>
                  <a:lumOff val="80000"/>
                </a:schemeClr>
              </a:solidFill>
              <a:ln>
                <a:noFill/>
              </a:ln>
              <a:effectLst/>
            </c:spPr>
            <c:extLst>
              <c:ext xmlns:c16="http://schemas.microsoft.com/office/drawing/2014/chart" uri="{C3380CC4-5D6E-409C-BE32-E72D297353CC}">
                <c16:uniqueId val="{0000000E-2325-47A5-A360-0B80BC9E3C85}"/>
              </c:ext>
            </c:extLst>
          </c:dPt>
          <c:dLbls>
            <c:dLbl>
              <c:idx val="0"/>
              <c:layout>
                <c:manualLayout>
                  <c:x val="0"/>
                  <c:y val="2.1218890680033321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325-47A5-A360-0B80BC9E3C8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'SALES PERSON PERFORMANCE'!$A$4:$A$12</c:f>
              <c:strCache>
                <c:ptCount val="8"/>
                <c:pt idx="0">
                  <c:v>Nancy Freehafer</c:v>
                </c:pt>
                <c:pt idx="1">
                  <c:v>Anne Larsen</c:v>
                </c:pt>
                <c:pt idx="2">
                  <c:v>Andrew Cencini</c:v>
                </c:pt>
                <c:pt idx="3">
                  <c:v>Mariya Sergienko</c:v>
                </c:pt>
                <c:pt idx="4">
                  <c:v>Laura Giussani</c:v>
                </c:pt>
                <c:pt idx="5">
                  <c:v>Michael Neipper</c:v>
                </c:pt>
                <c:pt idx="6">
                  <c:v>Robert Zare</c:v>
                </c:pt>
                <c:pt idx="7">
                  <c:v>Jan Kotas</c:v>
                </c:pt>
              </c:strCache>
            </c:strRef>
          </c:cat>
          <c:val>
            <c:numRef>
              <c:f>'SALES PERSON PERFORMANCE'!$B$4:$B$12</c:f>
              <c:numCache>
                <c:formatCode>[$$-409]#,##0.00</c:formatCode>
                <c:ptCount val="8"/>
                <c:pt idx="0">
                  <c:v>104242.33999999997</c:v>
                </c:pt>
                <c:pt idx="1">
                  <c:v>93848.329999999987</c:v>
                </c:pt>
                <c:pt idx="2">
                  <c:v>67180.5</c:v>
                </c:pt>
                <c:pt idx="3">
                  <c:v>42370.880000000005</c:v>
                </c:pt>
                <c:pt idx="4">
                  <c:v>41095.01</c:v>
                </c:pt>
                <c:pt idx="5">
                  <c:v>37418</c:v>
                </c:pt>
                <c:pt idx="6">
                  <c:v>32530.6</c:v>
                </c:pt>
                <c:pt idx="7">
                  <c:v>16350.5</c:v>
                </c:pt>
              </c:numCache>
            </c:numRef>
          </c:val>
          <c:extLst>
            <c:ext xmlns:c16="http://schemas.microsoft.com/office/drawing/2014/chart" uri="{C3380CC4-5D6E-409C-BE32-E72D297353CC}">
              <c16:uniqueId val="{0000000F-2325-47A5-A360-0B80BC9E3C85}"/>
            </c:ext>
          </c:extLst>
        </c:ser>
        <c:dLbls>
          <c:dLblPos val="outEnd"/>
          <c:showLegendKey val="0"/>
          <c:showVal val="1"/>
          <c:showCatName val="0"/>
          <c:showSerName val="0"/>
          <c:showPercent val="0"/>
          <c:showBubbleSize val="0"/>
        </c:dLbls>
        <c:gapWidth val="30"/>
        <c:axId val="441749968"/>
        <c:axId val="441750296"/>
      </c:barChart>
      <c:catAx>
        <c:axId val="44174996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750296"/>
        <c:crosses val="autoZero"/>
        <c:auto val="1"/>
        <c:lblAlgn val="ctr"/>
        <c:lblOffset val="100"/>
        <c:noMultiLvlLbl val="0"/>
      </c:catAx>
      <c:valAx>
        <c:axId val="441750296"/>
        <c:scaling>
          <c:orientation val="minMax"/>
        </c:scaling>
        <c:delete val="1"/>
        <c:axPos val="t"/>
        <c:numFmt formatCode="[$$-409]#,##0.00" sourceLinked="1"/>
        <c:majorTickMark val="none"/>
        <c:minorTickMark val="none"/>
        <c:tickLblPos val="nextTo"/>
        <c:crossAx val="441749968"/>
        <c:crosses val="autoZero"/>
        <c:crossBetween val="between"/>
      </c:valAx>
    </c:plotArea>
    <c:plotVisOnly val="1"/>
    <c:dispBlanksAs val="gap"/>
    <c:showDLblsOverMax val="0"/>
    <c:extLst/>
  </c:chart>
  <c:spPr>
    <a:ln>
      <a:noFill/>
    </a:ln>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8"/>
    </mc:Choice>
    <mc:Fallback>
      <c:style val="8"/>
    </mc:Fallback>
  </mc:AlternateContent>
  <c:pivotSource>
    <c:name>[Subway performance analysis by Enem sophia.xlsx]SALES BY REGION!PivotTable1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Arial" panose="020B0604020202020204" pitchFamily="34" charset="0"/>
                <a:cs typeface="Arial" panose="020B0604020202020204" pitchFamily="34" charset="0"/>
              </a:rPr>
              <a:t>Sales by Region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c:spPr>
      </c:pivotFmt>
      <c:pivotFmt>
        <c:idx val="3"/>
        <c:spPr>
          <a:solidFill>
            <a:schemeClr val="accent6">
              <a:lumMod val="75000"/>
            </a:schemeClr>
          </a:solidFill>
          <a:ln>
            <a:noFill/>
          </a:ln>
          <a:effectLst/>
        </c:spPr>
      </c:pivotFmt>
      <c:pivotFmt>
        <c:idx val="4"/>
        <c:spPr>
          <a:solidFill>
            <a:schemeClr val="accent6">
              <a:lumMod val="60000"/>
              <a:lumOff val="40000"/>
            </a:schemeClr>
          </a:solidFill>
          <a:ln>
            <a:noFill/>
          </a:ln>
          <a:effectLst/>
        </c:spPr>
      </c:pivotFmt>
      <c:pivotFmt>
        <c:idx val="5"/>
        <c:spPr>
          <a:solidFill>
            <a:schemeClr val="accent6">
              <a:lumMod val="60000"/>
              <a:lumOff val="40000"/>
            </a:schemeClr>
          </a:solidFill>
          <a:ln>
            <a:noFill/>
          </a:ln>
          <a:effectLst/>
        </c:spPr>
      </c:pivotFmt>
      <c:pivotFmt>
        <c:idx val="6"/>
        <c:spPr>
          <a:solidFill>
            <a:schemeClr val="accent6">
              <a:lumMod val="60000"/>
              <a:lumOff val="40000"/>
            </a:schemeClr>
          </a:solidFill>
          <a:ln>
            <a:noFill/>
          </a:ln>
          <a:effectLst/>
        </c:spPr>
      </c:pivotFmt>
      <c:pivotFmt>
        <c:idx val="7"/>
        <c:spPr>
          <a:solidFill>
            <a:schemeClr val="accent6">
              <a:lumMod val="40000"/>
              <a:lumOff val="60000"/>
            </a:schemeClr>
          </a:solidFill>
          <a:ln>
            <a:noFill/>
          </a:ln>
          <a:effectLst/>
        </c:spPr>
      </c:pivotFmt>
      <c:pivotFmt>
        <c:idx val="8"/>
        <c:spPr>
          <a:solidFill>
            <a:schemeClr val="accent6">
              <a:lumMod val="20000"/>
              <a:lumOff val="80000"/>
            </a:schemeClr>
          </a:solidFill>
          <a:ln>
            <a:noFill/>
          </a:ln>
          <a:effectLst/>
        </c:spPr>
      </c:pivotFmt>
      <c:pivotFmt>
        <c:idx val="9"/>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6">
              <a:lumMod val="75000"/>
            </a:schemeClr>
          </a:solidFill>
          <a:ln>
            <a:noFill/>
          </a:ln>
          <a:effectLst/>
        </c:spPr>
      </c:pivotFmt>
      <c:pivotFmt>
        <c:idx val="12"/>
        <c:spPr>
          <a:solidFill>
            <a:schemeClr val="accent6">
              <a:lumMod val="75000"/>
            </a:schemeClr>
          </a:solidFill>
          <a:ln>
            <a:noFill/>
          </a:ln>
          <a:effectLst/>
        </c:spPr>
      </c:pivotFmt>
      <c:pivotFmt>
        <c:idx val="13"/>
        <c:spPr>
          <a:solidFill>
            <a:schemeClr val="accent6">
              <a:lumMod val="60000"/>
              <a:lumOff val="40000"/>
            </a:schemeClr>
          </a:solidFill>
          <a:ln>
            <a:noFill/>
          </a:ln>
          <a:effectLst/>
        </c:spPr>
      </c:pivotFmt>
      <c:pivotFmt>
        <c:idx val="14"/>
        <c:spPr>
          <a:solidFill>
            <a:schemeClr val="accent6">
              <a:lumMod val="60000"/>
              <a:lumOff val="40000"/>
            </a:schemeClr>
          </a:solidFill>
          <a:ln>
            <a:noFill/>
          </a:ln>
          <a:effectLst/>
        </c:spPr>
      </c:pivotFmt>
      <c:pivotFmt>
        <c:idx val="15"/>
        <c:spPr>
          <a:solidFill>
            <a:schemeClr val="accent6">
              <a:lumMod val="60000"/>
              <a:lumOff val="40000"/>
            </a:schemeClr>
          </a:solidFill>
          <a:ln>
            <a:noFill/>
          </a:ln>
          <a:effectLst/>
        </c:spPr>
      </c:pivotFmt>
      <c:pivotFmt>
        <c:idx val="16"/>
        <c:spPr>
          <a:solidFill>
            <a:schemeClr val="accent6">
              <a:lumMod val="40000"/>
              <a:lumOff val="60000"/>
            </a:schemeClr>
          </a:solidFill>
          <a:ln>
            <a:noFill/>
          </a:ln>
          <a:effectLst/>
        </c:spPr>
      </c:pivotFmt>
      <c:pivotFmt>
        <c:idx val="17"/>
        <c:spPr>
          <a:solidFill>
            <a:schemeClr val="accent6">
              <a:lumMod val="20000"/>
              <a:lumOff val="80000"/>
            </a:schemeClr>
          </a:solidFill>
          <a:ln>
            <a:noFill/>
          </a:ln>
          <a:effectLst/>
        </c:spPr>
      </c:pivotFmt>
      <c:pivotFmt>
        <c:idx val="18"/>
        <c:spPr>
          <a:solidFill>
            <a:schemeClr val="accent5">
              <a:lumMod val="50000"/>
            </a:schemeClr>
          </a:solidFill>
          <a:ln>
            <a:noFill/>
          </a:ln>
          <a:effectLst/>
        </c:spPr>
      </c:pivotFmt>
      <c:pivotFmt>
        <c:idx val="19"/>
        <c:spPr>
          <a:solidFill>
            <a:schemeClr val="accent5">
              <a:lumMod val="75000"/>
            </a:schemeClr>
          </a:solidFill>
          <a:ln>
            <a:noFill/>
          </a:ln>
          <a:effectLst/>
        </c:spPr>
      </c:pivotFmt>
      <c:pivotFmt>
        <c:idx val="20"/>
        <c:spPr>
          <a:solidFill>
            <a:schemeClr val="accent5">
              <a:lumMod val="75000"/>
            </a:schemeClr>
          </a:solidFill>
          <a:ln>
            <a:noFill/>
          </a:ln>
          <a:effectLst/>
        </c:spPr>
      </c:pivotFmt>
      <c:pivotFmt>
        <c:idx val="21"/>
        <c:spPr>
          <a:solidFill>
            <a:schemeClr val="accent5">
              <a:lumMod val="75000"/>
            </a:schemeClr>
          </a:solidFill>
          <a:ln>
            <a:noFill/>
          </a:ln>
          <a:effectLst/>
        </c:spPr>
      </c:pivotFmt>
      <c:pivotFmt>
        <c:idx val="22"/>
        <c:spPr>
          <a:solidFill>
            <a:schemeClr val="accent5">
              <a:lumMod val="60000"/>
              <a:lumOff val="40000"/>
            </a:schemeClr>
          </a:solidFill>
          <a:ln>
            <a:noFill/>
          </a:ln>
          <a:effectLst/>
        </c:spPr>
      </c:pivotFmt>
      <c:pivotFmt>
        <c:idx val="23"/>
        <c:spPr>
          <a:solidFill>
            <a:schemeClr val="accent5">
              <a:lumMod val="60000"/>
              <a:lumOff val="40000"/>
            </a:schemeClr>
          </a:solidFill>
          <a:ln>
            <a:noFill/>
          </a:ln>
          <a:effectLst/>
        </c:spPr>
      </c:pivotFmt>
      <c:pivotFmt>
        <c:idx val="24"/>
        <c:spPr>
          <a:solidFill>
            <a:schemeClr val="accent5">
              <a:lumMod val="60000"/>
              <a:lumOff val="40000"/>
            </a:schemeClr>
          </a:solidFill>
          <a:ln>
            <a:noFill/>
          </a:ln>
          <a:effectLst/>
        </c:spPr>
      </c:pivotFmt>
      <c:pivotFmt>
        <c:idx val="25"/>
        <c:spPr>
          <a:solidFill>
            <a:schemeClr val="accent1">
              <a:lumMod val="60000"/>
              <a:lumOff val="40000"/>
            </a:schemeClr>
          </a:solidFill>
          <a:ln>
            <a:noFill/>
          </a:ln>
          <a:effectLst/>
        </c:spPr>
      </c:pivotFmt>
      <c:pivotFmt>
        <c:idx val="26"/>
        <c:spPr>
          <a:solidFill>
            <a:schemeClr val="accent5">
              <a:lumMod val="20000"/>
              <a:lumOff val="80000"/>
            </a:schemeClr>
          </a:solidFill>
          <a:ln>
            <a:noFill/>
          </a:ln>
          <a:effectLst/>
        </c:spPr>
      </c:pivotFmt>
      <c:pivotFmt>
        <c:idx val="27"/>
        <c:spPr>
          <a:solidFill>
            <a:schemeClr val="accent5">
              <a:lumMod val="20000"/>
              <a:lumOff val="80000"/>
            </a:schemeClr>
          </a:solidFill>
          <a:ln>
            <a:noFill/>
          </a:ln>
          <a:effectLst/>
        </c:spPr>
      </c:pivotFmt>
      <c:pivotFmt>
        <c:idx val="28"/>
        <c:spPr>
          <a:solidFill>
            <a:schemeClr val="accent6"/>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5">
              <a:lumMod val="75000"/>
            </a:schemeClr>
          </a:solidFill>
          <a:ln>
            <a:noFill/>
          </a:ln>
          <a:effectLst/>
        </c:spPr>
      </c:pivotFmt>
      <c:pivotFmt>
        <c:idx val="30"/>
        <c:spPr>
          <a:solidFill>
            <a:schemeClr val="accent5">
              <a:lumMod val="75000"/>
            </a:schemeClr>
          </a:solidFill>
          <a:ln>
            <a:noFill/>
          </a:ln>
          <a:effectLst/>
        </c:spPr>
      </c:pivotFmt>
      <c:pivotFmt>
        <c:idx val="31"/>
        <c:spPr>
          <a:solidFill>
            <a:schemeClr val="accent5">
              <a:lumMod val="75000"/>
            </a:schemeClr>
          </a:solidFill>
          <a:ln>
            <a:noFill/>
          </a:ln>
          <a:effectLst/>
        </c:spPr>
      </c:pivotFmt>
      <c:pivotFmt>
        <c:idx val="32"/>
        <c:spPr>
          <a:solidFill>
            <a:schemeClr val="accent5">
              <a:lumMod val="60000"/>
              <a:lumOff val="40000"/>
            </a:schemeClr>
          </a:solidFill>
          <a:ln>
            <a:noFill/>
          </a:ln>
          <a:effectLst/>
        </c:spPr>
      </c:pivotFmt>
      <c:pivotFmt>
        <c:idx val="33"/>
        <c:spPr>
          <a:solidFill>
            <a:schemeClr val="accent5">
              <a:lumMod val="60000"/>
              <a:lumOff val="40000"/>
            </a:schemeClr>
          </a:solidFill>
          <a:ln>
            <a:noFill/>
          </a:ln>
          <a:effectLst/>
        </c:spPr>
      </c:pivotFmt>
      <c:pivotFmt>
        <c:idx val="34"/>
        <c:spPr>
          <a:solidFill>
            <a:schemeClr val="accent5">
              <a:lumMod val="60000"/>
              <a:lumOff val="40000"/>
            </a:schemeClr>
          </a:solidFill>
          <a:ln>
            <a:noFill/>
          </a:ln>
          <a:effectLst/>
        </c:spPr>
      </c:pivotFmt>
      <c:pivotFmt>
        <c:idx val="35"/>
        <c:spPr>
          <a:solidFill>
            <a:schemeClr val="accent1">
              <a:lumMod val="60000"/>
              <a:lumOff val="40000"/>
            </a:schemeClr>
          </a:solidFill>
          <a:ln>
            <a:noFill/>
          </a:ln>
          <a:effectLst/>
        </c:spPr>
      </c:pivotFmt>
      <c:pivotFmt>
        <c:idx val="36"/>
        <c:spPr>
          <a:solidFill>
            <a:schemeClr val="accent5">
              <a:lumMod val="20000"/>
              <a:lumOff val="80000"/>
            </a:schemeClr>
          </a:solidFill>
          <a:ln>
            <a:noFill/>
          </a:ln>
          <a:effectLst/>
        </c:spPr>
      </c:pivotFmt>
      <c:pivotFmt>
        <c:idx val="37"/>
        <c:spPr>
          <a:solidFill>
            <a:schemeClr val="accent5">
              <a:lumMod val="20000"/>
              <a:lumOff val="80000"/>
            </a:schemeClr>
          </a:solidFill>
          <a:ln>
            <a:noFill/>
          </a:ln>
          <a:effectLst/>
        </c:spPr>
      </c:pivotFmt>
      <c:pivotFmt>
        <c:idx val="38"/>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9"/>
        <c:marker>
          <c:symbol val="none"/>
        </c:marker>
      </c:pivotFmt>
      <c:pivotFmt>
        <c:idx val="40"/>
        <c:marker>
          <c:symbol val="none"/>
        </c:marker>
      </c:pivotFmt>
      <c:pivotFmt>
        <c:idx val="41"/>
        <c:marker>
          <c:symbol val="none"/>
        </c:marker>
      </c:pivotFmt>
      <c:pivotFmt>
        <c:idx val="42"/>
        <c:marker>
          <c:symbol val="none"/>
        </c:marker>
      </c:pivotFmt>
      <c:pivotFmt>
        <c:idx val="43"/>
        <c:marker>
          <c:symbol val="none"/>
        </c:marker>
      </c:pivotFmt>
      <c:pivotFmt>
        <c:idx val="44"/>
        <c:marker>
          <c:symbol val="none"/>
        </c:marker>
      </c:pivotFmt>
      <c:pivotFmt>
        <c:idx val="45"/>
        <c:marker>
          <c:symbol val="none"/>
        </c:marker>
      </c:pivotFmt>
      <c:pivotFmt>
        <c:idx val="46"/>
        <c:marker>
          <c:symbol val="none"/>
        </c:marker>
      </c:pivotFmt>
      <c:pivotFmt>
        <c:idx val="47"/>
        <c:marker>
          <c:symbol val="none"/>
        </c:marker>
      </c:pivotFmt>
      <c:pivotFmt>
        <c:idx val="48"/>
        <c:marker>
          <c:symbol val="none"/>
        </c:marker>
      </c:pivotFmt>
      <c:pivotFmt>
        <c:idx val="49"/>
        <c:spPr>
          <a:solidFill>
            <a:schemeClr val="accent5">
              <a:lumMod val="50000"/>
            </a:schemeClr>
          </a:solidFill>
          <a:ln>
            <a:solidFill>
              <a:schemeClr val="accent5">
                <a:lumMod val="50000"/>
              </a:schemeClr>
            </a:solidFill>
          </a:ln>
          <a:effectLst/>
        </c:spPr>
        <c:dLbl>
          <c:idx val="0"/>
          <c:layout>
            <c:manualLayout>
              <c:x val="0.28123614950649661"/>
              <c:y val="1.742481046265548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0579194248209406"/>
                  <c:h val="8.0744465918106217E-2"/>
                </c:manualLayout>
              </c15:layout>
            </c:ext>
          </c:extLst>
        </c:dLbl>
      </c:pivotFmt>
      <c:pivotFmt>
        <c:idx val="50"/>
        <c:spPr>
          <a:solidFill>
            <a:schemeClr val="accent5">
              <a:lumMod val="75000"/>
            </a:schemeClr>
          </a:solidFill>
          <a:ln>
            <a:solidFill>
              <a:schemeClr val="accent5">
                <a:lumMod val="50000"/>
              </a:schemeClr>
            </a:solidFill>
          </a:ln>
          <a:effectLst/>
        </c:spPr>
        <c:dLbl>
          <c:idx val="0"/>
          <c:layout>
            <c:manualLayout>
              <c:x val="0.22222218085624246"/>
              <c:y val="-0.24242428301653635"/>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5">
              <a:lumMod val="60000"/>
              <a:lumOff val="40000"/>
            </a:schemeClr>
          </a:solidFill>
          <a:ln>
            <a:solidFill>
              <a:schemeClr val="accent5">
                <a:lumMod val="50000"/>
              </a:schemeClr>
            </a:solidFill>
          </a:ln>
          <a:effectLst/>
        </c:spPr>
        <c:dLbl>
          <c:idx val="0"/>
          <c:layout>
            <c:manualLayout>
              <c:x val="-0.19148932605697472"/>
              <c:y val="9.356726712918947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2"/>
        <c:spPr>
          <a:solidFill>
            <a:schemeClr val="accent5">
              <a:lumMod val="20000"/>
              <a:lumOff val="80000"/>
            </a:schemeClr>
          </a:solidFill>
          <a:ln>
            <a:solidFill>
              <a:schemeClr val="accent5">
                <a:lumMod val="50000"/>
              </a:schemeClr>
            </a:solidFill>
          </a:ln>
          <a:effectLst/>
        </c:spPr>
        <c:dLbl>
          <c:idx val="0"/>
          <c:layout>
            <c:manualLayout>
              <c:x val="-0.23877064113277097"/>
              <c:y val="-0.165869246274472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4"/>
        <c:spPr>
          <a:solidFill>
            <a:schemeClr val="accent5">
              <a:lumMod val="75000"/>
            </a:schemeClr>
          </a:solidFill>
          <a:ln>
            <a:solidFill>
              <a:schemeClr val="accent5">
                <a:lumMod val="50000"/>
              </a:schemeClr>
            </a:solidFill>
          </a:ln>
          <a:effectLst/>
        </c:spPr>
        <c:dLbl>
          <c:idx val="0"/>
          <c:layout>
            <c:manualLayout>
              <c:x val="0.22222218085624246"/>
              <c:y val="-0.24242428301653635"/>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5"/>
        <c:spPr>
          <a:solidFill>
            <a:schemeClr val="accent5">
              <a:lumMod val="50000"/>
            </a:schemeClr>
          </a:solidFill>
          <a:ln>
            <a:solidFill>
              <a:schemeClr val="accent5">
                <a:lumMod val="50000"/>
              </a:schemeClr>
            </a:solidFill>
          </a:ln>
          <a:effectLst/>
        </c:spPr>
        <c:dLbl>
          <c:idx val="0"/>
          <c:layout>
            <c:manualLayout>
              <c:x val="0.28123614950649661"/>
              <c:y val="1.742481046265548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0579194248209406"/>
                  <c:h val="8.0744465918106217E-2"/>
                </c:manualLayout>
              </c15:layout>
            </c:ext>
          </c:extLst>
        </c:dLbl>
      </c:pivotFmt>
      <c:pivotFmt>
        <c:idx val="56"/>
        <c:spPr>
          <a:solidFill>
            <a:schemeClr val="accent5">
              <a:lumMod val="60000"/>
              <a:lumOff val="40000"/>
            </a:schemeClr>
          </a:solidFill>
          <a:ln>
            <a:solidFill>
              <a:schemeClr val="accent5">
                <a:lumMod val="50000"/>
              </a:schemeClr>
            </a:solidFill>
          </a:ln>
          <a:effectLst/>
        </c:spPr>
        <c:dLbl>
          <c:idx val="0"/>
          <c:layout>
            <c:manualLayout>
              <c:x val="-0.19148932605697472"/>
              <c:y val="9.356726712918947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7"/>
        <c:spPr>
          <a:solidFill>
            <a:schemeClr val="accent5">
              <a:lumMod val="20000"/>
              <a:lumOff val="80000"/>
            </a:schemeClr>
          </a:solidFill>
          <a:ln>
            <a:solidFill>
              <a:schemeClr val="accent5">
                <a:lumMod val="50000"/>
              </a:schemeClr>
            </a:solidFill>
          </a:ln>
          <a:effectLst/>
        </c:spPr>
        <c:dLbl>
          <c:idx val="0"/>
          <c:layout>
            <c:manualLayout>
              <c:x val="-0.23877064113277097"/>
              <c:y val="-0.165869246274472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8"/>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9"/>
        <c:spPr>
          <a:solidFill>
            <a:schemeClr val="accent5">
              <a:lumMod val="75000"/>
            </a:schemeClr>
          </a:solidFill>
          <a:ln>
            <a:noFill/>
          </a:ln>
          <a:effectLst/>
        </c:spPr>
        <c:dLbl>
          <c:idx val="0"/>
          <c:layout>
            <c:manualLayout>
              <c:x val="0.19086526031457918"/>
              <c:y val="-0.1575634784268804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4274828761989484"/>
                  <c:h val="0.12710910652920962"/>
                </c:manualLayout>
              </c15:layout>
            </c:ext>
          </c:extLst>
        </c:dLbl>
      </c:pivotFmt>
      <c:pivotFmt>
        <c:idx val="60"/>
        <c:spPr>
          <a:solidFill>
            <a:schemeClr val="accent5">
              <a:lumMod val="50000"/>
            </a:schemeClr>
          </a:solidFill>
          <a:ln>
            <a:noFill/>
          </a:ln>
          <a:effectLst/>
        </c:spPr>
        <c:dLbl>
          <c:idx val="0"/>
          <c:layout>
            <c:manualLayout>
              <c:x val="0.30587399549008865"/>
              <c:y val="5.985514509354693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80495603488991"/>
                  <c:h val="0.11711340206185565"/>
                </c:manualLayout>
              </c15:layout>
            </c:ext>
          </c:extLst>
        </c:dLbl>
      </c:pivotFmt>
      <c:pivotFmt>
        <c:idx val="61"/>
        <c:spPr>
          <a:solidFill>
            <a:schemeClr val="accent5">
              <a:lumMod val="60000"/>
              <a:lumOff val="40000"/>
            </a:schemeClr>
          </a:solidFill>
          <a:ln>
            <a:noFill/>
          </a:ln>
          <a:effectLst/>
        </c:spPr>
        <c:dLbl>
          <c:idx val="0"/>
          <c:layout>
            <c:manualLayout>
              <c:x val="-0.11303348854304045"/>
              <c:y val="0.190550782741504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4832518485310337"/>
                  <c:h val="0.15135500190912562"/>
                </c:manualLayout>
              </c15:layout>
            </c:ext>
          </c:extLst>
        </c:dLbl>
      </c:pivotFmt>
      <c:pivotFmt>
        <c:idx val="62"/>
        <c:spPr>
          <a:solidFill>
            <a:schemeClr val="accent5">
              <a:lumMod val="20000"/>
              <a:lumOff val="80000"/>
            </a:schemeClr>
          </a:solidFill>
          <a:ln>
            <a:noFill/>
          </a:ln>
          <a:effectLst/>
        </c:spPr>
        <c:dLbl>
          <c:idx val="0"/>
          <c:layout>
            <c:manualLayout>
              <c:x val="-0.16746617125599936"/>
              <c:y val="-0.111315864833906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6624349359050098"/>
                  <c:h val="0.15135500190912562"/>
                </c:manualLayout>
              </c15:layout>
            </c:ext>
          </c:extLst>
        </c:dLbl>
      </c:pivotFmt>
      <c:pivotFmt>
        <c:idx val="63"/>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4"/>
        <c:spPr>
          <a:solidFill>
            <a:schemeClr val="accent5">
              <a:lumMod val="75000"/>
            </a:schemeClr>
          </a:solidFill>
          <a:ln>
            <a:noFill/>
          </a:ln>
          <a:effectLst/>
        </c:spPr>
        <c:dLbl>
          <c:idx val="0"/>
          <c:layout>
            <c:manualLayout>
              <c:x val="0.19086526031457918"/>
              <c:y val="-0.1575634784268804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4274828761989484"/>
                  <c:h val="0.12710910652920962"/>
                </c:manualLayout>
              </c15:layout>
            </c:ext>
          </c:extLst>
        </c:dLbl>
      </c:pivotFmt>
      <c:pivotFmt>
        <c:idx val="65"/>
        <c:spPr>
          <a:solidFill>
            <a:schemeClr val="accent5">
              <a:lumMod val="50000"/>
            </a:schemeClr>
          </a:solidFill>
          <a:ln>
            <a:noFill/>
          </a:ln>
          <a:effectLst/>
        </c:spPr>
        <c:dLbl>
          <c:idx val="0"/>
          <c:layout>
            <c:manualLayout>
              <c:x val="0.30587399549008865"/>
              <c:y val="5.985514509354693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80495603488991"/>
                  <c:h val="0.11711340206185565"/>
                </c:manualLayout>
              </c15:layout>
            </c:ext>
          </c:extLst>
        </c:dLbl>
      </c:pivotFmt>
      <c:pivotFmt>
        <c:idx val="66"/>
        <c:spPr>
          <a:solidFill>
            <a:schemeClr val="accent5">
              <a:lumMod val="60000"/>
              <a:lumOff val="40000"/>
            </a:schemeClr>
          </a:solidFill>
          <a:ln>
            <a:noFill/>
          </a:ln>
          <a:effectLst/>
        </c:spPr>
        <c:dLbl>
          <c:idx val="0"/>
          <c:layout>
            <c:manualLayout>
              <c:x val="-0.11303348854304045"/>
              <c:y val="0.190550782741504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4832518485310337"/>
                  <c:h val="0.15135500190912562"/>
                </c:manualLayout>
              </c15:layout>
            </c:ext>
          </c:extLst>
        </c:dLbl>
      </c:pivotFmt>
      <c:pivotFmt>
        <c:idx val="67"/>
        <c:spPr>
          <a:solidFill>
            <a:schemeClr val="accent5">
              <a:lumMod val="20000"/>
              <a:lumOff val="80000"/>
            </a:schemeClr>
          </a:solidFill>
          <a:ln>
            <a:noFill/>
          </a:ln>
          <a:effectLst/>
        </c:spPr>
        <c:dLbl>
          <c:idx val="0"/>
          <c:layout>
            <c:manualLayout>
              <c:x val="-0.16746617125599936"/>
              <c:y val="-0.111315864833906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6624349359050098"/>
                  <c:h val="0.15135500190912562"/>
                </c:manualLayout>
              </c15:layout>
            </c:ext>
          </c:extLst>
        </c:dLbl>
      </c:pivotFmt>
      <c:pivotFmt>
        <c:idx val="68"/>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9"/>
        <c:spPr>
          <a:solidFill>
            <a:schemeClr val="accent5">
              <a:lumMod val="75000"/>
            </a:schemeClr>
          </a:solidFill>
          <a:ln>
            <a:noFill/>
          </a:ln>
          <a:effectLst/>
        </c:spPr>
        <c:dLbl>
          <c:idx val="0"/>
          <c:layout>
            <c:manualLayout>
              <c:x val="0.19086526031457918"/>
              <c:y val="-0.1575634784268804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4274828761989484"/>
                  <c:h val="0.12710910652920962"/>
                </c:manualLayout>
              </c15:layout>
            </c:ext>
          </c:extLst>
        </c:dLbl>
      </c:pivotFmt>
      <c:pivotFmt>
        <c:idx val="70"/>
        <c:spPr>
          <a:solidFill>
            <a:schemeClr val="accent5">
              <a:lumMod val="50000"/>
            </a:schemeClr>
          </a:solidFill>
          <a:ln>
            <a:noFill/>
          </a:ln>
          <a:effectLst/>
        </c:spPr>
        <c:dLbl>
          <c:idx val="0"/>
          <c:layout>
            <c:manualLayout>
              <c:x val="0.30587399549008865"/>
              <c:y val="5.985514509354693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80495603488991"/>
                  <c:h val="0.11711340206185565"/>
                </c:manualLayout>
              </c15:layout>
            </c:ext>
          </c:extLst>
        </c:dLbl>
      </c:pivotFmt>
      <c:pivotFmt>
        <c:idx val="71"/>
        <c:spPr>
          <a:solidFill>
            <a:schemeClr val="accent5">
              <a:lumMod val="60000"/>
              <a:lumOff val="40000"/>
            </a:schemeClr>
          </a:solidFill>
          <a:ln>
            <a:noFill/>
          </a:ln>
          <a:effectLst/>
        </c:spPr>
        <c:dLbl>
          <c:idx val="0"/>
          <c:layout>
            <c:manualLayout>
              <c:x val="-0.11303348854304045"/>
              <c:y val="0.190550782741504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4832518485310337"/>
                  <c:h val="0.15135500190912562"/>
                </c:manualLayout>
              </c15:layout>
            </c:ext>
          </c:extLst>
        </c:dLbl>
      </c:pivotFmt>
      <c:pivotFmt>
        <c:idx val="72"/>
        <c:spPr>
          <a:solidFill>
            <a:schemeClr val="accent5">
              <a:lumMod val="20000"/>
              <a:lumOff val="80000"/>
            </a:schemeClr>
          </a:solidFill>
          <a:ln>
            <a:noFill/>
          </a:ln>
          <a:effectLst/>
        </c:spPr>
        <c:dLbl>
          <c:idx val="0"/>
          <c:layout>
            <c:manualLayout>
              <c:x val="-0.16746617125599936"/>
              <c:y val="-0.111315864833906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6624349359050098"/>
                  <c:h val="0.15135500190912562"/>
                </c:manualLayout>
              </c15:layout>
            </c:ext>
          </c:extLst>
        </c:dLbl>
      </c:pivotFmt>
    </c:pivotFmts>
    <c:plotArea>
      <c:layout/>
      <c:doughnutChart>
        <c:varyColors val="1"/>
        <c:ser>
          <c:idx val="0"/>
          <c:order val="0"/>
          <c:tx>
            <c:strRef>
              <c:f>'SALES BY REGION'!$B$3</c:f>
              <c:strCache>
                <c:ptCount val="1"/>
                <c:pt idx="0">
                  <c:v>Total</c:v>
                </c:pt>
              </c:strCache>
            </c:strRef>
          </c:tx>
          <c:spPr>
            <a:ln>
              <a:solidFill>
                <a:schemeClr val="accent5">
                  <a:lumMod val="50000"/>
                </a:schemeClr>
              </a:solidFill>
            </a:ln>
          </c:spPr>
          <c:dPt>
            <c:idx val="0"/>
            <c:bubble3D val="0"/>
            <c:spPr>
              <a:solidFill>
                <a:schemeClr val="accent5">
                  <a:lumMod val="75000"/>
                </a:schemeClr>
              </a:solidFill>
              <a:ln>
                <a:noFill/>
              </a:ln>
              <a:effectLst/>
            </c:spPr>
            <c:extLst>
              <c:ext xmlns:c16="http://schemas.microsoft.com/office/drawing/2014/chart" uri="{C3380CC4-5D6E-409C-BE32-E72D297353CC}">
                <c16:uniqueId val="{00000001-4F94-4F50-B70A-08D0CF467CFB}"/>
              </c:ext>
            </c:extLst>
          </c:dPt>
          <c:dPt>
            <c:idx val="1"/>
            <c:bubble3D val="0"/>
            <c:spPr>
              <a:solidFill>
                <a:schemeClr val="accent5">
                  <a:lumMod val="50000"/>
                </a:schemeClr>
              </a:solidFill>
              <a:ln>
                <a:noFill/>
              </a:ln>
              <a:effectLst/>
            </c:spPr>
            <c:extLst>
              <c:ext xmlns:c16="http://schemas.microsoft.com/office/drawing/2014/chart" uri="{C3380CC4-5D6E-409C-BE32-E72D297353CC}">
                <c16:uniqueId val="{00000003-4F94-4F50-B70A-08D0CF467CFB}"/>
              </c:ext>
            </c:extLst>
          </c:dPt>
          <c:dPt>
            <c:idx val="2"/>
            <c:bubble3D val="0"/>
            <c:spPr>
              <a:solidFill>
                <a:schemeClr val="accent5">
                  <a:lumMod val="60000"/>
                  <a:lumOff val="40000"/>
                </a:schemeClr>
              </a:solidFill>
              <a:ln>
                <a:noFill/>
              </a:ln>
              <a:effectLst/>
            </c:spPr>
            <c:extLst>
              <c:ext xmlns:c16="http://schemas.microsoft.com/office/drawing/2014/chart" uri="{C3380CC4-5D6E-409C-BE32-E72D297353CC}">
                <c16:uniqueId val="{00000005-4F94-4F50-B70A-08D0CF467CFB}"/>
              </c:ext>
            </c:extLst>
          </c:dPt>
          <c:dPt>
            <c:idx val="3"/>
            <c:bubble3D val="0"/>
            <c:spPr>
              <a:solidFill>
                <a:schemeClr val="accent5">
                  <a:lumMod val="20000"/>
                  <a:lumOff val="80000"/>
                </a:schemeClr>
              </a:solidFill>
              <a:ln>
                <a:noFill/>
              </a:ln>
              <a:effectLst/>
            </c:spPr>
            <c:extLst>
              <c:ext xmlns:c16="http://schemas.microsoft.com/office/drawing/2014/chart" uri="{C3380CC4-5D6E-409C-BE32-E72D297353CC}">
                <c16:uniqueId val="{00000007-4F94-4F50-B70A-08D0CF467CFB}"/>
              </c:ext>
            </c:extLst>
          </c:dPt>
          <c:dPt>
            <c:idx val="4"/>
            <c:bubble3D val="0"/>
            <c:spPr>
              <a:solidFill>
                <a:schemeClr val="accent6">
                  <a:shade val="58000"/>
                </a:schemeClr>
              </a:solidFill>
              <a:ln>
                <a:solidFill>
                  <a:schemeClr val="accent5">
                    <a:lumMod val="50000"/>
                  </a:schemeClr>
                </a:solidFill>
              </a:ln>
              <a:effectLst/>
            </c:spPr>
            <c:extLst>
              <c:ext xmlns:c16="http://schemas.microsoft.com/office/drawing/2014/chart" uri="{C3380CC4-5D6E-409C-BE32-E72D297353CC}">
                <c16:uniqueId val="{00000009-4F94-4F50-B70A-08D0CF467CFB}"/>
              </c:ext>
            </c:extLst>
          </c:dPt>
          <c:dPt>
            <c:idx val="5"/>
            <c:bubble3D val="0"/>
            <c:spPr>
              <a:solidFill>
                <a:schemeClr val="accent6">
                  <a:shade val="58000"/>
                </a:schemeClr>
              </a:solidFill>
              <a:ln>
                <a:solidFill>
                  <a:schemeClr val="accent5">
                    <a:lumMod val="50000"/>
                  </a:schemeClr>
                </a:solidFill>
              </a:ln>
              <a:effectLst/>
            </c:spPr>
            <c:extLst>
              <c:ext xmlns:c16="http://schemas.microsoft.com/office/drawing/2014/chart" uri="{C3380CC4-5D6E-409C-BE32-E72D297353CC}">
                <c16:uniqueId val="{0000000B-4F94-4F50-B70A-08D0CF467CFB}"/>
              </c:ext>
            </c:extLst>
          </c:dPt>
          <c:dPt>
            <c:idx val="6"/>
            <c:bubble3D val="0"/>
            <c:spPr>
              <a:solidFill>
                <a:schemeClr val="accent6">
                  <a:shade val="58000"/>
                </a:schemeClr>
              </a:solidFill>
              <a:ln>
                <a:solidFill>
                  <a:schemeClr val="accent5">
                    <a:lumMod val="50000"/>
                  </a:schemeClr>
                </a:solidFill>
              </a:ln>
              <a:effectLst/>
            </c:spPr>
            <c:extLst>
              <c:ext xmlns:c16="http://schemas.microsoft.com/office/drawing/2014/chart" uri="{C3380CC4-5D6E-409C-BE32-E72D297353CC}">
                <c16:uniqueId val="{0000000D-4F94-4F50-B70A-08D0CF467CFB}"/>
              </c:ext>
            </c:extLst>
          </c:dPt>
          <c:dPt>
            <c:idx val="7"/>
            <c:bubble3D val="0"/>
            <c:spPr>
              <a:solidFill>
                <a:schemeClr val="accent6">
                  <a:shade val="58000"/>
                </a:schemeClr>
              </a:solidFill>
              <a:ln>
                <a:solidFill>
                  <a:schemeClr val="accent5">
                    <a:lumMod val="50000"/>
                  </a:schemeClr>
                </a:solidFill>
              </a:ln>
              <a:effectLst/>
            </c:spPr>
            <c:extLst>
              <c:ext xmlns:c16="http://schemas.microsoft.com/office/drawing/2014/chart" uri="{C3380CC4-5D6E-409C-BE32-E72D297353CC}">
                <c16:uniqueId val="{0000000F-4F94-4F50-B70A-08D0CF467CFB}"/>
              </c:ext>
            </c:extLst>
          </c:dPt>
          <c:dPt>
            <c:idx val="8"/>
            <c:bubble3D val="0"/>
            <c:spPr>
              <a:solidFill>
                <a:schemeClr val="accent6">
                  <a:shade val="58000"/>
                </a:schemeClr>
              </a:solidFill>
              <a:ln>
                <a:solidFill>
                  <a:schemeClr val="accent5">
                    <a:lumMod val="50000"/>
                  </a:schemeClr>
                </a:solidFill>
              </a:ln>
              <a:effectLst/>
            </c:spPr>
            <c:extLst>
              <c:ext xmlns:c16="http://schemas.microsoft.com/office/drawing/2014/chart" uri="{C3380CC4-5D6E-409C-BE32-E72D297353CC}">
                <c16:uniqueId val="{00000011-4F94-4F50-B70A-08D0CF467CFB}"/>
              </c:ext>
            </c:extLst>
          </c:dPt>
          <c:dPt>
            <c:idx val="9"/>
            <c:bubble3D val="0"/>
            <c:spPr>
              <a:solidFill>
                <a:schemeClr val="accent6">
                  <a:shade val="58000"/>
                </a:schemeClr>
              </a:solidFill>
              <a:ln>
                <a:solidFill>
                  <a:schemeClr val="accent5">
                    <a:lumMod val="50000"/>
                  </a:schemeClr>
                </a:solidFill>
              </a:ln>
              <a:effectLst/>
            </c:spPr>
            <c:extLst>
              <c:ext xmlns:c16="http://schemas.microsoft.com/office/drawing/2014/chart" uri="{C3380CC4-5D6E-409C-BE32-E72D297353CC}">
                <c16:uniqueId val="{00000013-4F94-4F50-B70A-08D0CF467CFB}"/>
              </c:ext>
            </c:extLst>
          </c:dPt>
          <c:dLbls>
            <c:dLbl>
              <c:idx val="0"/>
              <c:layout>
                <c:manualLayout>
                  <c:x val="0.19086526031457918"/>
                  <c:y val="-0.1575634784268804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4274828761989484"/>
                      <c:h val="0.12710910652920962"/>
                    </c:manualLayout>
                  </c15:layout>
                </c:ext>
                <c:ext xmlns:c16="http://schemas.microsoft.com/office/drawing/2014/chart" uri="{C3380CC4-5D6E-409C-BE32-E72D297353CC}">
                  <c16:uniqueId val="{00000001-4F94-4F50-B70A-08D0CF467CFB}"/>
                </c:ext>
              </c:extLst>
            </c:dLbl>
            <c:dLbl>
              <c:idx val="1"/>
              <c:layout>
                <c:manualLayout>
                  <c:x val="0.30587399549008865"/>
                  <c:y val="5.985514509354693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280495603488991"/>
                      <c:h val="0.11711340206185565"/>
                    </c:manualLayout>
                  </c15:layout>
                </c:ext>
                <c:ext xmlns:c16="http://schemas.microsoft.com/office/drawing/2014/chart" uri="{C3380CC4-5D6E-409C-BE32-E72D297353CC}">
                  <c16:uniqueId val="{00000003-4F94-4F50-B70A-08D0CF467CFB}"/>
                </c:ext>
              </c:extLst>
            </c:dLbl>
            <c:dLbl>
              <c:idx val="2"/>
              <c:layout>
                <c:manualLayout>
                  <c:x val="-0.11303348854304045"/>
                  <c:y val="0.19055078274150428"/>
                </c:manualLayout>
              </c:layout>
              <c:showLegendKey val="0"/>
              <c:showVal val="1"/>
              <c:showCatName val="0"/>
              <c:showSerName val="0"/>
              <c:showPercent val="0"/>
              <c:showBubbleSize val="0"/>
              <c:extLst>
                <c:ext xmlns:c15="http://schemas.microsoft.com/office/drawing/2012/chart" uri="{CE6537A1-D6FC-4f65-9D91-7224C49458BB}">
                  <c15:layout>
                    <c:manualLayout>
                      <c:w val="0.24832518485310337"/>
                      <c:h val="0.15135500190912562"/>
                    </c:manualLayout>
                  </c15:layout>
                </c:ext>
                <c:ext xmlns:c16="http://schemas.microsoft.com/office/drawing/2014/chart" uri="{C3380CC4-5D6E-409C-BE32-E72D297353CC}">
                  <c16:uniqueId val="{00000005-4F94-4F50-B70A-08D0CF467CFB}"/>
                </c:ext>
              </c:extLst>
            </c:dLbl>
            <c:dLbl>
              <c:idx val="3"/>
              <c:layout>
                <c:manualLayout>
                  <c:x val="-0.16746617125599936"/>
                  <c:y val="-0.11131586483390607"/>
                </c:manualLayout>
              </c:layout>
              <c:showLegendKey val="0"/>
              <c:showVal val="1"/>
              <c:showCatName val="0"/>
              <c:showSerName val="0"/>
              <c:showPercent val="0"/>
              <c:showBubbleSize val="0"/>
              <c:extLst>
                <c:ext xmlns:c15="http://schemas.microsoft.com/office/drawing/2012/chart" uri="{CE6537A1-D6FC-4f65-9D91-7224C49458BB}">
                  <c15:layout>
                    <c:manualLayout>
                      <c:w val="0.26624349359050098"/>
                      <c:h val="0.15135500190912562"/>
                    </c:manualLayout>
                  </c15:layout>
                </c:ext>
                <c:ext xmlns:c16="http://schemas.microsoft.com/office/drawing/2014/chart" uri="{C3380CC4-5D6E-409C-BE32-E72D297353CC}">
                  <c16:uniqueId val="{00000007-4F94-4F50-B70A-08D0CF467CF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'SALES BY REGION'!$A$4:$A$8</c:f>
              <c:strCache>
                <c:ptCount val="4"/>
                <c:pt idx="0">
                  <c:v>North</c:v>
                </c:pt>
                <c:pt idx="1">
                  <c:v>East</c:v>
                </c:pt>
                <c:pt idx="2">
                  <c:v>South</c:v>
                </c:pt>
                <c:pt idx="3">
                  <c:v>West</c:v>
                </c:pt>
              </c:strCache>
            </c:strRef>
          </c:cat>
          <c:val>
            <c:numRef>
              <c:f>'SALES BY REGION'!$B$4:$B$8</c:f>
              <c:numCache>
                <c:formatCode>[$$-409]#,##0.00</c:formatCode>
                <c:ptCount val="4"/>
                <c:pt idx="0">
                  <c:v>141660.33999999997</c:v>
                </c:pt>
                <c:pt idx="1">
                  <c:v>108275.51</c:v>
                </c:pt>
                <c:pt idx="2">
                  <c:v>93848.329999999987</c:v>
                </c:pt>
                <c:pt idx="3">
                  <c:v>91251.979999999981</c:v>
                </c:pt>
              </c:numCache>
            </c:numRef>
          </c:val>
          <c:extLst>
            <c:ext xmlns:c16="http://schemas.microsoft.com/office/drawing/2014/chart" uri="{C3380CC4-5D6E-409C-BE32-E72D297353CC}">
              <c16:uniqueId val="{00000014-4F94-4F50-B70A-08D0CF467CFB}"/>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8"/>
    </mc:Choice>
    <mc:Fallback>
      <c:style val="8"/>
    </mc:Fallback>
  </mc:AlternateContent>
  <c:pivotSource>
    <c:name>[Subway performance analysis by Enem sophia.xlsx]SALES TREND REPORT!PivotTable1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Arial" panose="020B0604020202020204" pitchFamily="34" charset="0"/>
                <a:cs typeface="Arial" panose="020B0604020202020204" pitchFamily="34" charset="0"/>
              </a:rPr>
              <a:t>Sales Trend</a:t>
            </a:r>
            <a:r>
              <a:rPr lang="en-US" sz="1600" baseline="0">
                <a:latin typeface="Arial" panose="020B0604020202020204" pitchFamily="34" charset="0"/>
                <a:cs typeface="Arial" panose="020B0604020202020204" pitchFamily="34" charset="0"/>
              </a:rPr>
              <a:t> Report</a:t>
            </a:r>
            <a:endParaRPr lang="en-US" sz="1600">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c:spPr>
      </c:pivotFmt>
      <c:pivotFmt>
        <c:idx val="3"/>
        <c:spPr>
          <a:solidFill>
            <a:schemeClr val="accent6">
              <a:lumMod val="75000"/>
            </a:schemeClr>
          </a:solidFill>
          <a:ln>
            <a:noFill/>
          </a:ln>
          <a:effectLst/>
        </c:spPr>
      </c:pivotFmt>
      <c:pivotFmt>
        <c:idx val="4"/>
        <c:spPr>
          <a:solidFill>
            <a:schemeClr val="accent6">
              <a:lumMod val="60000"/>
              <a:lumOff val="40000"/>
            </a:schemeClr>
          </a:solidFill>
          <a:ln>
            <a:noFill/>
          </a:ln>
          <a:effectLst/>
        </c:spPr>
      </c:pivotFmt>
      <c:pivotFmt>
        <c:idx val="5"/>
        <c:spPr>
          <a:solidFill>
            <a:schemeClr val="accent6">
              <a:lumMod val="60000"/>
              <a:lumOff val="40000"/>
            </a:schemeClr>
          </a:solidFill>
          <a:ln>
            <a:noFill/>
          </a:ln>
          <a:effectLst/>
        </c:spPr>
      </c:pivotFmt>
      <c:pivotFmt>
        <c:idx val="6"/>
        <c:spPr>
          <a:solidFill>
            <a:schemeClr val="accent6">
              <a:lumMod val="60000"/>
              <a:lumOff val="40000"/>
            </a:schemeClr>
          </a:solidFill>
          <a:ln>
            <a:noFill/>
          </a:ln>
          <a:effectLst/>
        </c:spPr>
      </c:pivotFmt>
      <c:pivotFmt>
        <c:idx val="7"/>
        <c:spPr>
          <a:solidFill>
            <a:schemeClr val="accent6">
              <a:lumMod val="40000"/>
              <a:lumOff val="60000"/>
            </a:schemeClr>
          </a:solidFill>
          <a:ln>
            <a:noFill/>
          </a:ln>
          <a:effectLst/>
        </c:spPr>
      </c:pivotFmt>
      <c:pivotFmt>
        <c:idx val="8"/>
        <c:spPr>
          <a:solidFill>
            <a:schemeClr val="accent6">
              <a:lumMod val="20000"/>
              <a:lumOff val="80000"/>
            </a:schemeClr>
          </a:solidFill>
          <a:ln>
            <a:noFill/>
          </a:ln>
          <a:effectLst/>
        </c:spPr>
      </c:pivotFmt>
      <c:pivotFmt>
        <c:idx val="9"/>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6">
              <a:lumMod val="75000"/>
            </a:schemeClr>
          </a:solidFill>
          <a:ln>
            <a:noFill/>
          </a:ln>
          <a:effectLst/>
        </c:spPr>
      </c:pivotFmt>
      <c:pivotFmt>
        <c:idx val="12"/>
        <c:spPr>
          <a:solidFill>
            <a:schemeClr val="accent6">
              <a:lumMod val="75000"/>
            </a:schemeClr>
          </a:solidFill>
          <a:ln>
            <a:noFill/>
          </a:ln>
          <a:effectLst/>
        </c:spPr>
      </c:pivotFmt>
      <c:pivotFmt>
        <c:idx val="13"/>
        <c:spPr>
          <a:solidFill>
            <a:schemeClr val="accent6">
              <a:lumMod val="60000"/>
              <a:lumOff val="40000"/>
            </a:schemeClr>
          </a:solidFill>
          <a:ln>
            <a:noFill/>
          </a:ln>
          <a:effectLst/>
        </c:spPr>
      </c:pivotFmt>
      <c:pivotFmt>
        <c:idx val="14"/>
        <c:spPr>
          <a:solidFill>
            <a:schemeClr val="accent6">
              <a:lumMod val="60000"/>
              <a:lumOff val="40000"/>
            </a:schemeClr>
          </a:solidFill>
          <a:ln>
            <a:noFill/>
          </a:ln>
          <a:effectLst/>
        </c:spPr>
      </c:pivotFmt>
      <c:pivotFmt>
        <c:idx val="15"/>
        <c:spPr>
          <a:solidFill>
            <a:schemeClr val="accent6">
              <a:lumMod val="60000"/>
              <a:lumOff val="40000"/>
            </a:schemeClr>
          </a:solidFill>
          <a:ln>
            <a:noFill/>
          </a:ln>
          <a:effectLst/>
        </c:spPr>
      </c:pivotFmt>
      <c:pivotFmt>
        <c:idx val="16"/>
        <c:spPr>
          <a:solidFill>
            <a:schemeClr val="accent6">
              <a:lumMod val="40000"/>
              <a:lumOff val="60000"/>
            </a:schemeClr>
          </a:solidFill>
          <a:ln>
            <a:noFill/>
          </a:ln>
          <a:effectLst/>
        </c:spPr>
      </c:pivotFmt>
      <c:pivotFmt>
        <c:idx val="17"/>
        <c:spPr>
          <a:solidFill>
            <a:schemeClr val="accent6">
              <a:lumMod val="20000"/>
              <a:lumOff val="80000"/>
            </a:schemeClr>
          </a:solidFill>
          <a:ln>
            <a:noFill/>
          </a:ln>
          <a:effectLst/>
        </c:spPr>
      </c:pivotFmt>
      <c:pivotFmt>
        <c:idx val="18"/>
        <c:spPr>
          <a:solidFill>
            <a:schemeClr val="accent5">
              <a:lumMod val="50000"/>
            </a:schemeClr>
          </a:solidFill>
          <a:ln>
            <a:noFill/>
          </a:ln>
          <a:effectLst/>
        </c:spPr>
      </c:pivotFmt>
      <c:pivotFmt>
        <c:idx val="19"/>
        <c:spPr>
          <a:solidFill>
            <a:schemeClr val="accent5">
              <a:lumMod val="75000"/>
            </a:schemeClr>
          </a:solidFill>
          <a:ln>
            <a:noFill/>
          </a:ln>
          <a:effectLst/>
        </c:spPr>
      </c:pivotFmt>
      <c:pivotFmt>
        <c:idx val="20"/>
        <c:spPr>
          <a:solidFill>
            <a:schemeClr val="accent5">
              <a:lumMod val="75000"/>
            </a:schemeClr>
          </a:solidFill>
          <a:ln>
            <a:noFill/>
          </a:ln>
          <a:effectLst/>
        </c:spPr>
      </c:pivotFmt>
      <c:pivotFmt>
        <c:idx val="21"/>
        <c:spPr>
          <a:solidFill>
            <a:schemeClr val="accent5">
              <a:lumMod val="75000"/>
            </a:schemeClr>
          </a:solidFill>
          <a:ln>
            <a:noFill/>
          </a:ln>
          <a:effectLst/>
        </c:spPr>
      </c:pivotFmt>
      <c:pivotFmt>
        <c:idx val="22"/>
        <c:spPr>
          <a:solidFill>
            <a:schemeClr val="accent5">
              <a:lumMod val="60000"/>
              <a:lumOff val="40000"/>
            </a:schemeClr>
          </a:solidFill>
          <a:ln>
            <a:noFill/>
          </a:ln>
          <a:effectLst/>
        </c:spPr>
      </c:pivotFmt>
      <c:pivotFmt>
        <c:idx val="23"/>
        <c:spPr>
          <a:solidFill>
            <a:schemeClr val="accent5">
              <a:lumMod val="60000"/>
              <a:lumOff val="40000"/>
            </a:schemeClr>
          </a:solidFill>
          <a:ln>
            <a:noFill/>
          </a:ln>
          <a:effectLst/>
        </c:spPr>
      </c:pivotFmt>
      <c:pivotFmt>
        <c:idx val="24"/>
        <c:spPr>
          <a:solidFill>
            <a:schemeClr val="accent5">
              <a:lumMod val="60000"/>
              <a:lumOff val="40000"/>
            </a:schemeClr>
          </a:solidFill>
          <a:ln>
            <a:noFill/>
          </a:ln>
          <a:effectLst/>
        </c:spPr>
      </c:pivotFmt>
      <c:pivotFmt>
        <c:idx val="25"/>
        <c:spPr>
          <a:solidFill>
            <a:schemeClr val="accent1">
              <a:lumMod val="60000"/>
              <a:lumOff val="40000"/>
            </a:schemeClr>
          </a:solidFill>
          <a:ln>
            <a:noFill/>
          </a:ln>
          <a:effectLst/>
        </c:spPr>
      </c:pivotFmt>
      <c:pivotFmt>
        <c:idx val="26"/>
        <c:spPr>
          <a:solidFill>
            <a:schemeClr val="accent5">
              <a:lumMod val="20000"/>
              <a:lumOff val="80000"/>
            </a:schemeClr>
          </a:solidFill>
          <a:ln>
            <a:noFill/>
          </a:ln>
          <a:effectLst/>
        </c:spPr>
      </c:pivotFmt>
      <c:pivotFmt>
        <c:idx val="27"/>
        <c:spPr>
          <a:solidFill>
            <a:schemeClr val="accent5">
              <a:lumMod val="20000"/>
              <a:lumOff val="80000"/>
            </a:schemeClr>
          </a:solidFill>
          <a:ln>
            <a:noFill/>
          </a:ln>
          <a:effectLst/>
        </c:spPr>
      </c:pivotFmt>
      <c:pivotFmt>
        <c:idx val="28"/>
        <c:spPr>
          <a:solidFill>
            <a:schemeClr val="accent6"/>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5">
              <a:lumMod val="75000"/>
            </a:schemeClr>
          </a:solidFill>
          <a:ln>
            <a:noFill/>
          </a:ln>
          <a:effectLst/>
        </c:spPr>
      </c:pivotFmt>
      <c:pivotFmt>
        <c:idx val="30"/>
        <c:spPr>
          <a:solidFill>
            <a:schemeClr val="accent5">
              <a:lumMod val="75000"/>
            </a:schemeClr>
          </a:solidFill>
          <a:ln>
            <a:noFill/>
          </a:ln>
          <a:effectLst/>
        </c:spPr>
      </c:pivotFmt>
      <c:pivotFmt>
        <c:idx val="31"/>
        <c:spPr>
          <a:solidFill>
            <a:schemeClr val="accent5">
              <a:lumMod val="75000"/>
            </a:schemeClr>
          </a:solidFill>
          <a:ln>
            <a:noFill/>
          </a:ln>
          <a:effectLst/>
        </c:spPr>
      </c:pivotFmt>
      <c:pivotFmt>
        <c:idx val="32"/>
        <c:spPr>
          <a:solidFill>
            <a:schemeClr val="accent5">
              <a:lumMod val="60000"/>
              <a:lumOff val="40000"/>
            </a:schemeClr>
          </a:solidFill>
          <a:ln>
            <a:noFill/>
          </a:ln>
          <a:effectLst/>
        </c:spPr>
      </c:pivotFmt>
      <c:pivotFmt>
        <c:idx val="33"/>
        <c:spPr>
          <a:solidFill>
            <a:schemeClr val="accent5">
              <a:lumMod val="60000"/>
              <a:lumOff val="40000"/>
            </a:schemeClr>
          </a:solidFill>
          <a:ln>
            <a:noFill/>
          </a:ln>
          <a:effectLst/>
        </c:spPr>
      </c:pivotFmt>
      <c:pivotFmt>
        <c:idx val="34"/>
        <c:spPr>
          <a:solidFill>
            <a:schemeClr val="accent5">
              <a:lumMod val="60000"/>
              <a:lumOff val="40000"/>
            </a:schemeClr>
          </a:solidFill>
          <a:ln>
            <a:noFill/>
          </a:ln>
          <a:effectLst/>
        </c:spPr>
      </c:pivotFmt>
      <c:pivotFmt>
        <c:idx val="35"/>
        <c:spPr>
          <a:solidFill>
            <a:schemeClr val="accent1">
              <a:lumMod val="60000"/>
              <a:lumOff val="40000"/>
            </a:schemeClr>
          </a:solidFill>
          <a:ln>
            <a:noFill/>
          </a:ln>
          <a:effectLst/>
        </c:spPr>
      </c:pivotFmt>
      <c:pivotFmt>
        <c:idx val="36"/>
        <c:spPr>
          <a:solidFill>
            <a:schemeClr val="accent5">
              <a:lumMod val="20000"/>
              <a:lumOff val="80000"/>
            </a:schemeClr>
          </a:solidFill>
          <a:ln>
            <a:noFill/>
          </a:ln>
          <a:effectLst/>
        </c:spPr>
      </c:pivotFmt>
      <c:pivotFmt>
        <c:idx val="37"/>
        <c:spPr>
          <a:solidFill>
            <a:schemeClr val="accent5">
              <a:lumMod val="20000"/>
              <a:lumOff val="80000"/>
            </a:schemeClr>
          </a:solidFill>
          <a:ln>
            <a:noFill/>
          </a:ln>
          <a:effectLst/>
        </c:spPr>
      </c:pivotFmt>
      <c:pivotFmt>
        <c:idx val="38"/>
        <c:spPr>
          <a:solidFill>
            <a:schemeClr val="accent6"/>
          </a:solidFill>
          <a:ln w="28575" cap="rnd">
            <a:solidFill>
              <a:schemeClr val="accent5">
                <a:lumMod val="50000"/>
              </a:schemeClr>
            </a:solidFill>
            <a:round/>
          </a:ln>
          <a:effectLst/>
        </c:spPr>
        <c:marker>
          <c:symbol val="none"/>
        </c:marker>
      </c:pivotFmt>
      <c:pivotFmt>
        <c:idx val="39"/>
        <c:spPr>
          <a:solidFill>
            <a:schemeClr val="accent6"/>
          </a:solidFill>
          <a:ln w="28575" cap="rnd">
            <a:solidFill>
              <a:schemeClr val="accent5">
                <a:lumMod val="50000"/>
              </a:schemeClr>
            </a:solidFill>
            <a:round/>
          </a:ln>
          <a:effectLst/>
        </c:spPr>
        <c:marker>
          <c:symbol val="none"/>
        </c:marker>
      </c:pivotFmt>
      <c:pivotFmt>
        <c:idx val="40"/>
        <c:spPr>
          <a:solidFill>
            <a:schemeClr val="accent6"/>
          </a:solidFill>
          <a:ln w="28575" cap="rnd">
            <a:solidFill>
              <a:schemeClr val="accent5">
                <a:lumMod val="50000"/>
              </a:schemeClr>
            </a:solidFill>
            <a:round/>
          </a:ln>
          <a:effectLst/>
        </c:spPr>
        <c:marker>
          <c:symbol val="none"/>
        </c:marker>
      </c:pivotFmt>
      <c:pivotFmt>
        <c:idx val="41"/>
        <c:spPr>
          <a:solidFill>
            <a:schemeClr val="accent6"/>
          </a:solidFill>
          <a:ln w="28575" cap="rnd">
            <a:solidFill>
              <a:schemeClr val="accent5">
                <a:lumMod val="50000"/>
              </a:schemeClr>
            </a:solidFill>
            <a:round/>
          </a:ln>
          <a:effectLst/>
        </c:spPr>
        <c:marker>
          <c:symbol val="none"/>
        </c:marker>
      </c:pivotFmt>
      <c:pivotFmt>
        <c:idx val="42"/>
        <c:spPr>
          <a:solidFill>
            <a:schemeClr val="accent6"/>
          </a:solidFill>
          <a:ln w="28575" cap="rnd">
            <a:solidFill>
              <a:schemeClr val="accent5">
                <a:lumMod val="50000"/>
              </a:schemeClr>
            </a:solidFill>
            <a:round/>
          </a:ln>
          <a:effectLst/>
        </c:spPr>
        <c:marker>
          <c:symbol val="none"/>
        </c:marker>
      </c:pivotFmt>
      <c:pivotFmt>
        <c:idx val="43"/>
        <c:spPr>
          <a:solidFill>
            <a:schemeClr val="accent6"/>
          </a:solidFill>
          <a:ln w="28575" cap="rnd">
            <a:solidFill>
              <a:schemeClr val="accent5">
                <a:lumMod val="50000"/>
              </a:schemeClr>
            </a:solidFill>
            <a:round/>
          </a:ln>
          <a:effectLst/>
        </c:spPr>
        <c:marker>
          <c:symbol val="none"/>
        </c:marker>
      </c:pivotFmt>
      <c:pivotFmt>
        <c:idx val="44"/>
        <c:spPr>
          <a:solidFill>
            <a:schemeClr val="accent6"/>
          </a:solidFill>
          <a:ln w="28575" cap="rnd">
            <a:solidFill>
              <a:schemeClr val="accent5">
                <a:lumMod val="50000"/>
              </a:schemeClr>
            </a:solidFill>
            <a:round/>
          </a:ln>
          <a:effectLst/>
        </c:spPr>
        <c:marker>
          <c:symbol val="none"/>
        </c:marker>
      </c:pivotFmt>
      <c:pivotFmt>
        <c:idx val="45"/>
        <c:spPr>
          <a:solidFill>
            <a:schemeClr val="accent6"/>
          </a:solidFill>
          <a:ln w="28575" cap="rnd">
            <a:solidFill>
              <a:schemeClr val="accent5">
                <a:lumMod val="50000"/>
              </a:schemeClr>
            </a:solidFill>
            <a:round/>
          </a:ln>
          <a:effectLst/>
        </c:spPr>
        <c:marker>
          <c:symbol val="none"/>
        </c:marker>
      </c:pivotFmt>
      <c:pivotFmt>
        <c:idx val="46"/>
        <c:spPr>
          <a:solidFill>
            <a:schemeClr val="accent6"/>
          </a:solidFill>
          <a:ln w="28575" cap="rnd">
            <a:solidFill>
              <a:schemeClr val="accent5">
                <a:lumMod val="50000"/>
              </a:schemeClr>
            </a:solidFill>
            <a:round/>
          </a:ln>
          <a:effectLst/>
        </c:spPr>
        <c:marker>
          <c:symbol val="none"/>
        </c:marker>
      </c:pivotFmt>
      <c:pivotFmt>
        <c:idx val="47"/>
        <c:spPr>
          <a:solidFill>
            <a:schemeClr val="accent6"/>
          </a:solidFill>
          <a:ln w="28575" cap="rnd">
            <a:solidFill>
              <a:schemeClr val="accent5">
                <a:lumMod val="50000"/>
              </a:schemeClr>
            </a:solidFill>
            <a:round/>
          </a:ln>
          <a:effectLst/>
        </c:spPr>
        <c:marker>
          <c:symbol val="none"/>
        </c:marker>
      </c:pivotFmt>
      <c:pivotFmt>
        <c:idx val="48"/>
        <c:spPr>
          <a:solidFill>
            <a:schemeClr val="accent6"/>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9"/>
        <c:spPr>
          <a:solidFill>
            <a:schemeClr val="accent6"/>
          </a:solidFill>
          <a:ln w="28575" cap="rnd">
            <a:solidFill>
              <a:schemeClr val="accent5">
                <a:lumMod val="50000"/>
              </a:schemeClr>
            </a:solidFill>
            <a:round/>
          </a:ln>
          <a:effectLst/>
        </c:spPr>
        <c:marker>
          <c:symbol val="none"/>
        </c:marker>
      </c:pivotFmt>
      <c:pivotFmt>
        <c:idx val="50"/>
        <c:spPr>
          <a:solidFill>
            <a:schemeClr val="accent6"/>
          </a:solidFill>
          <a:ln w="28575" cap="rnd">
            <a:solidFill>
              <a:schemeClr val="accent5">
                <a:lumMod val="50000"/>
              </a:schemeClr>
            </a:solidFill>
            <a:round/>
          </a:ln>
          <a:effectLst/>
        </c:spPr>
        <c:marker>
          <c:symbol val="none"/>
        </c:marker>
      </c:pivotFmt>
      <c:pivotFmt>
        <c:idx val="51"/>
        <c:spPr>
          <a:solidFill>
            <a:schemeClr val="accent6"/>
          </a:solidFill>
          <a:ln w="28575" cap="rnd">
            <a:solidFill>
              <a:schemeClr val="accent5">
                <a:lumMod val="50000"/>
              </a:schemeClr>
            </a:solidFill>
            <a:round/>
          </a:ln>
          <a:effectLst/>
        </c:spPr>
        <c:marker>
          <c:symbol val="none"/>
        </c:marker>
      </c:pivotFmt>
      <c:pivotFmt>
        <c:idx val="52"/>
        <c:spPr>
          <a:solidFill>
            <a:schemeClr val="accent6"/>
          </a:solidFill>
          <a:ln w="28575" cap="rnd">
            <a:solidFill>
              <a:schemeClr val="accent5">
                <a:lumMod val="50000"/>
              </a:schemeClr>
            </a:solidFill>
            <a:round/>
          </a:ln>
          <a:effectLst/>
        </c:spPr>
        <c:marker>
          <c:symbol val="none"/>
        </c:marker>
      </c:pivotFmt>
      <c:pivotFmt>
        <c:idx val="53"/>
        <c:spPr>
          <a:solidFill>
            <a:schemeClr val="accent6"/>
          </a:solidFill>
          <a:ln w="28575" cap="rnd">
            <a:solidFill>
              <a:schemeClr val="accent5">
                <a:lumMod val="50000"/>
              </a:schemeClr>
            </a:solidFill>
            <a:round/>
          </a:ln>
          <a:effectLst/>
        </c:spPr>
        <c:marker>
          <c:symbol val="none"/>
        </c:marker>
      </c:pivotFmt>
      <c:pivotFmt>
        <c:idx val="54"/>
        <c:spPr>
          <a:solidFill>
            <a:schemeClr val="accent6"/>
          </a:solidFill>
          <a:ln w="28575" cap="rnd">
            <a:solidFill>
              <a:schemeClr val="accent5">
                <a:lumMod val="50000"/>
              </a:schemeClr>
            </a:solidFill>
            <a:round/>
          </a:ln>
          <a:effectLst/>
        </c:spPr>
        <c:marker>
          <c:symbol val="none"/>
        </c:marker>
      </c:pivotFmt>
      <c:pivotFmt>
        <c:idx val="55"/>
        <c:spPr>
          <a:solidFill>
            <a:schemeClr val="accent6"/>
          </a:solidFill>
          <a:ln w="28575" cap="rnd">
            <a:solidFill>
              <a:schemeClr val="accent5">
                <a:lumMod val="50000"/>
              </a:schemeClr>
            </a:solidFill>
            <a:round/>
          </a:ln>
          <a:effectLst/>
        </c:spPr>
        <c:marker>
          <c:symbol val="none"/>
        </c:marker>
      </c:pivotFmt>
      <c:pivotFmt>
        <c:idx val="56"/>
        <c:spPr>
          <a:solidFill>
            <a:schemeClr val="accent6"/>
          </a:solidFill>
          <a:ln w="28575" cap="rnd">
            <a:solidFill>
              <a:schemeClr val="accent5">
                <a:lumMod val="50000"/>
              </a:schemeClr>
            </a:solidFill>
            <a:round/>
          </a:ln>
          <a:effectLst/>
        </c:spPr>
        <c:marker>
          <c:symbol val="none"/>
        </c:marker>
      </c:pivotFmt>
      <c:pivotFmt>
        <c:idx val="57"/>
        <c:spPr>
          <a:solidFill>
            <a:schemeClr val="accent6"/>
          </a:solidFill>
          <a:ln w="28575" cap="rnd">
            <a:solidFill>
              <a:schemeClr val="accent5">
                <a:lumMod val="50000"/>
              </a:schemeClr>
            </a:solidFill>
            <a:round/>
          </a:ln>
          <a:effectLst/>
        </c:spPr>
        <c:marker>
          <c:symbol val="none"/>
        </c:marker>
      </c:pivotFmt>
      <c:pivotFmt>
        <c:idx val="58"/>
        <c:spPr>
          <a:solidFill>
            <a:schemeClr val="accent6"/>
          </a:solidFill>
          <a:ln w="28575" cap="rnd">
            <a:solidFill>
              <a:schemeClr val="accent5">
                <a:lumMod val="50000"/>
              </a:schemeClr>
            </a:solidFill>
            <a:round/>
          </a:ln>
          <a:effectLst/>
        </c:spPr>
        <c:marker>
          <c:symbol val="none"/>
        </c:marker>
      </c:pivotFmt>
      <c:pivotFmt>
        <c:idx val="59"/>
        <c:spPr>
          <a:solidFill>
            <a:schemeClr val="accent6"/>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0"/>
        <c:spPr>
          <a:solidFill>
            <a:schemeClr val="accent6"/>
          </a:solidFill>
          <a:ln w="28575" cap="rnd">
            <a:solidFill>
              <a:schemeClr val="accent5">
                <a:lumMod val="50000"/>
              </a:schemeClr>
            </a:solidFill>
            <a:round/>
          </a:ln>
          <a:effectLst/>
        </c:spPr>
        <c:marker>
          <c:symbol val="none"/>
        </c:marker>
      </c:pivotFmt>
      <c:pivotFmt>
        <c:idx val="61"/>
        <c:spPr>
          <a:solidFill>
            <a:schemeClr val="accent6"/>
          </a:solidFill>
          <a:ln w="28575" cap="rnd">
            <a:solidFill>
              <a:schemeClr val="accent5">
                <a:lumMod val="50000"/>
              </a:schemeClr>
            </a:solidFill>
            <a:round/>
          </a:ln>
          <a:effectLst/>
        </c:spPr>
        <c:marker>
          <c:symbol val="none"/>
        </c:marker>
      </c:pivotFmt>
      <c:pivotFmt>
        <c:idx val="62"/>
        <c:spPr>
          <a:solidFill>
            <a:schemeClr val="accent6"/>
          </a:solidFill>
          <a:ln w="28575" cap="rnd">
            <a:solidFill>
              <a:schemeClr val="accent5">
                <a:lumMod val="50000"/>
              </a:schemeClr>
            </a:solidFill>
            <a:round/>
          </a:ln>
          <a:effectLst/>
        </c:spPr>
        <c:marker>
          <c:symbol val="none"/>
        </c:marker>
      </c:pivotFmt>
      <c:pivotFmt>
        <c:idx val="63"/>
        <c:spPr>
          <a:solidFill>
            <a:schemeClr val="accent6"/>
          </a:solidFill>
          <a:ln w="28575" cap="rnd">
            <a:solidFill>
              <a:schemeClr val="accent5">
                <a:lumMod val="50000"/>
              </a:schemeClr>
            </a:solidFill>
            <a:round/>
          </a:ln>
          <a:effectLst/>
        </c:spPr>
        <c:marker>
          <c:symbol val="none"/>
        </c:marker>
      </c:pivotFmt>
      <c:pivotFmt>
        <c:idx val="64"/>
        <c:spPr>
          <a:solidFill>
            <a:schemeClr val="accent6"/>
          </a:solidFill>
          <a:ln w="28575" cap="rnd">
            <a:solidFill>
              <a:schemeClr val="accent5">
                <a:lumMod val="50000"/>
              </a:schemeClr>
            </a:solidFill>
            <a:round/>
          </a:ln>
          <a:effectLst/>
        </c:spPr>
        <c:marker>
          <c:symbol val="none"/>
        </c:marker>
      </c:pivotFmt>
      <c:pivotFmt>
        <c:idx val="65"/>
        <c:spPr>
          <a:solidFill>
            <a:schemeClr val="accent6"/>
          </a:solidFill>
          <a:ln w="28575" cap="rnd">
            <a:solidFill>
              <a:schemeClr val="accent5">
                <a:lumMod val="50000"/>
              </a:schemeClr>
            </a:solidFill>
            <a:round/>
          </a:ln>
          <a:effectLst/>
        </c:spPr>
        <c:marker>
          <c:symbol val="none"/>
        </c:marker>
      </c:pivotFmt>
      <c:pivotFmt>
        <c:idx val="66"/>
        <c:spPr>
          <a:solidFill>
            <a:schemeClr val="accent6"/>
          </a:solidFill>
          <a:ln w="28575" cap="rnd">
            <a:solidFill>
              <a:schemeClr val="accent5">
                <a:lumMod val="50000"/>
              </a:schemeClr>
            </a:solidFill>
            <a:round/>
          </a:ln>
          <a:effectLst/>
        </c:spPr>
        <c:marker>
          <c:symbol val="none"/>
        </c:marker>
      </c:pivotFmt>
      <c:pivotFmt>
        <c:idx val="67"/>
        <c:spPr>
          <a:solidFill>
            <a:schemeClr val="accent6"/>
          </a:solidFill>
          <a:ln w="28575" cap="rnd">
            <a:solidFill>
              <a:schemeClr val="accent5">
                <a:lumMod val="50000"/>
              </a:schemeClr>
            </a:solidFill>
            <a:round/>
          </a:ln>
          <a:effectLst/>
        </c:spPr>
        <c:marker>
          <c:symbol val="none"/>
        </c:marker>
      </c:pivotFmt>
      <c:pivotFmt>
        <c:idx val="68"/>
        <c:spPr>
          <a:solidFill>
            <a:schemeClr val="accent6"/>
          </a:solidFill>
          <a:ln w="28575" cap="rnd">
            <a:solidFill>
              <a:schemeClr val="accent5">
                <a:lumMod val="50000"/>
              </a:schemeClr>
            </a:solidFill>
            <a:round/>
          </a:ln>
          <a:effectLst/>
        </c:spPr>
        <c:marker>
          <c:symbol val="none"/>
        </c:marker>
      </c:pivotFmt>
      <c:pivotFmt>
        <c:idx val="69"/>
        <c:spPr>
          <a:solidFill>
            <a:schemeClr val="accent6"/>
          </a:solidFill>
          <a:ln w="28575" cap="rnd">
            <a:solidFill>
              <a:schemeClr val="accent5">
                <a:lumMod val="50000"/>
              </a:schemeClr>
            </a:solidFill>
            <a:round/>
          </a:ln>
          <a:effectLst/>
        </c:spPr>
        <c:marker>
          <c:symbol val="none"/>
        </c:marker>
      </c:pivotFmt>
      <c:pivotFmt>
        <c:idx val="70"/>
        <c:spPr>
          <a:solidFill>
            <a:schemeClr val="accent6"/>
          </a:solidFill>
          <a:ln w="28575" cap="rnd">
            <a:solidFill>
              <a:schemeClr val="accent5">
                <a:lumMod val="50000"/>
              </a:schemeClr>
            </a:solidFill>
            <a:round/>
          </a:ln>
          <a:effectLst/>
        </c:spPr>
        <c:marker>
          <c:symbol val="none"/>
        </c:marker>
      </c:pivotFmt>
      <c:pivotFmt>
        <c:idx val="71"/>
        <c:spPr>
          <a:solidFill>
            <a:schemeClr val="accent6"/>
          </a:solidFill>
          <a:ln w="28575" cap="rnd">
            <a:solidFill>
              <a:schemeClr val="accent5">
                <a:lumMod val="50000"/>
              </a:schemeClr>
            </a:solidFill>
            <a:round/>
          </a:ln>
          <a:effectLst/>
        </c:spPr>
        <c:marker>
          <c:symbol val="none"/>
        </c:marker>
      </c:pivotFmt>
      <c:pivotFmt>
        <c:idx val="72"/>
        <c:spPr>
          <a:solidFill>
            <a:schemeClr val="accent6"/>
          </a:solidFill>
          <a:ln w="28575" cap="rnd">
            <a:solidFill>
              <a:schemeClr val="accent5">
                <a:lumMod val="50000"/>
              </a:schemeClr>
            </a:solidFill>
            <a:round/>
          </a:ln>
          <a:effectLst/>
        </c:spPr>
        <c:marker>
          <c:symbol val="none"/>
        </c:marker>
      </c:pivotFmt>
      <c:pivotFmt>
        <c:idx val="73"/>
        <c:spPr>
          <a:solidFill>
            <a:schemeClr val="accent6"/>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4"/>
        <c:spPr>
          <a:solidFill>
            <a:schemeClr val="accent6"/>
          </a:solidFill>
          <a:ln w="28575" cap="rnd">
            <a:solidFill>
              <a:schemeClr val="accent5">
                <a:lumMod val="50000"/>
              </a:schemeClr>
            </a:solidFill>
            <a:round/>
          </a:ln>
          <a:effectLst/>
        </c:spPr>
        <c:marker>
          <c:symbol val="none"/>
        </c:marker>
      </c:pivotFmt>
      <c:pivotFmt>
        <c:idx val="75"/>
        <c:spPr>
          <a:solidFill>
            <a:schemeClr val="accent6"/>
          </a:solidFill>
          <a:ln w="28575" cap="rnd">
            <a:solidFill>
              <a:schemeClr val="accent5">
                <a:lumMod val="50000"/>
              </a:schemeClr>
            </a:solidFill>
            <a:round/>
          </a:ln>
          <a:effectLst/>
        </c:spPr>
        <c:marker>
          <c:symbol val="none"/>
        </c:marker>
      </c:pivotFmt>
      <c:pivotFmt>
        <c:idx val="76"/>
        <c:spPr>
          <a:solidFill>
            <a:schemeClr val="accent6"/>
          </a:solidFill>
          <a:ln w="28575" cap="rnd">
            <a:solidFill>
              <a:schemeClr val="accent5">
                <a:lumMod val="50000"/>
              </a:schemeClr>
            </a:solidFill>
            <a:round/>
          </a:ln>
          <a:effectLst/>
        </c:spPr>
        <c:marker>
          <c:symbol val="none"/>
        </c:marker>
      </c:pivotFmt>
      <c:pivotFmt>
        <c:idx val="77"/>
        <c:spPr>
          <a:solidFill>
            <a:schemeClr val="accent6"/>
          </a:solidFill>
          <a:ln w="28575" cap="rnd">
            <a:solidFill>
              <a:schemeClr val="accent5">
                <a:lumMod val="50000"/>
              </a:schemeClr>
            </a:solidFill>
            <a:round/>
          </a:ln>
          <a:effectLst/>
        </c:spPr>
        <c:marker>
          <c:symbol val="none"/>
        </c:marker>
      </c:pivotFmt>
      <c:pivotFmt>
        <c:idx val="78"/>
        <c:spPr>
          <a:solidFill>
            <a:schemeClr val="accent6"/>
          </a:solidFill>
          <a:ln w="28575" cap="rnd">
            <a:solidFill>
              <a:schemeClr val="accent5">
                <a:lumMod val="50000"/>
              </a:schemeClr>
            </a:solidFill>
            <a:round/>
          </a:ln>
          <a:effectLst/>
        </c:spPr>
        <c:marker>
          <c:symbol val="none"/>
        </c:marker>
      </c:pivotFmt>
      <c:pivotFmt>
        <c:idx val="79"/>
        <c:spPr>
          <a:solidFill>
            <a:schemeClr val="accent6"/>
          </a:solidFill>
          <a:ln w="28575" cap="rnd">
            <a:solidFill>
              <a:schemeClr val="accent5">
                <a:lumMod val="50000"/>
              </a:schemeClr>
            </a:solidFill>
            <a:round/>
          </a:ln>
          <a:effectLst/>
        </c:spPr>
        <c:marker>
          <c:symbol val="none"/>
        </c:marker>
      </c:pivotFmt>
      <c:pivotFmt>
        <c:idx val="80"/>
        <c:spPr>
          <a:solidFill>
            <a:schemeClr val="accent6"/>
          </a:solidFill>
          <a:ln w="28575" cap="rnd">
            <a:solidFill>
              <a:schemeClr val="accent5">
                <a:lumMod val="50000"/>
              </a:schemeClr>
            </a:solidFill>
            <a:round/>
          </a:ln>
          <a:effectLst/>
        </c:spPr>
        <c:marker>
          <c:symbol val="none"/>
        </c:marker>
      </c:pivotFmt>
      <c:pivotFmt>
        <c:idx val="81"/>
        <c:spPr>
          <a:solidFill>
            <a:schemeClr val="accent6"/>
          </a:solidFill>
          <a:ln w="28575" cap="rnd">
            <a:solidFill>
              <a:schemeClr val="accent5">
                <a:lumMod val="50000"/>
              </a:schemeClr>
            </a:solidFill>
            <a:round/>
          </a:ln>
          <a:effectLst/>
        </c:spPr>
        <c:marker>
          <c:symbol val="none"/>
        </c:marker>
      </c:pivotFmt>
      <c:pivotFmt>
        <c:idx val="82"/>
        <c:spPr>
          <a:solidFill>
            <a:schemeClr val="accent6"/>
          </a:solidFill>
          <a:ln w="28575" cap="rnd">
            <a:solidFill>
              <a:schemeClr val="accent5">
                <a:lumMod val="50000"/>
              </a:schemeClr>
            </a:solidFill>
            <a:round/>
          </a:ln>
          <a:effectLst/>
        </c:spPr>
        <c:marker>
          <c:symbol val="none"/>
        </c:marker>
      </c:pivotFmt>
      <c:pivotFmt>
        <c:idx val="83"/>
        <c:spPr>
          <a:solidFill>
            <a:schemeClr val="accent6"/>
          </a:solidFill>
          <a:ln w="28575" cap="rnd">
            <a:solidFill>
              <a:schemeClr val="accent5">
                <a:lumMod val="50000"/>
              </a:schemeClr>
            </a:solidFill>
            <a:round/>
          </a:ln>
          <a:effectLst/>
        </c:spPr>
        <c:marker>
          <c:symbol val="none"/>
        </c:marker>
      </c:pivotFmt>
      <c:pivotFmt>
        <c:idx val="84"/>
        <c:spPr>
          <a:solidFill>
            <a:schemeClr val="accent6"/>
          </a:solidFill>
          <a:ln w="28575" cap="rnd">
            <a:solidFill>
              <a:schemeClr val="accent5">
                <a:lumMod val="50000"/>
              </a:schemeClr>
            </a:solidFill>
            <a:round/>
          </a:ln>
          <a:effectLst/>
        </c:spPr>
        <c:marker>
          <c:symbol val="none"/>
        </c:marker>
      </c:pivotFmt>
      <c:pivotFmt>
        <c:idx val="85"/>
        <c:spPr>
          <a:solidFill>
            <a:schemeClr val="accent6"/>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6"/>
        <c:spPr>
          <a:solidFill>
            <a:schemeClr val="accent6"/>
          </a:solidFill>
          <a:ln w="28575" cap="rnd">
            <a:solidFill>
              <a:schemeClr val="accent5">
                <a:lumMod val="50000"/>
              </a:schemeClr>
            </a:solidFill>
            <a:round/>
          </a:ln>
          <a:effectLst/>
        </c:spPr>
        <c:marker>
          <c:symbol val="none"/>
        </c:marker>
      </c:pivotFmt>
      <c:pivotFmt>
        <c:idx val="87"/>
        <c:spPr>
          <a:solidFill>
            <a:schemeClr val="accent6"/>
          </a:solidFill>
          <a:ln w="28575" cap="rnd">
            <a:solidFill>
              <a:schemeClr val="accent5">
                <a:lumMod val="50000"/>
              </a:schemeClr>
            </a:solidFill>
            <a:round/>
          </a:ln>
          <a:effectLst/>
        </c:spPr>
        <c:marker>
          <c:symbol val="none"/>
        </c:marker>
      </c:pivotFmt>
      <c:pivotFmt>
        <c:idx val="88"/>
        <c:spPr>
          <a:solidFill>
            <a:schemeClr val="accent6"/>
          </a:solidFill>
          <a:ln w="28575" cap="rnd">
            <a:solidFill>
              <a:schemeClr val="accent5">
                <a:lumMod val="50000"/>
              </a:schemeClr>
            </a:solidFill>
            <a:round/>
          </a:ln>
          <a:effectLst/>
        </c:spPr>
        <c:marker>
          <c:symbol val="none"/>
        </c:marker>
      </c:pivotFmt>
      <c:pivotFmt>
        <c:idx val="89"/>
        <c:spPr>
          <a:solidFill>
            <a:schemeClr val="accent6"/>
          </a:solidFill>
          <a:ln w="28575" cap="rnd">
            <a:solidFill>
              <a:schemeClr val="accent5">
                <a:lumMod val="50000"/>
              </a:schemeClr>
            </a:solidFill>
            <a:round/>
          </a:ln>
          <a:effectLst/>
        </c:spPr>
        <c:marker>
          <c:symbol val="none"/>
        </c:marker>
      </c:pivotFmt>
      <c:pivotFmt>
        <c:idx val="90"/>
        <c:spPr>
          <a:solidFill>
            <a:schemeClr val="accent6"/>
          </a:solidFill>
          <a:ln w="28575" cap="rnd">
            <a:solidFill>
              <a:schemeClr val="accent5">
                <a:lumMod val="50000"/>
              </a:schemeClr>
            </a:solidFill>
            <a:round/>
          </a:ln>
          <a:effectLst/>
        </c:spPr>
        <c:marker>
          <c:symbol val="none"/>
        </c:marker>
      </c:pivotFmt>
      <c:pivotFmt>
        <c:idx val="91"/>
        <c:spPr>
          <a:solidFill>
            <a:schemeClr val="accent6"/>
          </a:solidFill>
          <a:ln w="28575" cap="rnd">
            <a:solidFill>
              <a:schemeClr val="accent5">
                <a:lumMod val="50000"/>
              </a:schemeClr>
            </a:solidFill>
            <a:round/>
          </a:ln>
          <a:effectLst/>
        </c:spPr>
        <c:marker>
          <c:symbol val="none"/>
        </c:marker>
      </c:pivotFmt>
      <c:pivotFmt>
        <c:idx val="92"/>
        <c:spPr>
          <a:solidFill>
            <a:schemeClr val="accent6"/>
          </a:solidFill>
          <a:ln w="28575" cap="rnd">
            <a:solidFill>
              <a:schemeClr val="accent5">
                <a:lumMod val="50000"/>
              </a:schemeClr>
            </a:solidFill>
            <a:round/>
          </a:ln>
          <a:effectLst/>
        </c:spPr>
        <c:marker>
          <c:symbol val="none"/>
        </c:marker>
      </c:pivotFmt>
      <c:pivotFmt>
        <c:idx val="93"/>
        <c:spPr>
          <a:solidFill>
            <a:schemeClr val="accent6"/>
          </a:solidFill>
          <a:ln w="28575" cap="rnd">
            <a:solidFill>
              <a:schemeClr val="accent5">
                <a:lumMod val="50000"/>
              </a:schemeClr>
            </a:solidFill>
            <a:round/>
          </a:ln>
          <a:effectLst/>
        </c:spPr>
        <c:marker>
          <c:symbol val="none"/>
        </c:marker>
      </c:pivotFmt>
      <c:pivotFmt>
        <c:idx val="94"/>
        <c:spPr>
          <a:solidFill>
            <a:schemeClr val="accent6"/>
          </a:solidFill>
          <a:ln w="28575" cap="rnd">
            <a:solidFill>
              <a:schemeClr val="accent5">
                <a:lumMod val="50000"/>
              </a:schemeClr>
            </a:solidFill>
            <a:round/>
          </a:ln>
          <a:effectLst/>
        </c:spPr>
        <c:marker>
          <c:symbol val="none"/>
        </c:marker>
      </c:pivotFmt>
      <c:pivotFmt>
        <c:idx val="95"/>
        <c:spPr>
          <a:solidFill>
            <a:schemeClr val="accent6"/>
          </a:solidFill>
          <a:ln w="28575" cap="rnd">
            <a:solidFill>
              <a:schemeClr val="accent5">
                <a:lumMod val="50000"/>
              </a:schemeClr>
            </a:solidFill>
            <a:round/>
          </a:ln>
          <a:effectLst/>
        </c:spPr>
        <c:marker>
          <c:symbol val="none"/>
        </c:marker>
      </c:pivotFmt>
      <c:pivotFmt>
        <c:idx val="96"/>
        <c:spPr>
          <a:solidFill>
            <a:schemeClr val="accent6"/>
          </a:solidFill>
          <a:ln w="28575" cap="rnd">
            <a:solidFill>
              <a:schemeClr val="accent5">
                <a:lumMod val="50000"/>
              </a:schemeClr>
            </a:solidFill>
            <a:round/>
          </a:ln>
          <a:effectLst/>
        </c:spPr>
        <c:marker>
          <c:symbol val="none"/>
        </c:marker>
      </c:pivotFmt>
    </c:pivotFmts>
    <c:plotArea>
      <c:layout/>
      <c:lineChart>
        <c:grouping val="standard"/>
        <c:varyColors val="0"/>
        <c:ser>
          <c:idx val="0"/>
          <c:order val="0"/>
          <c:tx>
            <c:strRef>
              <c:f>'SALES TREND REPORT'!$B$3</c:f>
              <c:strCache>
                <c:ptCount val="1"/>
                <c:pt idx="0">
                  <c:v>Total</c:v>
                </c:pt>
              </c:strCache>
            </c:strRef>
          </c:tx>
          <c:spPr>
            <a:ln w="28575" cap="rnd">
              <a:solidFill>
                <a:schemeClr val="accent5">
                  <a:lumMod val="50000"/>
                </a:schemeClr>
              </a:solidFill>
              <a:round/>
            </a:ln>
            <a:effectLst/>
          </c:spPr>
          <c:marker>
            <c:symbol val="none"/>
          </c:marker>
          <c:dPt>
            <c:idx val="0"/>
            <c:marker>
              <c:symbol val="none"/>
            </c:marker>
            <c:bubble3D val="0"/>
            <c:extLst>
              <c:ext xmlns:c16="http://schemas.microsoft.com/office/drawing/2014/chart" uri="{C3380CC4-5D6E-409C-BE32-E72D297353CC}">
                <c16:uniqueId val="{00000000-6EEB-453A-A37A-DA136F3EB4FF}"/>
              </c:ext>
            </c:extLst>
          </c:dPt>
          <c:dPt>
            <c:idx val="1"/>
            <c:marker>
              <c:symbol val="none"/>
            </c:marker>
            <c:bubble3D val="0"/>
            <c:extLst>
              <c:ext xmlns:c16="http://schemas.microsoft.com/office/drawing/2014/chart" uri="{C3380CC4-5D6E-409C-BE32-E72D297353CC}">
                <c16:uniqueId val="{00000001-6EEB-453A-A37A-DA136F3EB4FF}"/>
              </c:ext>
            </c:extLst>
          </c:dPt>
          <c:dPt>
            <c:idx val="2"/>
            <c:marker>
              <c:symbol val="none"/>
            </c:marker>
            <c:bubble3D val="0"/>
            <c:extLst>
              <c:ext xmlns:c16="http://schemas.microsoft.com/office/drawing/2014/chart" uri="{C3380CC4-5D6E-409C-BE32-E72D297353CC}">
                <c16:uniqueId val="{00000002-6EEB-453A-A37A-DA136F3EB4FF}"/>
              </c:ext>
            </c:extLst>
          </c:dPt>
          <c:dPt>
            <c:idx val="3"/>
            <c:marker>
              <c:symbol val="none"/>
            </c:marker>
            <c:bubble3D val="0"/>
            <c:extLst>
              <c:ext xmlns:c16="http://schemas.microsoft.com/office/drawing/2014/chart" uri="{C3380CC4-5D6E-409C-BE32-E72D297353CC}">
                <c16:uniqueId val="{00000003-6EEB-453A-A37A-DA136F3EB4FF}"/>
              </c:ext>
            </c:extLst>
          </c:dPt>
          <c:dPt>
            <c:idx val="4"/>
            <c:marker>
              <c:symbol val="none"/>
            </c:marker>
            <c:bubble3D val="0"/>
            <c:extLst>
              <c:ext xmlns:c16="http://schemas.microsoft.com/office/drawing/2014/chart" uri="{C3380CC4-5D6E-409C-BE32-E72D297353CC}">
                <c16:uniqueId val="{00000004-6EEB-453A-A37A-DA136F3EB4FF}"/>
              </c:ext>
            </c:extLst>
          </c:dPt>
          <c:dPt>
            <c:idx val="5"/>
            <c:marker>
              <c:symbol val="none"/>
            </c:marker>
            <c:bubble3D val="0"/>
            <c:extLst>
              <c:ext xmlns:c16="http://schemas.microsoft.com/office/drawing/2014/chart" uri="{C3380CC4-5D6E-409C-BE32-E72D297353CC}">
                <c16:uniqueId val="{00000005-6EEB-453A-A37A-DA136F3EB4FF}"/>
              </c:ext>
            </c:extLst>
          </c:dPt>
          <c:dPt>
            <c:idx val="6"/>
            <c:marker>
              <c:symbol val="none"/>
            </c:marker>
            <c:bubble3D val="0"/>
            <c:extLst>
              <c:ext xmlns:c16="http://schemas.microsoft.com/office/drawing/2014/chart" uri="{C3380CC4-5D6E-409C-BE32-E72D297353CC}">
                <c16:uniqueId val="{00000006-6EEB-453A-A37A-DA136F3EB4FF}"/>
              </c:ext>
            </c:extLst>
          </c:dPt>
          <c:dPt>
            <c:idx val="7"/>
            <c:marker>
              <c:symbol val="none"/>
            </c:marker>
            <c:bubble3D val="0"/>
            <c:extLst>
              <c:ext xmlns:c16="http://schemas.microsoft.com/office/drawing/2014/chart" uri="{C3380CC4-5D6E-409C-BE32-E72D297353CC}">
                <c16:uniqueId val="{00000007-6EEB-453A-A37A-DA136F3EB4FF}"/>
              </c:ext>
            </c:extLst>
          </c:dPt>
          <c:dPt>
            <c:idx val="8"/>
            <c:marker>
              <c:symbol val="none"/>
            </c:marker>
            <c:bubble3D val="0"/>
            <c:extLst>
              <c:ext xmlns:c16="http://schemas.microsoft.com/office/drawing/2014/chart" uri="{C3380CC4-5D6E-409C-BE32-E72D297353CC}">
                <c16:uniqueId val="{00000008-6EEB-453A-A37A-DA136F3EB4FF}"/>
              </c:ext>
            </c:extLst>
          </c:dPt>
          <c:dPt>
            <c:idx val="9"/>
            <c:marker>
              <c:symbol val="none"/>
            </c:marker>
            <c:bubble3D val="0"/>
            <c:extLst>
              <c:ext xmlns:c16="http://schemas.microsoft.com/office/drawing/2014/chart" uri="{C3380CC4-5D6E-409C-BE32-E72D297353CC}">
                <c16:uniqueId val="{00000009-6EEB-453A-A37A-DA136F3EB4FF}"/>
              </c:ext>
            </c:extLst>
          </c:dPt>
          <c:dPt>
            <c:idx val="10"/>
            <c:marker>
              <c:symbol val="none"/>
            </c:marker>
            <c:bubble3D val="0"/>
            <c:extLst>
              <c:ext xmlns:c16="http://schemas.microsoft.com/office/drawing/2014/chart" uri="{C3380CC4-5D6E-409C-BE32-E72D297353CC}">
                <c16:uniqueId val="{0000000A-6EEB-453A-A37A-DA136F3EB4F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'SALES TREND REPORT'!$A$4:$A$16</c:f>
              <c:strCache>
                <c:ptCount val="12"/>
                <c:pt idx="0">
                  <c:v>Dec</c:v>
                </c:pt>
                <c:pt idx="1">
                  <c:v>Nov</c:v>
                </c:pt>
                <c:pt idx="2">
                  <c:v>Oct</c:v>
                </c:pt>
                <c:pt idx="3">
                  <c:v>Sep</c:v>
                </c:pt>
                <c:pt idx="4">
                  <c:v>Aug</c:v>
                </c:pt>
                <c:pt idx="5">
                  <c:v>Jul</c:v>
                </c:pt>
                <c:pt idx="6">
                  <c:v>Jun</c:v>
                </c:pt>
                <c:pt idx="7">
                  <c:v>May</c:v>
                </c:pt>
                <c:pt idx="8">
                  <c:v>Apr</c:v>
                </c:pt>
                <c:pt idx="9">
                  <c:v>Mar</c:v>
                </c:pt>
                <c:pt idx="10">
                  <c:v>Feb</c:v>
                </c:pt>
                <c:pt idx="11">
                  <c:v>Jan</c:v>
                </c:pt>
              </c:strCache>
            </c:strRef>
          </c:cat>
          <c:val>
            <c:numRef>
              <c:f>'SALES TREND REPORT'!$B$4:$B$16</c:f>
              <c:numCache>
                <c:formatCode>[$$-409]#,##0.00</c:formatCode>
                <c:ptCount val="12"/>
                <c:pt idx="0">
                  <c:v>66642.78</c:v>
                </c:pt>
                <c:pt idx="1">
                  <c:v>31773.429999999997</c:v>
                </c:pt>
                <c:pt idx="2">
                  <c:v>53033.59</c:v>
                </c:pt>
                <c:pt idx="3">
                  <c:v>31949.97</c:v>
                </c:pt>
                <c:pt idx="4">
                  <c:v>29921.459999999995</c:v>
                </c:pt>
                <c:pt idx="5">
                  <c:v>27318.539999999997</c:v>
                </c:pt>
                <c:pt idx="6">
                  <c:v>55601.61</c:v>
                </c:pt>
                <c:pt idx="7">
                  <c:v>34307.049999999996</c:v>
                </c:pt>
                <c:pt idx="8">
                  <c:v>20771.789999999997</c:v>
                </c:pt>
                <c:pt idx="9">
                  <c:v>30852.6</c:v>
                </c:pt>
                <c:pt idx="10">
                  <c:v>19955.5</c:v>
                </c:pt>
                <c:pt idx="11">
                  <c:v>32907.839999999997</c:v>
                </c:pt>
              </c:numCache>
            </c:numRef>
          </c:val>
          <c:smooth val="0"/>
          <c:extLst>
            <c:ext xmlns:c16="http://schemas.microsoft.com/office/drawing/2014/chart" uri="{C3380CC4-5D6E-409C-BE32-E72D297353CC}">
              <c16:uniqueId val="{0000000B-6EEB-453A-A37A-DA136F3EB4FF}"/>
            </c:ext>
          </c:extLst>
        </c:ser>
        <c:dLbls>
          <c:showLegendKey val="0"/>
          <c:showVal val="1"/>
          <c:showCatName val="0"/>
          <c:showSerName val="0"/>
          <c:showPercent val="0"/>
          <c:showBubbleSize val="0"/>
        </c:dLbls>
        <c:smooth val="0"/>
        <c:axId val="441749968"/>
        <c:axId val="441750296"/>
      </c:lineChart>
      <c:catAx>
        <c:axId val="441749968"/>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750296"/>
        <c:crosses val="autoZero"/>
        <c:auto val="1"/>
        <c:lblAlgn val="ctr"/>
        <c:lblOffset val="100"/>
        <c:noMultiLvlLbl val="0"/>
      </c:catAx>
      <c:valAx>
        <c:axId val="441750296"/>
        <c:scaling>
          <c:orientation val="minMax"/>
        </c:scaling>
        <c:delete val="1"/>
        <c:axPos val="r"/>
        <c:numFmt formatCode="[$$-409]#,##0.00" sourceLinked="1"/>
        <c:majorTickMark val="none"/>
        <c:minorTickMark val="none"/>
        <c:tickLblPos val="nextTo"/>
        <c:crossAx val="441749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8"/>
    </mc:Choice>
    <mc:Fallback>
      <c:style val="8"/>
    </mc:Fallback>
  </mc:AlternateContent>
  <c:pivotSource>
    <c:name>[Subway performance analysis by Enem sophia.xlsx]TOP 6 SHIP CITIES BY REVENUE!PivotTable1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Arial" panose="020B0604020202020204" pitchFamily="34" charset="0"/>
                <a:cs typeface="Arial" panose="020B0604020202020204" pitchFamily="34" charset="0"/>
              </a:rPr>
              <a:t>Top 6 Ship Cities by Revenue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c:spPr>
      </c:pivotFmt>
      <c:pivotFmt>
        <c:idx val="3"/>
        <c:spPr>
          <a:solidFill>
            <a:schemeClr val="accent6">
              <a:lumMod val="75000"/>
            </a:schemeClr>
          </a:solidFill>
          <a:ln>
            <a:noFill/>
          </a:ln>
          <a:effectLst/>
        </c:spPr>
      </c:pivotFmt>
      <c:pivotFmt>
        <c:idx val="4"/>
        <c:spPr>
          <a:solidFill>
            <a:schemeClr val="accent6">
              <a:lumMod val="60000"/>
              <a:lumOff val="40000"/>
            </a:schemeClr>
          </a:solidFill>
          <a:ln>
            <a:noFill/>
          </a:ln>
          <a:effectLst/>
        </c:spPr>
      </c:pivotFmt>
      <c:pivotFmt>
        <c:idx val="5"/>
        <c:spPr>
          <a:solidFill>
            <a:schemeClr val="accent6">
              <a:lumMod val="60000"/>
              <a:lumOff val="40000"/>
            </a:schemeClr>
          </a:solidFill>
          <a:ln>
            <a:noFill/>
          </a:ln>
          <a:effectLst/>
        </c:spPr>
      </c:pivotFmt>
      <c:pivotFmt>
        <c:idx val="6"/>
        <c:spPr>
          <a:solidFill>
            <a:schemeClr val="accent6">
              <a:lumMod val="60000"/>
              <a:lumOff val="40000"/>
            </a:schemeClr>
          </a:solidFill>
          <a:ln>
            <a:noFill/>
          </a:ln>
          <a:effectLst/>
        </c:spPr>
      </c:pivotFmt>
      <c:pivotFmt>
        <c:idx val="7"/>
        <c:spPr>
          <a:solidFill>
            <a:schemeClr val="accent6">
              <a:lumMod val="40000"/>
              <a:lumOff val="60000"/>
            </a:schemeClr>
          </a:solidFill>
          <a:ln>
            <a:noFill/>
          </a:ln>
          <a:effectLst/>
        </c:spPr>
      </c:pivotFmt>
      <c:pivotFmt>
        <c:idx val="8"/>
        <c:spPr>
          <a:solidFill>
            <a:schemeClr val="accent6">
              <a:lumMod val="20000"/>
              <a:lumOff val="80000"/>
            </a:schemeClr>
          </a:solidFill>
          <a:ln>
            <a:noFill/>
          </a:ln>
          <a:effectLst/>
        </c:spPr>
      </c:pivotFmt>
      <c:pivotFmt>
        <c:idx val="9"/>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6">
              <a:lumMod val="75000"/>
            </a:schemeClr>
          </a:solidFill>
          <a:ln>
            <a:noFill/>
          </a:ln>
          <a:effectLst/>
        </c:spPr>
      </c:pivotFmt>
      <c:pivotFmt>
        <c:idx val="12"/>
        <c:spPr>
          <a:solidFill>
            <a:schemeClr val="accent6">
              <a:lumMod val="75000"/>
            </a:schemeClr>
          </a:solidFill>
          <a:ln>
            <a:noFill/>
          </a:ln>
          <a:effectLst/>
        </c:spPr>
      </c:pivotFmt>
      <c:pivotFmt>
        <c:idx val="13"/>
        <c:spPr>
          <a:solidFill>
            <a:schemeClr val="accent6">
              <a:lumMod val="60000"/>
              <a:lumOff val="40000"/>
            </a:schemeClr>
          </a:solidFill>
          <a:ln>
            <a:noFill/>
          </a:ln>
          <a:effectLst/>
        </c:spPr>
      </c:pivotFmt>
      <c:pivotFmt>
        <c:idx val="14"/>
        <c:spPr>
          <a:solidFill>
            <a:schemeClr val="accent6">
              <a:lumMod val="60000"/>
              <a:lumOff val="40000"/>
            </a:schemeClr>
          </a:solidFill>
          <a:ln>
            <a:noFill/>
          </a:ln>
          <a:effectLst/>
        </c:spPr>
      </c:pivotFmt>
      <c:pivotFmt>
        <c:idx val="15"/>
        <c:spPr>
          <a:solidFill>
            <a:schemeClr val="accent6">
              <a:lumMod val="60000"/>
              <a:lumOff val="40000"/>
            </a:schemeClr>
          </a:solidFill>
          <a:ln>
            <a:noFill/>
          </a:ln>
          <a:effectLst/>
        </c:spPr>
      </c:pivotFmt>
      <c:pivotFmt>
        <c:idx val="16"/>
        <c:spPr>
          <a:solidFill>
            <a:schemeClr val="accent6">
              <a:lumMod val="40000"/>
              <a:lumOff val="60000"/>
            </a:schemeClr>
          </a:solidFill>
          <a:ln>
            <a:noFill/>
          </a:ln>
          <a:effectLst/>
        </c:spPr>
      </c:pivotFmt>
      <c:pivotFmt>
        <c:idx val="17"/>
        <c:spPr>
          <a:solidFill>
            <a:schemeClr val="accent6">
              <a:lumMod val="20000"/>
              <a:lumOff val="80000"/>
            </a:schemeClr>
          </a:solidFill>
          <a:ln>
            <a:noFill/>
          </a:ln>
          <a:effectLst/>
        </c:spPr>
      </c:pivotFmt>
      <c:pivotFmt>
        <c:idx val="18"/>
        <c:spPr>
          <a:solidFill>
            <a:schemeClr val="accent5">
              <a:lumMod val="50000"/>
            </a:schemeClr>
          </a:solidFill>
          <a:ln>
            <a:noFill/>
          </a:ln>
          <a:effectLst/>
        </c:spPr>
      </c:pivotFmt>
      <c:pivotFmt>
        <c:idx val="19"/>
        <c:spPr>
          <a:solidFill>
            <a:schemeClr val="accent5">
              <a:lumMod val="75000"/>
            </a:schemeClr>
          </a:solidFill>
          <a:ln>
            <a:noFill/>
          </a:ln>
          <a:effectLst/>
        </c:spPr>
      </c:pivotFmt>
      <c:pivotFmt>
        <c:idx val="20"/>
        <c:spPr>
          <a:solidFill>
            <a:schemeClr val="accent5">
              <a:lumMod val="75000"/>
            </a:schemeClr>
          </a:solidFill>
          <a:ln>
            <a:noFill/>
          </a:ln>
          <a:effectLst/>
        </c:spPr>
      </c:pivotFmt>
      <c:pivotFmt>
        <c:idx val="21"/>
        <c:spPr>
          <a:solidFill>
            <a:schemeClr val="accent5">
              <a:lumMod val="75000"/>
            </a:schemeClr>
          </a:solidFill>
          <a:ln>
            <a:noFill/>
          </a:ln>
          <a:effectLst/>
        </c:spPr>
      </c:pivotFmt>
      <c:pivotFmt>
        <c:idx val="22"/>
        <c:spPr>
          <a:solidFill>
            <a:schemeClr val="accent5">
              <a:lumMod val="60000"/>
              <a:lumOff val="40000"/>
            </a:schemeClr>
          </a:solidFill>
          <a:ln>
            <a:noFill/>
          </a:ln>
          <a:effectLst/>
        </c:spPr>
      </c:pivotFmt>
      <c:pivotFmt>
        <c:idx val="23"/>
        <c:spPr>
          <a:solidFill>
            <a:schemeClr val="accent5">
              <a:lumMod val="60000"/>
              <a:lumOff val="40000"/>
            </a:schemeClr>
          </a:solidFill>
          <a:ln>
            <a:noFill/>
          </a:ln>
          <a:effectLst/>
        </c:spPr>
      </c:pivotFmt>
      <c:pivotFmt>
        <c:idx val="24"/>
        <c:spPr>
          <a:solidFill>
            <a:schemeClr val="accent5">
              <a:lumMod val="60000"/>
              <a:lumOff val="40000"/>
            </a:schemeClr>
          </a:solidFill>
          <a:ln>
            <a:noFill/>
          </a:ln>
          <a:effectLst/>
        </c:spPr>
      </c:pivotFmt>
      <c:pivotFmt>
        <c:idx val="25"/>
        <c:spPr>
          <a:solidFill>
            <a:schemeClr val="accent1">
              <a:lumMod val="60000"/>
              <a:lumOff val="40000"/>
            </a:schemeClr>
          </a:solidFill>
          <a:ln>
            <a:noFill/>
          </a:ln>
          <a:effectLst/>
        </c:spPr>
      </c:pivotFmt>
      <c:pivotFmt>
        <c:idx val="26"/>
        <c:spPr>
          <a:solidFill>
            <a:schemeClr val="accent5">
              <a:lumMod val="20000"/>
              <a:lumOff val="80000"/>
            </a:schemeClr>
          </a:solidFill>
          <a:ln>
            <a:noFill/>
          </a:ln>
          <a:effectLst/>
        </c:spPr>
      </c:pivotFmt>
      <c:pivotFmt>
        <c:idx val="27"/>
        <c:spPr>
          <a:solidFill>
            <a:schemeClr val="accent5">
              <a:lumMod val="20000"/>
              <a:lumOff val="80000"/>
            </a:schemeClr>
          </a:solidFill>
          <a:ln>
            <a:noFill/>
          </a:ln>
          <a:effectLst/>
        </c:spPr>
      </c:pivotFmt>
      <c:pivotFmt>
        <c:idx val="28"/>
        <c:spPr>
          <a:solidFill>
            <a:schemeClr val="accent6"/>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5">
              <a:lumMod val="75000"/>
            </a:schemeClr>
          </a:solidFill>
          <a:ln>
            <a:noFill/>
          </a:ln>
          <a:effectLst/>
        </c:spPr>
      </c:pivotFmt>
      <c:pivotFmt>
        <c:idx val="30"/>
        <c:spPr>
          <a:solidFill>
            <a:schemeClr val="accent5">
              <a:lumMod val="75000"/>
            </a:schemeClr>
          </a:solidFill>
          <a:ln>
            <a:noFill/>
          </a:ln>
          <a:effectLst/>
        </c:spPr>
      </c:pivotFmt>
      <c:pivotFmt>
        <c:idx val="31"/>
        <c:spPr>
          <a:solidFill>
            <a:schemeClr val="accent5">
              <a:lumMod val="75000"/>
            </a:schemeClr>
          </a:solidFill>
          <a:ln>
            <a:noFill/>
          </a:ln>
          <a:effectLst/>
        </c:spPr>
      </c:pivotFmt>
      <c:pivotFmt>
        <c:idx val="32"/>
        <c:spPr>
          <a:solidFill>
            <a:schemeClr val="accent5">
              <a:lumMod val="60000"/>
              <a:lumOff val="40000"/>
            </a:schemeClr>
          </a:solidFill>
          <a:ln>
            <a:noFill/>
          </a:ln>
          <a:effectLst/>
        </c:spPr>
      </c:pivotFmt>
      <c:pivotFmt>
        <c:idx val="33"/>
        <c:spPr>
          <a:solidFill>
            <a:schemeClr val="accent5">
              <a:lumMod val="60000"/>
              <a:lumOff val="40000"/>
            </a:schemeClr>
          </a:solidFill>
          <a:ln>
            <a:noFill/>
          </a:ln>
          <a:effectLst/>
        </c:spPr>
      </c:pivotFmt>
      <c:pivotFmt>
        <c:idx val="34"/>
        <c:spPr>
          <a:solidFill>
            <a:schemeClr val="accent5">
              <a:lumMod val="60000"/>
              <a:lumOff val="40000"/>
            </a:schemeClr>
          </a:solidFill>
          <a:ln>
            <a:noFill/>
          </a:ln>
          <a:effectLst/>
        </c:spPr>
      </c:pivotFmt>
      <c:pivotFmt>
        <c:idx val="35"/>
        <c:spPr>
          <a:solidFill>
            <a:schemeClr val="accent1">
              <a:lumMod val="60000"/>
              <a:lumOff val="40000"/>
            </a:schemeClr>
          </a:solidFill>
          <a:ln>
            <a:noFill/>
          </a:ln>
          <a:effectLst/>
        </c:spPr>
      </c:pivotFmt>
      <c:pivotFmt>
        <c:idx val="36"/>
        <c:spPr>
          <a:solidFill>
            <a:schemeClr val="accent5">
              <a:lumMod val="20000"/>
              <a:lumOff val="80000"/>
            </a:schemeClr>
          </a:solidFill>
          <a:ln>
            <a:noFill/>
          </a:ln>
          <a:effectLst/>
        </c:spPr>
      </c:pivotFmt>
      <c:pivotFmt>
        <c:idx val="37"/>
        <c:spPr>
          <a:solidFill>
            <a:schemeClr val="accent5">
              <a:lumMod val="20000"/>
              <a:lumOff val="80000"/>
            </a:schemeClr>
          </a:solidFill>
          <a:ln>
            <a:noFill/>
          </a:ln>
          <a:effectLst/>
        </c:spPr>
      </c:pivotFmt>
      <c:pivotFmt>
        <c:idx val="38"/>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9"/>
        <c:marker>
          <c:symbol val="none"/>
        </c:marker>
      </c:pivotFmt>
      <c:pivotFmt>
        <c:idx val="40"/>
        <c:marker>
          <c:symbol val="none"/>
        </c:marker>
      </c:pivotFmt>
      <c:pivotFmt>
        <c:idx val="41"/>
        <c:marker>
          <c:symbol val="none"/>
        </c:marker>
      </c:pivotFmt>
      <c:pivotFmt>
        <c:idx val="42"/>
        <c:marker>
          <c:symbol val="none"/>
        </c:marker>
      </c:pivotFmt>
      <c:pivotFmt>
        <c:idx val="43"/>
        <c:marker>
          <c:symbol val="none"/>
        </c:marker>
      </c:pivotFmt>
      <c:pivotFmt>
        <c:idx val="44"/>
        <c:marker>
          <c:symbol val="none"/>
        </c:marker>
      </c:pivotFmt>
      <c:pivotFmt>
        <c:idx val="45"/>
        <c:marker>
          <c:symbol val="none"/>
        </c:marker>
      </c:pivotFmt>
      <c:pivotFmt>
        <c:idx val="46"/>
        <c:marker>
          <c:symbol val="none"/>
        </c:marker>
      </c:pivotFmt>
      <c:pivotFmt>
        <c:idx val="47"/>
        <c:marker>
          <c:symbol val="none"/>
        </c:marker>
      </c:pivotFmt>
      <c:pivotFmt>
        <c:idx val="48"/>
        <c:marker>
          <c:symbol val="none"/>
        </c:marker>
      </c:pivotFmt>
      <c:pivotFmt>
        <c:idx val="49"/>
        <c:spPr>
          <a:solidFill>
            <a:schemeClr val="accent5">
              <a:lumMod val="50000"/>
            </a:schemeClr>
          </a:solidFill>
          <a:ln>
            <a:solidFill>
              <a:schemeClr val="accent5">
                <a:lumMod val="50000"/>
              </a:schemeClr>
            </a:solidFill>
          </a:ln>
          <a:effectLst/>
        </c:spPr>
        <c:dLbl>
          <c:idx val="0"/>
          <c:layout>
            <c:manualLayout>
              <c:x val="0.19376571661627359"/>
              <c:y val="-0.1101669174407845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0579194248209406"/>
                  <c:h val="8.0744465918106217E-2"/>
                </c:manualLayout>
              </c15:layout>
            </c:ext>
          </c:extLst>
        </c:dLbl>
      </c:pivotFmt>
      <c:pivotFmt>
        <c:idx val="50"/>
        <c:spPr>
          <a:solidFill>
            <a:schemeClr val="accent5">
              <a:lumMod val="75000"/>
            </a:schemeClr>
          </a:solidFill>
          <a:ln>
            <a:solidFill>
              <a:schemeClr val="accent5">
                <a:lumMod val="50000"/>
              </a:schemeClr>
            </a:solidFill>
          </a:ln>
          <a:effectLst/>
        </c:spPr>
        <c:dLbl>
          <c:idx val="0"/>
          <c:layout>
            <c:manualLayout>
              <c:x val="0.23526512252841114"/>
              <c:y val="-8.127090737811740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5">
              <a:lumMod val="60000"/>
              <a:lumOff val="40000"/>
            </a:schemeClr>
          </a:solidFill>
          <a:ln>
            <a:solidFill>
              <a:schemeClr val="accent5">
                <a:lumMod val="50000"/>
              </a:schemeClr>
            </a:solidFill>
          </a:ln>
          <a:effectLst/>
        </c:spPr>
        <c:dLbl>
          <c:idx val="0"/>
          <c:layout>
            <c:manualLayout>
              <c:x val="-0.1833651303279667"/>
              <c:y val="3.774270475039742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2"/>
        <c:spPr>
          <a:solidFill>
            <a:schemeClr val="accent5">
              <a:lumMod val="20000"/>
              <a:lumOff val="80000"/>
            </a:schemeClr>
          </a:solidFill>
          <a:ln>
            <a:solidFill>
              <a:schemeClr val="accent5">
                <a:lumMod val="50000"/>
              </a:schemeClr>
            </a:solidFill>
          </a:ln>
          <a:effectLst/>
        </c:spPr>
        <c:dLbl>
          <c:idx val="0"/>
          <c:layout>
            <c:manualLayout>
              <c:x val="-0.15616553002261124"/>
              <c:y val="-3.538175545454636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4"/>
        <c:spPr>
          <a:solidFill>
            <a:schemeClr val="accent5">
              <a:lumMod val="75000"/>
            </a:schemeClr>
          </a:solidFill>
          <a:ln>
            <a:solidFill>
              <a:schemeClr val="accent5">
                <a:lumMod val="50000"/>
              </a:schemeClr>
            </a:solidFill>
          </a:ln>
          <a:effectLst/>
        </c:spPr>
        <c:dLbl>
          <c:idx val="0"/>
          <c:layout>
            <c:manualLayout>
              <c:x val="0.23526512252841114"/>
              <c:y val="-8.127090737811740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5"/>
        <c:spPr>
          <a:solidFill>
            <a:schemeClr val="accent5">
              <a:lumMod val="50000"/>
            </a:schemeClr>
          </a:solidFill>
          <a:ln>
            <a:solidFill>
              <a:schemeClr val="accent5">
                <a:lumMod val="50000"/>
              </a:schemeClr>
            </a:solidFill>
          </a:ln>
          <a:effectLst/>
        </c:spPr>
        <c:dLbl>
          <c:idx val="0"/>
          <c:layout>
            <c:manualLayout>
              <c:x val="0.19376571661627359"/>
              <c:y val="-0.1101669174407845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0579194248209406"/>
                  <c:h val="8.0744465918106217E-2"/>
                </c:manualLayout>
              </c15:layout>
            </c:ext>
          </c:extLst>
        </c:dLbl>
      </c:pivotFmt>
      <c:pivotFmt>
        <c:idx val="56"/>
        <c:spPr>
          <a:solidFill>
            <a:schemeClr val="accent5">
              <a:lumMod val="60000"/>
              <a:lumOff val="40000"/>
            </a:schemeClr>
          </a:solidFill>
          <a:ln>
            <a:solidFill>
              <a:schemeClr val="accent5">
                <a:lumMod val="50000"/>
              </a:schemeClr>
            </a:solidFill>
          </a:ln>
          <a:effectLst/>
        </c:spPr>
        <c:dLbl>
          <c:idx val="0"/>
          <c:layout>
            <c:manualLayout>
              <c:x val="-0.1833651303279667"/>
              <c:y val="3.774270475039742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7"/>
        <c:spPr>
          <a:solidFill>
            <a:schemeClr val="accent5">
              <a:lumMod val="20000"/>
              <a:lumOff val="80000"/>
            </a:schemeClr>
          </a:solidFill>
          <a:ln>
            <a:solidFill>
              <a:schemeClr val="accent5">
                <a:lumMod val="50000"/>
              </a:schemeClr>
            </a:solidFill>
          </a:ln>
          <a:effectLst/>
        </c:spPr>
        <c:dLbl>
          <c:idx val="0"/>
          <c:layout>
            <c:manualLayout>
              <c:x val="-0.15616553002261124"/>
              <c:y val="-3.538175545454636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8"/>
        <c:spPr>
          <a:solidFill>
            <a:schemeClr val="accent5">
              <a:lumMod val="50000"/>
            </a:schemeClr>
          </a:solidFill>
          <a:ln>
            <a:solidFill>
              <a:schemeClr val="accent5">
                <a:lumMod val="50000"/>
              </a:schemeClr>
            </a:solidFill>
          </a:ln>
          <a:effectLst/>
        </c:spPr>
      </c:pivotFmt>
      <c:pivotFmt>
        <c:idx val="59"/>
        <c:spPr>
          <a:solidFill>
            <a:schemeClr val="accent5">
              <a:lumMod val="75000"/>
            </a:schemeClr>
          </a:solidFill>
          <a:ln>
            <a:solidFill>
              <a:schemeClr val="accent5">
                <a:lumMod val="50000"/>
              </a:schemeClr>
            </a:solidFill>
          </a:ln>
          <a:effectLst/>
        </c:spPr>
      </c:pivotFmt>
      <c:pivotFmt>
        <c:idx val="60"/>
        <c:spPr>
          <a:solidFill>
            <a:schemeClr val="accent5">
              <a:lumMod val="60000"/>
              <a:lumOff val="40000"/>
            </a:schemeClr>
          </a:solidFill>
          <a:ln>
            <a:solidFill>
              <a:schemeClr val="accent5">
                <a:lumMod val="50000"/>
              </a:schemeClr>
            </a:solidFill>
          </a:ln>
          <a:effectLst/>
        </c:spPr>
      </c:pivotFmt>
      <c:pivotFmt>
        <c:idx val="61"/>
        <c:spPr>
          <a:solidFill>
            <a:schemeClr val="accent5">
              <a:lumMod val="40000"/>
              <a:lumOff val="60000"/>
            </a:schemeClr>
          </a:solidFill>
          <a:ln>
            <a:solidFill>
              <a:schemeClr val="accent5">
                <a:lumMod val="50000"/>
              </a:schemeClr>
            </a:solidFill>
          </a:ln>
          <a:effectLst/>
        </c:spPr>
      </c:pivotFmt>
      <c:pivotFmt>
        <c:idx val="62"/>
        <c:spPr>
          <a:solidFill>
            <a:schemeClr val="accent5">
              <a:lumMod val="20000"/>
              <a:lumOff val="80000"/>
            </a:schemeClr>
          </a:solidFill>
          <a:ln>
            <a:solidFill>
              <a:schemeClr val="accent5">
                <a:lumMod val="50000"/>
              </a:schemeClr>
            </a:solidFill>
          </a:ln>
          <a:effectLst/>
        </c:spPr>
      </c:pivotFmt>
      <c:pivotFmt>
        <c:idx val="63"/>
        <c:spPr>
          <a:solidFill>
            <a:schemeClr val="accent5">
              <a:lumMod val="75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4"/>
        <c:spPr>
          <a:solidFill>
            <a:schemeClr val="accent5">
              <a:lumMod val="50000"/>
            </a:schemeClr>
          </a:solidFill>
          <a:ln>
            <a:solidFill>
              <a:schemeClr val="accent5">
                <a:lumMod val="50000"/>
              </a:schemeClr>
            </a:solidFill>
          </a:ln>
          <a:effectLst/>
        </c:spPr>
      </c:pivotFmt>
      <c:pivotFmt>
        <c:idx val="65"/>
        <c:spPr>
          <a:solidFill>
            <a:schemeClr val="accent5">
              <a:lumMod val="75000"/>
            </a:schemeClr>
          </a:solidFill>
          <a:ln>
            <a:solidFill>
              <a:schemeClr val="accent5">
                <a:lumMod val="50000"/>
              </a:schemeClr>
            </a:solidFill>
          </a:ln>
          <a:effectLst/>
        </c:spPr>
      </c:pivotFmt>
      <c:pivotFmt>
        <c:idx val="66"/>
        <c:spPr>
          <a:solidFill>
            <a:schemeClr val="accent5">
              <a:lumMod val="60000"/>
              <a:lumOff val="40000"/>
            </a:schemeClr>
          </a:solidFill>
          <a:ln>
            <a:solidFill>
              <a:schemeClr val="accent5">
                <a:lumMod val="50000"/>
              </a:schemeClr>
            </a:solidFill>
          </a:ln>
          <a:effectLst/>
        </c:spPr>
      </c:pivotFmt>
      <c:pivotFmt>
        <c:idx val="67"/>
        <c:spPr>
          <a:solidFill>
            <a:schemeClr val="accent5">
              <a:lumMod val="40000"/>
              <a:lumOff val="60000"/>
            </a:schemeClr>
          </a:solidFill>
          <a:ln>
            <a:solidFill>
              <a:schemeClr val="accent5">
                <a:lumMod val="50000"/>
              </a:schemeClr>
            </a:solidFill>
          </a:ln>
          <a:effectLst/>
        </c:spPr>
      </c:pivotFmt>
      <c:pivotFmt>
        <c:idx val="68"/>
        <c:spPr>
          <a:solidFill>
            <a:schemeClr val="accent5">
              <a:lumMod val="20000"/>
              <a:lumOff val="80000"/>
            </a:schemeClr>
          </a:solidFill>
          <a:ln>
            <a:solidFill>
              <a:schemeClr val="accent5">
                <a:lumMod val="50000"/>
              </a:schemeClr>
            </a:solidFill>
          </a:ln>
          <a:effectLst/>
        </c:spPr>
      </c:pivotFmt>
      <c:pivotFmt>
        <c:idx val="69"/>
        <c:spPr>
          <a:solidFill>
            <a:schemeClr val="accent5">
              <a:lumMod val="75000"/>
            </a:schemeClr>
          </a:solidFill>
          <a:ln>
            <a:solidFill>
              <a:schemeClr val="accent5">
                <a:lumMod val="50000"/>
              </a:schemeClr>
            </a:solidFill>
          </a:ln>
          <a:effectLst/>
        </c:spPr>
      </c:pivotFmt>
      <c:pivotFmt>
        <c:idx val="70"/>
        <c:spPr>
          <a:solidFill>
            <a:schemeClr val="accent5">
              <a:lumMod val="75000"/>
            </a:schemeClr>
          </a:solidFill>
          <a:ln>
            <a:solidFill>
              <a:schemeClr val="accent5">
                <a:lumMod val="50000"/>
              </a:schemeClr>
            </a:solidFill>
          </a:ln>
          <a:effectLst/>
        </c:spPr>
      </c:pivotFmt>
      <c:pivotFmt>
        <c:idx val="71"/>
        <c:spPr>
          <a:solidFill>
            <a:schemeClr val="accent5">
              <a:lumMod val="40000"/>
              <a:lumOff val="60000"/>
            </a:schemeClr>
          </a:solidFill>
          <a:ln>
            <a:solidFill>
              <a:schemeClr val="accent5">
                <a:lumMod val="50000"/>
              </a:schemeClr>
            </a:solidFill>
          </a:ln>
          <a:effectLst/>
        </c:spPr>
      </c:pivotFmt>
      <c:pivotFmt>
        <c:idx val="72"/>
        <c:spPr>
          <a:solidFill>
            <a:schemeClr val="accent5">
              <a:lumMod val="60000"/>
              <a:lumOff val="40000"/>
            </a:schemeClr>
          </a:solidFill>
          <a:ln>
            <a:solidFill>
              <a:schemeClr val="accent5">
                <a:lumMod val="50000"/>
              </a:schemeClr>
            </a:solidFill>
          </a:ln>
          <a:effectLst/>
        </c:spPr>
      </c:pivotFmt>
      <c:pivotFmt>
        <c:idx val="73"/>
        <c:spPr>
          <a:solidFill>
            <a:schemeClr val="accent5">
              <a:lumMod val="60000"/>
              <a:lumOff val="40000"/>
            </a:schemeClr>
          </a:solidFill>
          <a:ln>
            <a:solidFill>
              <a:schemeClr val="accent5">
                <a:lumMod val="50000"/>
              </a:schemeClr>
            </a:solidFill>
          </a:ln>
          <a:effectLst/>
        </c:spPr>
      </c:pivotFmt>
      <c:pivotFmt>
        <c:idx val="74"/>
        <c:spPr>
          <a:solidFill>
            <a:schemeClr val="accent5">
              <a:lumMod val="75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5"/>
        <c:spPr>
          <a:solidFill>
            <a:schemeClr val="accent5">
              <a:lumMod val="60000"/>
              <a:lumOff val="40000"/>
            </a:schemeClr>
          </a:solidFill>
          <a:ln>
            <a:solidFill>
              <a:schemeClr val="accent5">
                <a:lumMod val="50000"/>
              </a:schemeClr>
            </a:solidFill>
          </a:ln>
          <a:effectLst/>
        </c:spPr>
      </c:pivotFmt>
      <c:pivotFmt>
        <c:idx val="76"/>
        <c:spPr>
          <a:solidFill>
            <a:schemeClr val="accent5">
              <a:lumMod val="40000"/>
              <a:lumOff val="60000"/>
            </a:schemeClr>
          </a:solidFill>
          <a:ln>
            <a:solidFill>
              <a:schemeClr val="accent5">
                <a:lumMod val="50000"/>
              </a:schemeClr>
            </a:solidFill>
          </a:ln>
          <a:effectLst/>
        </c:spPr>
      </c:pivotFmt>
      <c:pivotFmt>
        <c:idx val="77"/>
        <c:spPr>
          <a:solidFill>
            <a:schemeClr val="accent5">
              <a:lumMod val="60000"/>
              <a:lumOff val="40000"/>
            </a:schemeClr>
          </a:solidFill>
          <a:ln>
            <a:solidFill>
              <a:schemeClr val="accent5">
                <a:lumMod val="50000"/>
              </a:schemeClr>
            </a:solidFill>
          </a:ln>
          <a:effectLst/>
        </c:spPr>
      </c:pivotFmt>
      <c:pivotFmt>
        <c:idx val="78"/>
        <c:spPr>
          <a:solidFill>
            <a:schemeClr val="accent5">
              <a:lumMod val="75000"/>
            </a:schemeClr>
          </a:solidFill>
          <a:ln>
            <a:solidFill>
              <a:schemeClr val="accent5">
                <a:lumMod val="50000"/>
              </a:schemeClr>
            </a:solidFill>
          </a:ln>
          <a:effectLst/>
        </c:spPr>
      </c:pivotFmt>
      <c:pivotFmt>
        <c:idx val="79"/>
        <c:spPr>
          <a:solidFill>
            <a:schemeClr val="accent5">
              <a:lumMod val="60000"/>
              <a:lumOff val="40000"/>
            </a:schemeClr>
          </a:solidFill>
          <a:ln>
            <a:solidFill>
              <a:schemeClr val="accent5">
                <a:lumMod val="50000"/>
              </a:schemeClr>
            </a:solidFill>
          </a:ln>
          <a:effectLst/>
        </c:spPr>
      </c:pivotFmt>
      <c:pivotFmt>
        <c:idx val="80"/>
        <c:spPr>
          <a:solidFill>
            <a:schemeClr val="accent5">
              <a:lumMod val="60000"/>
              <a:lumOff val="40000"/>
            </a:schemeClr>
          </a:solidFill>
          <a:ln>
            <a:solidFill>
              <a:schemeClr val="accent5">
                <a:lumMod val="50000"/>
              </a:schemeClr>
            </a:solidFill>
          </a:ln>
          <a:effectLst/>
        </c:spPr>
      </c:pivotFmt>
      <c:pivotFmt>
        <c:idx val="81"/>
        <c:spPr>
          <a:solidFill>
            <a:schemeClr val="accent5">
              <a:lumMod val="40000"/>
              <a:lumOff val="60000"/>
            </a:schemeClr>
          </a:solidFill>
          <a:ln>
            <a:solidFill>
              <a:schemeClr val="accent5">
                <a:lumMod val="50000"/>
              </a:schemeClr>
            </a:solidFill>
          </a:ln>
          <a:effectLst/>
        </c:spPr>
      </c:pivotFmt>
      <c:pivotFmt>
        <c:idx val="82"/>
        <c:spPr>
          <a:solidFill>
            <a:schemeClr val="accent5">
              <a:lumMod val="20000"/>
              <a:lumOff val="80000"/>
            </a:schemeClr>
          </a:solidFill>
          <a:ln>
            <a:solidFill>
              <a:schemeClr val="accent5">
                <a:lumMod val="50000"/>
              </a:schemeClr>
            </a:solidFill>
          </a:ln>
          <a:effectLst/>
        </c:spPr>
      </c:pivotFmt>
      <c:pivotFmt>
        <c:idx val="83"/>
        <c:spPr>
          <a:solidFill>
            <a:schemeClr val="accent5">
              <a:lumMod val="50000"/>
            </a:schemeClr>
          </a:solidFill>
          <a:ln>
            <a:solidFill>
              <a:schemeClr val="accent5">
                <a:lumMod val="50000"/>
              </a:schemeClr>
            </a:solidFill>
          </a:ln>
          <a:effectLst/>
        </c:spPr>
      </c:pivotFmt>
      <c:pivotFmt>
        <c:idx val="84"/>
        <c:spPr>
          <a:solidFill>
            <a:schemeClr val="accent5">
              <a:lumMod val="75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5"/>
        <c:spPr>
          <a:solidFill>
            <a:schemeClr val="accent5">
              <a:lumMod val="50000"/>
            </a:schemeClr>
          </a:solidFill>
          <a:ln>
            <a:solidFill>
              <a:schemeClr val="accent5">
                <a:lumMod val="50000"/>
              </a:schemeClr>
            </a:solidFill>
          </a:ln>
          <a:effectLst/>
        </c:spPr>
      </c:pivotFmt>
      <c:pivotFmt>
        <c:idx val="86"/>
        <c:spPr>
          <a:solidFill>
            <a:schemeClr val="accent5">
              <a:lumMod val="75000"/>
            </a:schemeClr>
          </a:solidFill>
          <a:ln>
            <a:solidFill>
              <a:schemeClr val="accent5">
                <a:lumMod val="50000"/>
              </a:schemeClr>
            </a:solidFill>
          </a:ln>
          <a:effectLst/>
        </c:spPr>
      </c:pivotFmt>
      <c:pivotFmt>
        <c:idx val="87"/>
        <c:spPr>
          <a:solidFill>
            <a:schemeClr val="accent5">
              <a:lumMod val="60000"/>
              <a:lumOff val="40000"/>
            </a:schemeClr>
          </a:solidFill>
          <a:ln>
            <a:solidFill>
              <a:schemeClr val="accent5">
                <a:lumMod val="50000"/>
              </a:schemeClr>
            </a:solidFill>
          </a:ln>
          <a:effectLst/>
        </c:spPr>
      </c:pivotFmt>
      <c:pivotFmt>
        <c:idx val="88"/>
        <c:spPr>
          <a:solidFill>
            <a:schemeClr val="accent5">
              <a:lumMod val="60000"/>
              <a:lumOff val="40000"/>
            </a:schemeClr>
          </a:solidFill>
          <a:ln>
            <a:solidFill>
              <a:schemeClr val="accent5">
                <a:lumMod val="50000"/>
              </a:schemeClr>
            </a:solidFill>
          </a:ln>
          <a:effectLst/>
        </c:spPr>
      </c:pivotFmt>
      <c:pivotFmt>
        <c:idx val="89"/>
        <c:spPr>
          <a:solidFill>
            <a:schemeClr val="accent5">
              <a:lumMod val="40000"/>
              <a:lumOff val="60000"/>
            </a:schemeClr>
          </a:solidFill>
          <a:ln>
            <a:solidFill>
              <a:schemeClr val="accent5">
                <a:lumMod val="50000"/>
              </a:schemeClr>
            </a:solidFill>
          </a:ln>
          <a:effectLst/>
        </c:spPr>
      </c:pivotFmt>
      <c:pivotFmt>
        <c:idx val="90"/>
        <c:spPr>
          <a:solidFill>
            <a:schemeClr val="accent5">
              <a:lumMod val="20000"/>
              <a:lumOff val="80000"/>
            </a:schemeClr>
          </a:solidFill>
          <a:ln>
            <a:solidFill>
              <a:schemeClr val="accent5">
                <a:lumMod val="50000"/>
              </a:schemeClr>
            </a:solidFill>
          </a:ln>
          <a:effectLst/>
        </c:spPr>
      </c:pivotFmt>
      <c:pivotFmt>
        <c:idx val="91"/>
        <c:spPr>
          <a:solidFill>
            <a:schemeClr val="accent5">
              <a:lumMod val="75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2"/>
        <c:spPr>
          <a:solidFill>
            <a:schemeClr val="accent5">
              <a:lumMod val="50000"/>
            </a:schemeClr>
          </a:solidFill>
          <a:ln>
            <a:noFill/>
          </a:ln>
          <a:effectLst/>
        </c:spPr>
      </c:pivotFmt>
      <c:pivotFmt>
        <c:idx val="93"/>
        <c:spPr>
          <a:solidFill>
            <a:schemeClr val="accent5">
              <a:lumMod val="75000"/>
            </a:schemeClr>
          </a:solidFill>
          <a:ln>
            <a:noFill/>
          </a:ln>
          <a:effectLst/>
        </c:spPr>
      </c:pivotFmt>
      <c:pivotFmt>
        <c:idx val="94"/>
        <c:spPr>
          <a:solidFill>
            <a:schemeClr val="accent5">
              <a:lumMod val="60000"/>
              <a:lumOff val="40000"/>
            </a:schemeClr>
          </a:solidFill>
          <a:ln>
            <a:noFill/>
          </a:ln>
          <a:effectLst/>
        </c:spPr>
      </c:pivotFmt>
      <c:pivotFmt>
        <c:idx val="95"/>
        <c:spPr>
          <a:solidFill>
            <a:schemeClr val="accent5">
              <a:lumMod val="60000"/>
              <a:lumOff val="40000"/>
            </a:schemeClr>
          </a:solidFill>
          <a:ln>
            <a:noFill/>
          </a:ln>
          <a:effectLst/>
        </c:spPr>
      </c:pivotFmt>
      <c:pivotFmt>
        <c:idx val="96"/>
        <c:spPr>
          <a:solidFill>
            <a:schemeClr val="accent5">
              <a:lumMod val="40000"/>
              <a:lumOff val="60000"/>
            </a:schemeClr>
          </a:solidFill>
          <a:ln>
            <a:noFill/>
          </a:ln>
          <a:effectLst/>
        </c:spPr>
      </c:pivotFmt>
      <c:pivotFmt>
        <c:idx val="97"/>
        <c:spPr>
          <a:solidFill>
            <a:schemeClr val="accent5">
              <a:lumMod val="20000"/>
              <a:lumOff val="80000"/>
            </a:schemeClr>
          </a:solidFill>
          <a:ln>
            <a:noFill/>
          </a:ln>
          <a:effectLst/>
        </c:spPr>
      </c:pivotFmt>
      <c:pivotFmt>
        <c:idx val="98"/>
        <c:spPr>
          <a:solidFill>
            <a:schemeClr val="accent5">
              <a:lumMod val="75000"/>
            </a:schemeClr>
          </a:solidFill>
          <a:ln>
            <a:solidFill>
              <a:schemeClr val="accent5">
                <a:lumMod val="50000"/>
              </a:schemeClr>
            </a:solidFill>
          </a:ln>
          <a:effectLst/>
        </c:spPr>
      </c:pivotFmt>
      <c:pivotFmt>
        <c:idx val="99"/>
        <c:spPr>
          <a:solidFill>
            <a:schemeClr val="accent5">
              <a:lumMod val="75000"/>
            </a:schemeClr>
          </a:solidFill>
          <a:ln>
            <a:solidFill>
              <a:schemeClr val="accent5">
                <a:lumMod val="50000"/>
              </a:schemeClr>
            </a:solidFill>
          </a:ln>
          <a:effectLst/>
        </c:spPr>
      </c:pivotFmt>
      <c:pivotFmt>
        <c:idx val="100"/>
        <c:spPr>
          <a:solidFill>
            <a:schemeClr val="accent5">
              <a:lumMod val="75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1"/>
        <c:spPr>
          <a:solidFill>
            <a:schemeClr val="accent5">
              <a:lumMod val="50000"/>
            </a:schemeClr>
          </a:solidFill>
          <a:ln>
            <a:noFill/>
          </a:ln>
          <a:effectLst/>
        </c:spPr>
      </c:pivotFmt>
      <c:pivotFmt>
        <c:idx val="102"/>
        <c:spPr>
          <a:solidFill>
            <a:schemeClr val="accent5">
              <a:lumMod val="75000"/>
            </a:schemeClr>
          </a:solidFill>
          <a:ln>
            <a:noFill/>
          </a:ln>
          <a:effectLst/>
        </c:spPr>
      </c:pivotFmt>
      <c:pivotFmt>
        <c:idx val="103"/>
        <c:spPr>
          <a:solidFill>
            <a:schemeClr val="accent5">
              <a:lumMod val="60000"/>
              <a:lumOff val="40000"/>
            </a:schemeClr>
          </a:solidFill>
          <a:ln>
            <a:noFill/>
          </a:ln>
          <a:effectLst/>
        </c:spPr>
      </c:pivotFmt>
      <c:pivotFmt>
        <c:idx val="104"/>
        <c:spPr>
          <a:solidFill>
            <a:schemeClr val="accent5">
              <a:lumMod val="60000"/>
              <a:lumOff val="40000"/>
            </a:schemeClr>
          </a:solidFill>
          <a:ln>
            <a:noFill/>
          </a:ln>
          <a:effectLst/>
        </c:spPr>
      </c:pivotFmt>
      <c:pivotFmt>
        <c:idx val="105"/>
        <c:spPr>
          <a:solidFill>
            <a:schemeClr val="accent5">
              <a:lumMod val="40000"/>
              <a:lumOff val="60000"/>
            </a:schemeClr>
          </a:solidFill>
          <a:ln>
            <a:noFill/>
          </a:ln>
          <a:effectLst/>
        </c:spPr>
      </c:pivotFmt>
      <c:pivotFmt>
        <c:idx val="106"/>
        <c:spPr>
          <a:solidFill>
            <a:schemeClr val="accent5">
              <a:lumMod val="20000"/>
              <a:lumOff val="80000"/>
            </a:schemeClr>
          </a:solidFill>
          <a:ln>
            <a:noFill/>
          </a:ln>
          <a:effectLst/>
        </c:spPr>
      </c:pivotFmt>
      <c:pivotFmt>
        <c:idx val="107"/>
        <c:spPr>
          <a:solidFill>
            <a:schemeClr val="accent5">
              <a:lumMod val="75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8"/>
        <c:spPr>
          <a:solidFill>
            <a:schemeClr val="accent5">
              <a:lumMod val="50000"/>
            </a:schemeClr>
          </a:solidFill>
          <a:ln>
            <a:noFill/>
          </a:ln>
          <a:effectLst/>
        </c:spPr>
      </c:pivotFmt>
      <c:pivotFmt>
        <c:idx val="109"/>
        <c:spPr>
          <a:solidFill>
            <a:schemeClr val="accent5">
              <a:lumMod val="75000"/>
            </a:schemeClr>
          </a:solidFill>
          <a:ln>
            <a:noFill/>
          </a:ln>
          <a:effectLst/>
        </c:spPr>
      </c:pivotFmt>
      <c:pivotFmt>
        <c:idx val="110"/>
        <c:spPr>
          <a:solidFill>
            <a:schemeClr val="accent5">
              <a:lumMod val="60000"/>
              <a:lumOff val="40000"/>
            </a:schemeClr>
          </a:solidFill>
          <a:ln>
            <a:noFill/>
          </a:ln>
          <a:effectLst/>
        </c:spPr>
      </c:pivotFmt>
      <c:pivotFmt>
        <c:idx val="111"/>
        <c:spPr>
          <a:solidFill>
            <a:schemeClr val="accent5">
              <a:lumMod val="60000"/>
              <a:lumOff val="40000"/>
            </a:schemeClr>
          </a:solidFill>
          <a:ln>
            <a:noFill/>
          </a:ln>
          <a:effectLst/>
        </c:spPr>
      </c:pivotFmt>
      <c:pivotFmt>
        <c:idx val="112"/>
        <c:spPr>
          <a:solidFill>
            <a:schemeClr val="accent5">
              <a:lumMod val="40000"/>
              <a:lumOff val="60000"/>
            </a:schemeClr>
          </a:solidFill>
          <a:ln>
            <a:noFill/>
          </a:ln>
          <a:effectLst/>
        </c:spPr>
      </c:pivotFmt>
      <c:pivotFmt>
        <c:idx val="113"/>
        <c:spPr>
          <a:solidFill>
            <a:schemeClr val="accent5">
              <a:lumMod val="20000"/>
              <a:lumOff val="80000"/>
            </a:schemeClr>
          </a:solidFill>
          <a:ln>
            <a:noFill/>
          </a:ln>
          <a:effectLst/>
        </c:spPr>
      </c:pivotFmt>
    </c:pivotFmts>
    <c:plotArea>
      <c:layout/>
      <c:pieChart>
        <c:varyColors val="1"/>
        <c:ser>
          <c:idx val="0"/>
          <c:order val="0"/>
          <c:tx>
            <c:strRef>
              <c:f>'TOP 6 SHIP CITIES BY REVENUE'!$B$3</c:f>
              <c:strCache>
                <c:ptCount val="1"/>
                <c:pt idx="0">
                  <c:v>Total</c:v>
                </c:pt>
              </c:strCache>
            </c:strRef>
          </c:tx>
          <c:spPr>
            <a:solidFill>
              <a:schemeClr val="accent5">
                <a:lumMod val="75000"/>
              </a:schemeClr>
            </a:solidFill>
            <a:ln>
              <a:solidFill>
                <a:schemeClr val="accent5">
                  <a:lumMod val="50000"/>
                </a:schemeClr>
              </a:solidFill>
            </a:ln>
          </c:spPr>
          <c:dPt>
            <c:idx val="0"/>
            <c:bubble3D val="0"/>
            <c:spPr>
              <a:solidFill>
                <a:schemeClr val="accent5">
                  <a:lumMod val="50000"/>
                </a:schemeClr>
              </a:solidFill>
              <a:ln>
                <a:noFill/>
              </a:ln>
              <a:effectLst/>
            </c:spPr>
            <c:extLst>
              <c:ext xmlns:c16="http://schemas.microsoft.com/office/drawing/2014/chart" uri="{C3380CC4-5D6E-409C-BE32-E72D297353CC}">
                <c16:uniqueId val="{00000001-E000-46ED-847B-3B1425556CB5}"/>
              </c:ext>
            </c:extLst>
          </c:dPt>
          <c:dPt>
            <c:idx val="1"/>
            <c:bubble3D val="0"/>
            <c:spPr>
              <a:solidFill>
                <a:schemeClr val="accent5">
                  <a:lumMod val="75000"/>
                </a:schemeClr>
              </a:solidFill>
              <a:ln>
                <a:noFill/>
              </a:ln>
              <a:effectLst/>
            </c:spPr>
            <c:extLst>
              <c:ext xmlns:c16="http://schemas.microsoft.com/office/drawing/2014/chart" uri="{C3380CC4-5D6E-409C-BE32-E72D297353CC}">
                <c16:uniqueId val="{00000003-E000-46ED-847B-3B1425556CB5}"/>
              </c:ext>
            </c:extLst>
          </c:dPt>
          <c:dPt>
            <c:idx val="2"/>
            <c:bubble3D val="0"/>
            <c:spPr>
              <a:solidFill>
                <a:schemeClr val="accent5">
                  <a:lumMod val="60000"/>
                  <a:lumOff val="40000"/>
                </a:schemeClr>
              </a:solidFill>
              <a:ln>
                <a:noFill/>
              </a:ln>
              <a:effectLst/>
            </c:spPr>
            <c:extLst>
              <c:ext xmlns:c16="http://schemas.microsoft.com/office/drawing/2014/chart" uri="{C3380CC4-5D6E-409C-BE32-E72D297353CC}">
                <c16:uniqueId val="{00000005-E000-46ED-847B-3B1425556CB5}"/>
              </c:ext>
            </c:extLst>
          </c:dPt>
          <c:dPt>
            <c:idx val="3"/>
            <c:bubble3D val="0"/>
            <c:spPr>
              <a:solidFill>
                <a:schemeClr val="accent5">
                  <a:lumMod val="60000"/>
                  <a:lumOff val="40000"/>
                </a:schemeClr>
              </a:solidFill>
              <a:ln>
                <a:noFill/>
              </a:ln>
              <a:effectLst/>
            </c:spPr>
            <c:extLst>
              <c:ext xmlns:c16="http://schemas.microsoft.com/office/drawing/2014/chart" uri="{C3380CC4-5D6E-409C-BE32-E72D297353CC}">
                <c16:uniqueId val="{00000007-E000-46ED-847B-3B1425556CB5}"/>
              </c:ext>
            </c:extLst>
          </c:dPt>
          <c:dPt>
            <c:idx val="4"/>
            <c:bubble3D val="0"/>
            <c:spPr>
              <a:solidFill>
                <a:schemeClr val="accent5">
                  <a:lumMod val="40000"/>
                  <a:lumOff val="60000"/>
                </a:schemeClr>
              </a:solidFill>
              <a:ln>
                <a:noFill/>
              </a:ln>
              <a:effectLst/>
            </c:spPr>
            <c:extLst>
              <c:ext xmlns:c16="http://schemas.microsoft.com/office/drawing/2014/chart" uri="{C3380CC4-5D6E-409C-BE32-E72D297353CC}">
                <c16:uniqueId val="{00000009-E000-46ED-847B-3B1425556CB5}"/>
              </c:ext>
            </c:extLst>
          </c:dPt>
          <c:dPt>
            <c:idx val="5"/>
            <c:bubble3D val="0"/>
            <c:spPr>
              <a:solidFill>
                <a:schemeClr val="accent5">
                  <a:lumMod val="20000"/>
                  <a:lumOff val="80000"/>
                </a:schemeClr>
              </a:solidFill>
              <a:ln>
                <a:noFill/>
              </a:ln>
              <a:effectLst/>
            </c:spPr>
            <c:extLst>
              <c:ext xmlns:c16="http://schemas.microsoft.com/office/drawing/2014/chart" uri="{C3380CC4-5D6E-409C-BE32-E72D297353CC}">
                <c16:uniqueId val="{0000000B-E000-46ED-847B-3B1425556CB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'TOP 6 SHIP CITIES BY REVENUE'!$A$4:$A$10</c:f>
              <c:strCache>
                <c:ptCount val="6"/>
                <c:pt idx="0">
                  <c:v>New York</c:v>
                </c:pt>
                <c:pt idx="1">
                  <c:v>Portland</c:v>
                </c:pt>
                <c:pt idx="2">
                  <c:v>Miami</c:v>
                </c:pt>
                <c:pt idx="3">
                  <c:v>Memphis</c:v>
                </c:pt>
                <c:pt idx="4">
                  <c:v>Chicago</c:v>
                </c:pt>
                <c:pt idx="5">
                  <c:v>Milwaukee</c:v>
                </c:pt>
              </c:strCache>
            </c:strRef>
          </c:cat>
          <c:val>
            <c:numRef>
              <c:f>'TOP 6 SHIP CITIES BY REVENUE'!$B$4:$B$10</c:f>
              <c:numCache>
                <c:formatCode>[$$-409]#,##0.00</c:formatCode>
                <c:ptCount val="6"/>
                <c:pt idx="0">
                  <c:v>67180.5</c:v>
                </c:pt>
                <c:pt idx="1">
                  <c:v>50198.35</c:v>
                </c:pt>
                <c:pt idx="2">
                  <c:v>50145.330000000009</c:v>
                </c:pt>
                <c:pt idx="3">
                  <c:v>43703</c:v>
                </c:pt>
                <c:pt idx="4">
                  <c:v>41095.01</c:v>
                </c:pt>
                <c:pt idx="5">
                  <c:v>37418</c:v>
                </c:pt>
              </c:numCache>
            </c:numRef>
          </c:val>
          <c:extLst>
            <c:ext xmlns:c16="http://schemas.microsoft.com/office/drawing/2014/chart" uri="{C3380CC4-5D6E-409C-BE32-E72D297353CC}">
              <c16:uniqueId val="{0000000C-E000-46ED-847B-3B1425556CB5}"/>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8"/>
    </mc:Choice>
    <mc:Fallback>
      <c:style val="8"/>
    </mc:Fallback>
  </mc:AlternateContent>
  <c:pivotSource>
    <c:name>[Subway performance analysis by Enem sophia.xlsx]TRANSACTION BY AMOUNT!PivotTable1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Arial" panose="020B0604020202020204" pitchFamily="34" charset="0"/>
                <a:cs typeface="Arial" panose="020B0604020202020204" pitchFamily="34" charset="0"/>
              </a:rPr>
              <a:t>Transactions by Amount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c:spPr>
      </c:pivotFmt>
      <c:pivotFmt>
        <c:idx val="3"/>
        <c:spPr>
          <a:solidFill>
            <a:schemeClr val="accent6">
              <a:lumMod val="75000"/>
            </a:schemeClr>
          </a:solidFill>
          <a:ln>
            <a:noFill/>
          </a:ln>
          <a:effectLst/>
        </c:spPr>
      </c:pivotFmt>
      <c:pivotFmt>
        <c:idx val="4"/>
        <c:spPr>
          <a:solidFill>
            <a:schemeClr val="accent6">
              <a:lumMod val="60000"/>
              <a:lumOff val="40000"/>
            </a:schemeClr>
          </a:solidFill>
          <a:ln>
            <a:noFill/>
          </a:ln>
          <a:effectLst/>
        </c:spPr>
      </c:pivotFmt>
      <c:pivotFmt>
        <c:idx val="5"/>
        <c:spPr>
          <a:solidFill>
            <a:schemeClr val="accent6">
              <a:lumMod val="60000"/>
              <a:lumOff val="40000"/>
            </a:schemeClr>
          </a:solidFill>
          <a:ln>
            <a:noFill/>
          </a:ln>
          <a:effectLst/>
        </c:spPr>
      </c:pivotFmt>
      <c:pivotFmt>
        <c:idx val="6"/>
        <c:spPr>
          <a:solidFill>
            <a:schemeClr val="accent6">
              <a:lumMod val="60000"/>
              <a:lumOff val="40000"/>
            </a:schemeClr>
          </a:solidFill>
          <a:ln>
            <a:noFill/>
          </a:ln>
          <a:effectLst/>
        </c:spPr>
      </c:pivotFmt>
      <c:pivotFmt>
        <c:idx val="7"/>
        <c:spPr>
          <a:solidFill>
            <a:schemeClr val="accent6">
              <a:lumMod val="40000"/>
              <a:lumOff val="60000"/>
            </a:schemeClr>
          </a:solidFill>
          <a:ln>
            <a:noFill/>
          </a:ln>
          <a:effectLst/>
        </c:spPr>
      </c:pivotFmt>
      <c:pivotFmt>
        <c:idx val="8"/>
        <c:spPr>
          <a:solidFill>
            <a:schemeClr val="accent6">
              <a:lumMod val="20000"/>
              <a:lumOff val="80000"/>
            </a:schemeClr>
          </a:solidFill>
          <a:ln>
            <a:noFill/>
          </a:ln>
          <a:effectLst/>
        </c:spPr>
      </c:pivotFmt>
      <c:pivotFmt>
        <c:idx val="9"/>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6">
              <a:lumMod val="75000"/>
            </a:schemeClr>
          </a:solidFill>
          <a:ln>
            <a:noFill/>
          </a:ln>
          <a:effectLst/>
        </c:spPr>
      </c:pivotFmt>
      <c:pivotFmt>
        <c:idx val="12"/>
        <c:spPr>
          <a:solidFill>
            <a:schemeClr val="accent6">
              <a:lumMod val="75000"/>
            </a:schemeClr>
          </a:solidFill>
          <a:ln>
            <a:noFill/>
          </a:ln>
          <a:effectLst/>
        </c:spPr>
      </c:pivotFmt>
      <c:pivotFmt>
        <c:idx val="13"/>
        <c:spPr>
          <a:solidFill>
            <a:schemeClr val="accent6">
              <a:lumMod val="60000"/>
              <a:lumOff val="40000"/>
            </a:schemeClr>
          </a:solidFill>
          <a:ln>
            <a:noFill/>
          </a:ln>
          <a:effectLst/>
        </c:spPr>
      </c:pivotFmt>
      <c:pivotFmt>
        <c:idx val="14"/>
        <c:spPr>
          <a:solidFill>
            <a:schemeClr val="accent6">
              <a:lumMod val="60000"/>
              <a:lumOff val="40000"/>
            </a:schemeClr>
          </a:solidFill>
          <a:ln>
            <a:noFill/>
          </a:ln>
          <a:effectLst/>
        </c:spPr>
      </c:pivotFmt>
      <c:pivotFmt>
        <c:idx val="15"/>
        <c:spPr>
          <a:solidFill>
            <a:schemeClr val="accent6">
              <a:lumMod val="60000"/>
              <a:lumOff val="40000"/>
            </a:schemeClr>
          </a:solidFill>
          <a:ln>
            <a:noFill/>
          </a:ln>
          <a:effectLst/>
        </c:spPr>
      </c:pivotFmt>
      <c:pivotFmt>
        <c:idx val="16"/>
        <c:spPr>
          <a:solidFill>
            <a:schemeClr val="accent6">
              <a:lumMod val="40000"/>
              <a:lumOff val="60000"/>
            </a:schemeClr>
          </a:solidFill>
          <a:ln>
            <a:noFill/>
          </a:ln>
          <a:effectLst/>
        </c:spPr>
      </c:pivotFmt>
      <c:pivotFmt>
        <c:idx val="17"/>
        <c:spPr>
          <a:solidFill>
            <a:schemeClr val="accent6">
              <a:lumMod val="20000"/>
              <a:lumOff val="80000"/>
            </a:schemeClr>
          </a:solidFill>
          <a:ln>
            <a:noFill/>
          </a:ln>
          <a:effectLst/>
        </c:spPr>
      </c:pivotFmt>
      <c:pivotFmt>
        <c:idx val="18"/>
        <c:spPr>
          <a:solidFill>
            <a:schemeClr val="accent5">
              <a:lumMod val="50000"/>
            </a:schemeClr>
          </a:solidFill>
          <a:ln>
            <a:noFill/>
          </a:ln>
          <a:effectLst/>
        </c:spPr>
      </c:pivotFmt>
      <c:pivotFmt>
        <c:idx val="19"/>
        <c:spPr>
          <a:solidFill>
            <a:schemeClr val="accent5">
              <a:lumMod val="75000"/>
            </a:schemeClr>
          </a:solidFill>
          <a:ln>
            <a:noFill/>
          </a:ln>
          <a:effectLst/>
        </c:spPr>
      </c:pivotFmt>
      <c:pivotFmt>
        <c:idx val="20"/>
        <c:spPr>
          <a:solidFill>
            <a:schemeClr val="accent5">
              <a:lumMod val="75000"/>
            </a:schemeClr>
          </a:solidFill>
          <a:ln>
            <a:noFill/>
          </a:ln>
          <a:effectLst/>
        </c:spPr>
      </c:pivotFmt>
      <c:pivotFmt>
        <c:idx val="21"/>
        <c:spPr>
          <a:solidFill>
            <a:schemeClr val="accent5">
              <a:lumMod val="75000"/>
            </a:schemeClr>
          </a:solidFill>
          <a:ln>
            <a:noFill/>
          </a:ln>
          <a:effectLst/>
        </c:spPr>
      </c:pivotFmt>
      <c:pivotFmt>
        <c:idx val="22"/>
        <c:spPr>
          <a:solidFill>
            <a:schemeClr val="accent5">
              <a:lumMod val="60000"/>
              <a:lumOff val="40000"/>
            </a:schemeClr>
          </a:solidFill>
          <a:ln>
            <a:noFill/>
          </a:ln>
          <a:effectLst/>
        </c:spPr>
      </c:pivotFmt>
      <c:pivotFmt>
        <c:idx val="23"/>
        <c:spPr>
          <a:solidFill>
            <a:schemeClr val="accent5">
              <a:lumMod val="60000"/>
              <a:lumOff val="40000"/>
            </a:schemeClr>
          </a:solidFill>
          <a:ln>
            <a:noFill/>
          </a:ln>
          <a:effectLst/>
        </c:spPr>
      </c:pivotFmt>
      <c:pivotFmt>
        <c:idx val="24"/>
        <c:spPr>
          <a:solidFill>
            <a:schemeClr val="accent5">
              <a:lumMod val="60000"/>
              <a:lumOff val="40000"/>
            </a:schemeClr>
          </a:solidFill>
          <a:ln>
            <a:noFill/>
          </a:ln>
          <a:effectLst/>
        </c:spPr>
      </c:pivotFmt>
      <c:pivotFmt>
        <c:idx val="25"/>
        <c:spPr>
          <a:solidFill>
            <a:schemeClr val="accent1">
              <a:lumMod val="60000"/>
              <a:lumOff val="40000"/>
            </a:schemeClr>
          </a:solidFill>
          <a:ln>
            <a:noFill/>
          </a:ln>
          <a:effectLst/>
        </c:spPr>
      </c:pivotFmt>
      <c:pivotFmt>
        <c:idx val="26"/>
        <c:spPr>
          <a:solidFill>
            <a:schemeClr val="accent5">
              <a:lumMod val="20000"/>
              <a:lumOff val="80000"/>
            </a:schemeClr>
          </a:solidFill>
          <a:ln>
            <a:noFill/>
          </a:ln>
          <a:effectLst/>
        </c:spPr>
      </c:pivotFmt>
      <c:pivotFmt>
        <c:idx val="27"/>
        <c:spPr>
          <a:solidFill>
            <a:schemeClr val="accent5">
              <a:lumMod val="20000"/>
              <a:lumOff val="80000"/>
            </a:schemeClr>
          </a:solidFill>
          <a:ln>
            <a:noFill/>
          </a:ln>
          <a:effectLst/>
        </c:spPr>
      </c:pivotFmt>
      <c:pivotFmt>
        <c:idx val="28"/>
        <c:spPr>
          <a:solidFill>
            <a:schemeClr val="accent6"/>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5">
              <a:lumMod val="75000"/>
            </a:schemeClr>
          </a:solidFill>
          <a:ln>
            <a:noFill/>
          </a:ln>
          <a:effectLst/>
        </c:spPr>
      </c:pivotFmt>
      <c:pivotFmt>
        <c:idx val="30"/>
        <c:spPr>
          <a:solidFill>
            <a:schemeClr val="accent5">
              <a:lumMod val="75000"/>
            </a:schemeClr>
          </a:solidFill>
          <a:ln>
            <a:noFill/>
          </a:ln>
          <a:effectLst/>
        </c:spPr>
      </c:pivotFmt>
      <c:pivotFmt>
        <c:idx val="31"/>
        <c:spPr>
          <a:solidFill>
            <a:schemeClr val="accent5">
              <a:lumMod val="75000"/>
            </a:schemeClr>
          </a:solidFill>
          <a:ln>
            <a:noFill/>
          </a:ln>
          <a:effectLst/>
        </c:spPr>
      </c:pivotFmt>
      <c:pivotFmt>
        <c:idx val="32"/>
        <c:spPr>
          <a:solidFill>
            <a:schemeClr val="accent5">
              <a:lumMod val="60000"/>
              <a:lumOff val="40000"/>
            </a:schemeClr>
          </a:solidFill>
          <a:ln>
            <a:noFill/>
          </a:ln>
          <a:effectLst/>
        </c:spPr>
      </c:pivotFmt>
      <c:pivotFmt>
        <c:idx val="33"/>
        <c:spPr>
          <a:solidFill>
            <a:schemeClr val="accent5">
              <a:lumMod val="60000"/>
              <a:lumOff val="40000"/>
            </a:schemeClr>
          </a:solidFill>
          <a:ln>
            <a:noFill/>
          </a:ln>
          <a:effectLst/>
        </c:spPr>
      </c:pivotFmt>
      <c:pivotFmt>
        <c:idx val="34"/>
        <c:spPr>
          <a:solidFill>
            <a:schemeClr val="accent5">
              <a:lumMod val="60000"/>
              <a:lumOff val="40000"/>
            </a:schemeClr>
          </a:solidFill>
          <a:ln>
            <a:noFill/>
          </a:ln>
          <a:effectLst/>
        </c:spPr>
      </c:pivotFmt>
      <c:pivotFmt>
        <c:idx val="35"/>
        <c:spPr>
          <a:solidFill>
            <a:schemeClr val="accent1">
              <a:lumMod val="60000"/>
              <a:lumOff val="40000"/>
            </a:schemeClr>
          </a:solidFill>
          <a:ln>
            <a:noFill/>
          </a:ln>
          <a:effectLst/>
        </c:spPr>
      </c:pivotFmt>
      <c:pivotFmt>
        <c:idx val="36"/>
        <c:spPr>
          <a:solidFill>
            <a:schemeClr val="accent5">
              <a:lumMod val="20000"/>
              <a:lumOff val="80000"/>
            </a:schemeClr>
          </a:solidFill>
          <a:ln>
            <a:noFill/>
          </a:ln>
          <a:effectLst/>
        </c:spPr>
      </c:pivotFmt>
      <c:pivotFmt>
        <c:idx val="37"/>
        <c:spPr>
          <a:solidFill>
            <a:schemeClr val="accent5">
              <a:lumMod val="20000"/>
              <a:lumOff val="80000"/>
            </a:schemeClr>
          </a:solidFill>
          <a:ln>
            <a:noFill/>
          </a:ln>
          <a:effectLst/>
        </c:spPr>
      </c:pivotFmt>
      <c:pivotFmt>
        <c:idx val="38"/>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9"/>
        <c:marker>
          <c:symbol val="none"/>
        </c:marker>
      </c:pivotFmt>
      <c:pivotFmt>
        <c:idx val="40"/>
        <c:marker>
          <c:symbol val="none"/>
        </c:marker>
      </c:pivotFmt>
      <c:pivotFmt>
        <c:idx val="41"/>
        <c:marker>
          <c:symbol val="none"/>
        </c:marker>
      </c:pivotFmt>
      <c:pivotFmt>
        <c:idx val="42"/>
        <c:marker>
          <c:symbol val="none"/>
        </c:marker>
      </c:pivotFmt>
      <c:pivotFmt>
        <c:idx val="43"/>
        <c:marker>
          <c:symbol val="none"/>
        </c:marker>
      </c:pivotFmt>
      <c:pivotFmt>
        <c:idx val="44"/>
        <c:marker>
          <c:symbol val="none"/>
        </c:marker>
      </c:pivotFmt>
      <c:pivotFmt>
        <c:idx val="45"/>
        <c:marker>
          <c:symbol val="none"/>
        </c:marker>
      </c:pivotFmt>
      <c:pivotFmt>
        <c:idx val="46"/>
        <c:marker>
          <c:symbol val="none"/>
        </c:marker>
      </c:pivotFmt>
      <c:pivotFmt>
        <c:idx val="47"/>
        <c:marker>
          <c:symbol val="none"/>
        </c:marker>
      </c:pivotFmt>
      <c:pivotFmt>
        <c:idx val="48"/>
        <c:marker>
          <c:symbol val="none"/>
        </c:marker>
      </c:pivotFmt>
      <c:pivotFmt>
        <c:idx val="49"/>
        <c:spPr>
          <a:solidFill>
            <a:schemeClr val="accent5">
              <a:lumMod val="50000"/>
            </a:schemeClr>
          </a:solidFill>
          <a:ln>
            <a:solidFill>
              <a:schemeClr val="accent5">
                <a:lumMod val="50000"/>
              </a:schemeClr>
            </a:solidFill>
          </a:ln>
          <a:effectLst/>
        </c:spPr>
        <c:dLbl>
          <c:idx val="0"/>
          <c:layout>
            <c:manualLayout>
              <c:x val="0.19376571661627359"/>
              <c:y val="-0.1101669174407845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0579194248209406"/>
                  <c:h val="8.0744465918106217E-2"/>
                </c:manualLayout>
              </c15:layout>
            </c:ext>
          </c:extLst>
        </c:dLbl>
      </c:pivotFmt>
      <c:pivotFmt>
        <c:idx val="50"/>
        <c:spPr>
          <a:solidFill>
            <a:schemeClr val="accent5">
              <a:lumMod val="75000"/>
            </a:schemeClr>
          </a:solidFill>
          <a:ln>
            <a:solidFill>
              <a:schemeClr val="accent5">
                <a:lumMod val="50000"/>
              </a:schemeClr>
            </a:solidFill>
          </a:ln>
          <a:effectLst/>
        </c:spPr>
        <c:dLbl>
          <c:idx val="0"/>
          <c:layout>
            <c:manualLayout>
              <c:x val="0.23526512252841114"/>
              <c:y val="-8.127090737811740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5">
              <a:lumMod val="60000"/>
              <a:lumOff val="40000"/>
            </a:schemeClr>
          </a:solidFill>
          <a:ln>
            <a:solidFill>
              <a:schemeClr val="accent5">
                <a:lumMod val="50000"/>
              </a:schemeClr>
            </a:solidFill>
          </a:ln>
          <a:effectLst/>
        </c:spPr>
        <c:dLbl>
          <c:idx val="0"/>
          <c:layout>
            <c:manualLayout>
              <c:x val="-0.1833651303279667"/>
              <c:y val="3.774270475039742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2"/>
        <c:spPr>
          <a:solidFill>
            <a:schemeClr val="accent5">
              <a:lumMod val="20000"/>
              <a:lumOff val="80000"/>
            </a:schemeClr>
          </a:solidFill>
          <a:ln>
            <a:solidFill>
              <a:schemeClr val="accent5">
                <a:lumMod val="50000"/>
              </a:schemeClr>
            </a:solidFill>
          </a:ln>
          <a:effectLst/>
        </c:spPr>
        <c:dLbl>
          <c:idx val="0"/>
          <c:layout>
            <c:manualLayout>
              <c:x val="-0.15616553002261124"/>
              <c:y val="-3.538175545454636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4"/>
        <c:spPr>
          <a:solidFill>
            <a:schemeClr val="accent5">
              <a:lumMod val="75000"/>
            </a:schemeClr>
          </a:solidFill>
          <a:ln>
            <a:solidFill>
              <a:schemeClr val="accent5">
                <a:lumMod val="50000"/>
              </a:schemeClr>
            </a:solidFill>
          </a:ln>
          <a:effectLst/>
        </c:spPr>
        <c:dLbl>
          <c:idx val="0"/>
          <c:layout>
            <c:manualLayout>
              <c:x val="0.23526512252841114"/>
              <c:y val="-8.127090737811740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5"/>
        <c:spPr>
          <a:solidFill>
            <a:schemeClr val="accent5">
              <a:lumMod val="50000"/>
            </a:schemeClr>
          </a:solidFill>
          <a:ln>
            <a:solidFill>
              <a:schemeClr val="accent5">
                <a:lumMod val="50000"/>
              </a:schemeClr>
            </a:solidFill>
          </a:ln>
          <a:effectLst/>
        </c:spPr>
        <c:dLbl>
          <c:idx val="0"/>
          <c:layout>
            <c:manualLayout>
              <c:x val="0.19376571661627359"/>
              <c:y val="-0.1101669174407845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0579194248209406"/>
                  <c:h val="8.0744465918106217E-2"/>
                </c:manualLayout>
              </c15:layout>
            </c:ext>
          </c:extLst>
        </c:dLbl>
      </c:pivotFmt>
      <c:pivotFmt>
        <c:idx val="56"/>
        <c:spPr>
          <a:solidFill>
            <a:schemeClr val="accent5">
              <a:lumMod val="60000"/>
              <a:lumOff val="40000"/>
            </a:schemeClr>
          </a:solidFill>
          <a:ln>
            <a:solidFill>
              <a:schemeClr val="accent5">
                <a:lumMod val="50000"/>
              </a:schemeClr>
            </a:solidFill>
          </a:ln>
          <a:effectLst/>
        </c:spPr>
        <c:dLbl>
          <c:idx val="0"/>
          <c:layout>
            <c:manualLayout>
              <c:x val="-0.1833651303279667"/>
              <c:y val="3.774270475039742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7"/>
        <c:spPr>
          <a:solidFill>
            <a:schemeClr val="accent5">
              <a:lumMod val="20000"/>
              <a:lumOff val="80000"/>
            </a:schemeClr>
          </a:solidFill>
          <a:ln>
            <a:solidFill>
              <a:schemeClr val="accent5">
                <a:lumMod val="50000"/>
              </a:schemeClr>
            </a:solidFill>
          </a:ln>
          <a:effectLst/>
        </c:spPr>
        <c:dLbl>
          <c:idx val="0"/>
          <c:layout>
            <c:manualLayout>
              <c:x val="-0.15616553002261124"/>
              <c:y val="-3.538175545454636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8"/>
        <c:spPr>
          <a:solidFill>
            <a:schemeClr val="accent5">
              <a:lumMod val="50000"/>
            </a:schemeClr>
          </a:solidFill>
          <a:ln>
            <a:solidFill>
              <a:schemeClr val="accent5">
                <a:lumMod val="50000"/>
              </a:schemeClr>
            </a:solidFill>
          </a:ln>
          <a:effectLst/>
        </c:spPr>
      </c:pivotFmt>
      <c:pivotFmt>
        <c:idx val="59"/>
        <c:spPr>
          <a:solidFill>
            <a:schemeClr val="accent5">
              <a:lumMod val="75000"/>
            </a:schemeClr>
          </a:solidFill>
          <a:ln>
            <a:solidFill>
              <a:schemeClr val="accent5">
                <a:lumMod val="50000"/>
              </a:schemeClr>
            </a:solidFill>
          </a:ln>
          <a:effectLst/>
        </c:spPr>
      </c:pivotFmt>
      <c:pivotFmt>
        <c:idx val="60"/>
        <c:spPr>
          <a:solidFill>
            <a:schemeClr val="accent5">
              <a:lumMod val="60000"/>
              <a:lumOff val="40000"/>
            </a:schemeClr>
          </a:solidFill>
          <a:ln>
            <a:solidFill>
              <a:schemeClr val="accent5">
                <a:lumMod val="50000"/>
              </a:schemeClr>
            </a:solidFill>
          </a:ln>
          <a:effectLst/>
        </c:spPr>
      </c:pivotFmt>
      <c:pivotFmt>
        <c:idx val="61"/>
        <c:spPr>
          <a:solidFill>
            <a:schemeClr val="accent5">
              <a:lumMod val="40000"/>
              <a:lumOff val="60000"/>
            </a:schemeClr>
          </a:solidFill>
          <a:ln>
            <a:solidFill>
              <a:schemeClr val="accent5">
                <a:lumMod val="50000"/>
              </a:schemeClr>
            </a:solidFill>
          </a:ln>
          <a:effectLst/>
        </c:spPr>
      </c:pivotFmt>
      <c:pivotFmt>
        <c:idx val="62"/>
        <c:spPr>
          <a:solidFill>
            <a:schemeClr val="accent5">
              <a:lumMod val="20000"/>
              <a:lumOff val="80000"/>
            </a:schemeClr>
          </a:solidFill>
          <a:ln>
            <a:solidFill>
              <a:schemeClr val="accent5">
                <a:lumMod val="50000"/>
              </a:schemeClr>
            </a:solidFill>
          </a:ln>
          <a:effectLst/>
        </c:spPr>
      </c:pivotFmt>
      <c:pivotFmt>
        <c:idx val="63"/>
        <c:spPr>
          <a:solidFill>
            <a:schemeClr val="accent5">
              <a:lumMod val="75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4"/>
        <c:spPr>
          <a:solidFill>
            <a:schemeClr val="accent5">
              <a:lumMod val="50000"/>
            </a:schemeClr>
          </a:solidFill>
          <a:ln>
            <a:solidFill>
              <a:schemeClr val="accent5">
                <a:lumMod val="50000"/>
              </a:schemeClr>
            </a:solidFill>
          </a:ln>
          <a:effectLst/>
        </c:spPr>
      </c:pivotFmt>
      <c:pivotFmt>
        <c:idx val="65"/>
        <c:spPr>
          <a:solidFill>
            <a:schemeClr val="accent5">
              <a:lumMod val="75000"/>
            </a:schemeClr>
          </a:solidFill>
          <a:ln>
            <a:solidFill>
              <a:schemeClr val="accent5">
                <a:lumMod val="50000"/>
              </a:schemeClr>
            </a:solidFill>
          </a:ln>
          <a:effectLst/>
        </c:spPr>
      </c:pivotFmt>
      <c:pivotFmt>
        <c:idx val="66"/>
        <c:spPr>
          <a:solidFill>
            <a:schemeClr val="accent5">
              <a:lumMod val="60000"/>
              <a:lumOff val="40000"/>
            </a:schemeClr>
          </a:solidFill>
          <a:ln>
            <a:solidFill>
              <a:schemeClr val="accent5">
                <a:lumMod val="50000"/>
              </a:schemeClr>
            </a:solidFill>
          </a:ln>
          <a:effectLst/>
        </c:spPr>
      </c:pivotFmt>
      <c:pivotFmt>
        <c:idx val="67"/>
        <c:spPr>
          <a:solidFill>
            <a:schemeClr val="accent5">
              <a:lumMod val="40000"/>
              <a:lumOff val="60000"/>
            </a:schemeClr>
          </a:solidFill>
          <a:ln>
            <a:solidFill>
              <a:schemeClr val="accent5">
                <a:lumMod val="50000"/>
              </a:schemeClr>
            </a:solidFill>
          </a:ln>
          <a:effectLst/>
        </c:spPr>
      </c:pivotFmt>
      <c:pivotFmt>
        <c:idx val="68"/>
        <c:spPr>
          <a:solidFill>
            <a:schemeClr val="accent5">
              <a:lumMod val="20000"/>
              <a:lumOff val="80000"/>
            </a:schemeClr>
          </a:solidFill>
          <a:ln>
            <a:solidFill>
              <a:schemeClr val="accent5">
                <a:lumMod val="50000"/>
              </a:schemeClr>
            </a:solidFill>
          </a:ln>
          <a:effectLst/>
        </c:spPr>
      </c:pivotFmt>
      <c:pivotFmt>
        <c:idx val="69"/>
        <c:spPr>
          <a:solidFill>
            <a:schemeClr val="accent5">
              <a:lumMod val="75000"/>
            </a:schemeClr>
          </a:solidFill>
          <a:ln>
            <a:solidFill>
              <a:schemeClr val="accent5">
                <a:lumMod val="50000"/>
              </a:schemeClr>
            </a:solidFill>
          </a:ln>
          <a:effectLst/>
        </c:spPr>
      </c:pivotFmt>
      <c:pivotFmt>
        <c:idx val="70"/>
        <c:spPr>
          <a:solidFill>
            <a:schemeClr val="accent5">
              <a:lumMod val="75000"/>
            </a:schemeClr>
          </a:solidFill>
          <a:ln>
            <a:solidFill>
              <a:schemeClr val="accent5">
                <a:lumMod val="50000"/>
              </a:schemeClr>
            </a:solidFill>
          </a:ln>
          <a:effectLst/>
        </c:spPr>
      </c:pivotFmt>
      <c:pivotFmt>
        <c:idx val="71"/>
        <c:spPr>
          <a:solidFill>
            <a:schemeClr val="accent5">
              <a:lumMod val="40000"/>
              <a:lumOff val="60000"/>
            </a:schemeClr>
          </a:solidFill>
          <a:ln>
            <a:solidFill>
              <a:schemeClr val="accent5">
                <a:lumMod val="50000"/>
              </a:schemeClr>
            </a:solidFill>
          </a:ln>
          <a:effectLst/>
        </c:spPr>
      </c:pivotFmt>
      <c:pivotFmt>
        <c:idx val="72"/>
        <c:spPr>
          <a:solidFill>
            <a:schemeClr val="accent5">
              <a:lumMod val="60000"/>
              <a:lumOff val="40000"/>
            </a:schemeClr>
          </a:solidFill>
          <a:ln>
            <a:solidFill>
              <a:schemeClr val="accent5">
                <a:lumMod val="50000"/>
              </a:schemeClr>
            </a:solidFill>
          </a:ln>
          <a:effectLst/>
        </c:spPr>
      </c:pivotFmt>
      <c:pivotFmt>
        <c:idx val="73"/>
        <c:spPr>
          <a:solidFill>
            <a:schemeClr val="accent5">
              <a:lumMod val="60000"/>
              <a:lumOff val="40000"/>
            </a:schemeClr>
          </a:solidFill>
          <a:ln>
            <a:solidFill>
              <a:schemeClr val="accent5">
                <a:lumMod val="50000"/>
              </a:schemeClr>
            </a:solidFill>
          </a:ln>
          <a:effectLst/>
        </c:spPr>
      </c:pivotFmt>
      <c:pivotFmt>
        <c:idx val="74"/>
        <c:spPr>
          <a:solidFill>
            <a:schemeClr val="accent5">
              <a:lumMod val="75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5"/>
        <c:spPr>
          <a:solidFill>
            <a:schemeClr val="accent5">
              <a:lumMod val="60000"/>
              <a:lumOff val="40000"/>
            </a:schemeClr>
          </a:solidFill>
          <a:ln>
            <a:solidFill>
              <a:schemeClr val="accent5">
                <a:lumMod val="50000"/>
              </a:schemeClr>
            </a:solidFill>
          </a:ln>
          <a:effectLst/>
        </c:spPr>
      </c:pivotFmt>
      <c:pivotFmt>
        <c:idx val="76"/>
        <c:spPr>
          <a:solidFill>
            <a:schemeClr val="accent5">
              <a:lumMod val="40000"/>
              <a:lumOff val="60000"/>
            </a:schemeClr>
          </a:solidFill>
          <a:ln>
            <a:solidFill>
              <a:schemeClr val="accent5">
                <a:lumMod val="50000"/>
              </a:schemeClr>
            </a:solidFill>
          </a:ln>
          <a:effectLst/>
        </c:spPr>
      </c:pivotFmt>
      <c:pivotFmt>
        <c:idx val="77"/>
        <c:spPr>
          <a:solidFill>
            <a:schemeClr val="accent5">
              <a:lumMod val="60000"/>
              <a:lumOff val="40000"/>
            </a:schemeClr>
          </a:solidFill>
          <a:ln>
            <a:solidFill>
              <a:schemeClr val="accent5">
                <a:lumMod val="50000"/>
              </a:schemeClr>
            </a:solidFill>
          </a:ln>
          <a:effectLst/>
        </c:spPr>
      </c:pivotFmt>
      <c:pivotFmt>
        <c:idx val="78"/>
        <c:spPr>
          <a:solidFill>
            <a:schemeClr val="accent5">
              <a:lumMod val="75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9"/>
        <c:spPr>
          <a:solidFill>
            <a:schemeClr val="accent5">
              <a:lumMod val="60000"/>
              <a:lumOff val="40000"/>
            </a:schemeClr>
          </a:solidFill>
          <a:ln>
            <a:noFill/>
          </a:ln>
          <a:effectLst/>
        </c:spPr>
      </c:pivotFmt>
      <c:pivotFmt>
        <c:idx val="80"/>
        <c:spPr>
          <a:solidFill>
            <a:schemeClr val="accent5">
              <a:lumMod val="40000"/>
              <a:lumOff val="60000"/>
            </a:schemeClr>
          </a:solidFill>
          <a:ln>
            <a:noFill/>
          </a:ln>
          <a:effectLst/>
        </c:spPr>
      </c:pivotFmt>
      <c:pivotFmt>
        <c:idx val="81"/>
        <c:spPr>
          <a:solidFill>
            <a:schemeClr val="accent5">
              <a:lumMod val="60000"/>
              <a:lumOff val="40000"/>
            </a:schemeClr>
          </a:solidFill>
          <a:ln>
            <a:noFill/>
          </a:ln>
          <a:effectLst/>
        </c:spPr>
      </c:pivotFmt>
      <c:pivotFmt>
        <c:idx val="82"/>
        <c:spPr>
          <a:solidFill>
            <a:schemeClr val="accent5">
              <a:lumMod val="75000"/>
            </a:schemeClr>
          </a:solidFill>
          <a:ln>
            <a:noFill/>
          </a:ln>
          <a:effectLst/>
        </c:spPr>
      </c:pivotFmt>
      <c:pivotFmt>
        <c:idx val="83"/>
        <c:spPr>
          <a:solidFill>
            <a:schemeClr val="accent5">
              <a:lumMod val="75000"/>
            </a:schemeClr>
          </a:solidFill>
          <a:ln>
            <a:noFill/>
          </a:ln>
          <a:effectLst/>
        </c:spPr>
      </c:pivotFmt>
      <c:pivotFmt>
        <c:idx val="84"/>
        <c:spPr>
          <a:solidFill>
            <a:schemeClr val="accent5">
              <a:lumMod val="75000"/>
            </a:schemeClr>
          </a:solidFill>
          <a:ln>
            <a:noFill/>
          </a:ln>
          <a:effectLst/>
        </c:spPr>
      </c:pivotFmt>
      <c:pivotFmt>
        <c:idx val="85"/>
        <c:spPr>
          <a:solidFill>
            <a:schemeClr val="accent5">
              <a:lumMod val="75000"/>
            </a:schemeClr>
          </a:solidFill>
          <a:ln>
            <a:noFill/>
          </a:ln>
          <a:effectLst/>
        </c:spPr>
      </c:pivotFmt>
      <c:pivotFmt>
        <c:idx val="86"/>
        <c:spPr>
          <a:solidFill>
            <a:schemeClr val="accent5">
              <a:lumMod val="75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7"/>
        <c:spPr>
          <a:solidFill>
            <a:schemeClr val="accent5">
              <a:lumMod val="75000"/>
            </a:schemeClr>
          </a:solidFill>
          <a:ln>
            <a:noFill/>
          </a:ln>
          <a:effectLst/>
        </c:spPr>
      </c:pivotFmt>
      <c:pivotFmt>
        <c:idx val="88"/>
        <c:spPr>
          <a:solidFill>
            <a:schemeClr val="accent5">
              <a:lumMod val="75000"/>
            </a:schemeClr>
          </a:solidFill>
          <a:ln>
            <a:noFill/>
          </a:ln>
          <a:effectLst/>
        </c:spPr>
      </c:pivotFmt>
      <c:pivotFmt>
        <c:idx val="89"/>
        <c:spPr>
          <a:solidFill>
            <a:schemeClr val="accent5">
              <a:lumMod val="60000"/>
              <a:lumOff val="40000"/>
            </a:schemeClr>
          </a:solidFill>
          <a:ln>
            <a:noFill/>
          </a:ln>
          <a:effectLst/>
        </c:spPr>
      </c:pivotFmt>
      <c:pivotFmt>
        <c:idx val="90"/>
        <c:spPr>
          <a:solidFill>
            <a:schemeClr val="accent5">
              <a:lumMod val="40000"/>
              <a:lumOff val="60000"/>
            </a:schemeClr>
          </a:solidFill>
          <a:ln>
            <a:noFill/>
          </a:ln>
          <a:effectLst/>
        </c:spPr>
      </c:pivotFmt>
      <c:pivotFmt>
        <c:idx val="91"/>
        <c:spPr>
          <a:solidFill>
            <a:schemeClr val="accent5">
              <a:lumMod val="60000"/>
              <a:lumOff val="40000"/>
            </a:schemeClr>
          </a:solidFill>
          <a:ln>
            <a:noFill/>
          </a:ln>
          <a:effectLst/>
        </c:spPr>
      </c:pivotFmt>
      <c:pivotFmt>
        <c:idx val="92"/>
        <c:spPr>
          <a:solidFill>
            <a:schemeClr val="accent5">
              <a:lumMod val="75000"/>
            </a:schemeClr>
          </a:solidFill>
          <a:ln>
            <a:noFill/>
          </a:ln>
          <a:effectLst/>
        </c:spPr>
      </c:pivotFmt>
      <c:pivotFmt>
        <c:idx val="93"/>
        <c:spPr>
          <a:solidFill>
            <a:schemeClr val="accent5">
              <a:lumMod val="75000"/>
            </a:schemeClr>
          </a:solidFill>
          <a:ln>
            <a:noFill/>
          </a:ln>
          <a:effectLst/>
        </c:spPr>
      </c:pivotFmt>
      <c:pivotFmt>
        <c:idx val="94"/>
        <c:spPr>
          <a:solidFill>
            <a:schemeClr val="accent5">
              <a:lumMod val="75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5"/>
        <c:spPr>
          <a:solidFill>
            <a:schemeClr val="accent5">
              <a:lumMod val="75000"/>
            </a:schemeClr>
          </a:solidFill>
          <a:ln>
            <a:noFill/>
          </a:ln>
          <a:effectLst/>
        </c:spPr>
      </c:pivotFmt>
      <c:pivotFmt>
        <c:idx val="96"/>
        <c:spPr>
          <a:solidFill>
            <a:schemeClr val="accent5">
              <a:lumMod val="75000"/>
            </a:schemeClr>
          </a:solidFill>
          <a:ln>
            <a:noFill/>
          </a:ln>
          <a:effectLst/>
        </c:spPr>
      </c:pivotFmt>
      <c:pivotFmt>
        <c:idx val="97"/>
        <c:spPr>
          <a:solidFill>
            <a:schemeClr val="accent5">
              <a:lumMod val="60000"/>
              <a:lumOff val="40000"/>
            </a:schemeClr>
          </a:solidFill>
          <a:ln>
            <a:noFill/>
          </a:ln>
          <a:effectLst/>
        </c:spPr>
      </c:pivotFmt>
      <c:pivotFmt>
        <c:idx val="98"/>
        <c:spPr>
          <a:solidFill>
            <a:schemeClr val="accent5">
              <a:lumMod val="40000"/>
              <a:lumOff val="60000"/>
            </a:schemeClr>
          </a:solidFill>
          <a:ln>
            <a:noFill/>
          </a:ln>
          <a:effectLst/>
        </c:spPr>
      </c:pivotFmt>
      <c:pivotFmt>
        <c:idx val="99"/>
        <c:spPr>
          <a:solidFill>
            <a:schemeClr val="accent5">
              <a:lumMod val="60000"/>
              <a:lumOff val="40000"/>
            </a:schemeClr>
          </a:solidFill>
          <a:ln>
            <a:noFill/>
          </a:ln>
          <a:effectLst/>
        </c:spPr>
      </c:pivotFmt>
      <c:pivotFmt>
        <c:idx val="100"/>
        <c:spPr>
          <a:solidFill>
            <a:schemeClr val="accent5">
              <a:lumMod val="75000"/>
            </a:schemeClr>
          </a:solidFill>
          <a:ln>
            <a:noFill/>
          </a:ln>
          <a:effectLst/>
        </c:spPr>
      </c:pivotFmt>
      <c:pivotFmt>
        <c:idx val="101"/>
        <c:spPr>
          <a:solidFill>
            <a:schemeClr val="accent5">
              <a:lumMod val="75000"/>
            </a:schemeClr>
          </a:solidFill>
          <a:ln>
            <a:noFill/>
          </a:ln>
          <a:effectLst/>
        </c:spPr>
      </c:pivotFmt>
    </c:pivotFmts>
    <c:plotArea>
      <c:layout/>
      <c:barChart>
        <c:barDir val="col"/>
        <c:grouping val="clustered"/>
        <c:varyColors val="0"/>
        <c:ser>
          <c:idx val="0"/>
          <c:order val="0"/>
          <c:tx>
            <c:strRef>
              <c:f>'TRANSACTION BY AMOUNT'!$B$3</c:f>
              <c:strCache>
                <c:ptCount val="1"/>
                <c:pt idx="0">
                  <c:v>Total</c:v>
                </c:pt>
              </c:strCache>
            </c:strRef>
          </c:tx>
          <c:spPr>
            <a:solidFill>
              <a:schemeClr val="accent5">
                <a:lumMod val="75000"/>
              </a:schemeClr>
            </a:solidFill>
            <a:ln>
              <a:solidFill>
                <a:schemeClr val="accent5">
                  <a:lumMod val="50000"/>
                </a:schemeClr>
              </a:solidFill>
            </a:ln>
            <a:effectLst/>
          </c:spPr>
          <c:invertIfNegative val="0"/>
          <c:dPt>
            <c:idx val="0"/>
            <c:invertIfNegative val="0"/>
            <c:bubble3D val="0"/>
            <c:spPr>
              <a:solidFill>
                <a:schemeClr val="accent5">
                  <a:lumMod val="75000"/>
                </a:schemeClr>
              </a:solidFill>
              <a:ln>
                <a:noFill/>
              </a:ln>
              <a:effectLst/>
            </c:spPr>
            <c:extLst>
              <c:ext xmlns:c16="http://schemas.microsoft.com/office/drawing/2014/chart" uri="{C3380CC4-5D6E-409C-BE32-E72D297353CC}">
                <c16:uniqueId val="{00000001-EB4D-4353-BA1A-6F475896DC11}"/>
              </c:ext>
            </c:extLst>
          </c:dPt>
          <c:dPt>
            <c:idx val="1"/>
            <c:invertIfNegative val="0"/>
            <c:bubble3D val="0"/>
            <c:spPr>
              <a:solidFill>
                <a:schemeClr val="accent5">
                  <a:lumMod val="75000"/>
                </a:schemeClr>
              </a:solidFill>
              <a:ln>
                <a:noFill/>
              </a:ln>
              <a:effectLst/>
            </c:spPr>
            <c:extLst>
              <c:ext xmlns:c16="http://schemas.microsoft.com/office/drawing/2014/chart" uri="{C3380CC4-5D6E-409C-BE32-E72D297353CC}">
                <c16:uniqueId val="{00000003-EB4D-4353-BA1A-6F475896DC11}"/>
              </c:ext>
            </c:extLst>
          </c:dPt>
          <c:dPt>
            <c:idx val="2"/>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5-EB4D-4353-BA1A-6F475896DC11}"/>
              </c:ext>
            </c:extLst>
          </c:dPt>
          <c:dPt>
            <c:idx val="3"/>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7-EB4D-4353-BA1A-6F475896DC11}"/>
              </c:ext>
            </c:extLst>
          </c:dPt>
          <c:dPt>
            <c:idx val="4"/>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9-EB4D-4353-BA1A-6F475896DC11}"/>
              </c:ext>
            </c:extLst>
          </c:dPt>
          <c:dPt>
            <c:idx val="5"/>
            <c:invertIfNegative val="0"/>
            <c:bubble3D val="0"/>
            <c:spPr>
              <a:solidFill>
                <a:schemeClr val="accent5">
                  <a:lumMod val="75000"/>
                </a:schemeClr>
              </a:solidFill>
              <a:ln>
                <a:noFill/>
              </a:ln>
              <a:effectLst/>
            </c:spPr>
            <c:extLst>
              <c:ext xmlns:c16="http://schemas.microsoft.com/office/drawing/2014/chart" uri="{C3380CC4-5D6E-409C-BE32-E72D297353CC}">
                <c16:uniqueId val="{0000000B-EB4D-4353-BA1A-6F475896DC11}"/>
              </c:ext>
            </c:extLst>
          </c:dPt>
          <c:dPt>
            <c:idx val="6"/>
            <c:invertIfNegative val="0"/>
            <c:bubble3D val="0"/>
            <c:spPr>
              <a:solidFill>
                <a:schemeClr val="accent5">
                  <a:lumMod val="75000"/>
                </a:schemeClr>
              </a:solidFill>
              <a:ln>
                <a:noFill/>
              </a:ln>
              <a:effectLst/>
            </c:spPr>
            <c:extLst>
              <c:ext xmlns:c16="http://schemas.microsoft.com/office/drawing/2014/chart" uri="{C3380CC4-5D6E-409C-BE32-E72D297353CC}">
                <c16:uniqueId val="{0000000D-EB4D-4353-BA1A-6F475896DC1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'TRANSACTION BY AMOUNT'!$A$4:$A$11</c:f>
              <c:strCache>
                <c:ptCount val="7"/>
                <c:pt idx="0">
                  <c:v>0-1000</c:v>
                </c:pt>
                <c:pt idx="1">
                  <c:v>1000-2000</c:v>
                </c:pt>
                <c:pt idx="2">
                  <c:v>2000-3000</c:v>
                </c:pt>
                <c:pt idx="3">
                  <c:v>3000-4000</c:v>
                </c:pt>
                <c:pt idx="4">
                  <c:v>4000-5000</c:v>
                </c:pt>
                <c:pt idx="5">
                  <c:v>6000-7000</c:v>
                </c:pt>
                <c:pt idx="6">
                  <c:v>7000-8000</c:v>
                </c:pt>
              </c:strCache>
            </c:strRef>
          </c:cat>
          <c:val>
            <c:numRef>
              <c:f>'TRANSACTION BY AMOUNT'!$B$4:$B$11</c:f>
              <c:numCache>
                <c:formatCode>General</c:formatCode>
                <c:ptCount val="7"/>
                <c:pt idx="0">
                  <c:v>218</c:v>
                </c:pt>
                <c:pt idx="1">
                  <c:v>85</c:v>
                </c:pt>
                <c:pt idx="2">
                  <c:v>31</c:v>
                </c:pt>
                <c:pt idx="3">
                  <c:v>24</c:v>
                </c:pt>
                <c:pt idx="4">
                  <c:v>8</c:v>
                </c:pt>
                <c:pt idx="5">
                  <c:v>2</c:v>
                </c:pt>
                <c:pt idx="6">
                  <c:v>1</c:v>
                </c:pt>
              </c:numCache>
            </c:numRef>
          </c:val>
          <c:extLst>
            <c:ext xmlns:c16="http://schemas.microsoft.com/office/drawing/2014/chart" uri="{C3380CC4-5D6E-409C-BE32-E72D297353CC}">
              <c16:uniqueId val="{0000000E-EB4D-4353-BA1A-6F475896DC11}"/>
            </c:ext>
          </c:extLst>
        </c:ser>
        <c:dLbls>
          <c:showLegendKey val="0"/>
          <c:showVal val="0"/>
          <c:showCatName val="0"/>
          <c:showSerName val="0"/>
          <c:showPercent val="0"/>
          <c:showBubbleSize val="0"/>
        </c:dLbls>
        <c:gapWidth val="100"/>
        <c:axId val="505131416"/>
        <c:axId val="505138960"/>
      </c:barChart>
      <c:valAx>
        <c:axId val="505138960"/>
        <c:scaling>
          <c:orientation val="minMax"/>
        </c:scaling>
        <c:delete val="1"/>
        <c:axPos val="l"/>
        <c:numFmt formatCode="General" sourceLinked="1"/>
        <c:majorTickMark val="out"/>
        <c:minorTickMark val="none"/>
        <c:tickLblPos val="nextTo"/>
        <c:crossAx val="505131416"/>
        <c:crosses val="autoZero"/>
        <c:crossBetween val="between"/>
      </c:valAx>
      <c:catAx>
        <c:axId val="5051314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138960"/>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8"/>
    </mc:Choice>
    <mc:Fallback>
      <c:style val="8"/>
    </mc:Fallback>
  </mc:AlternateContent>
  <c:pivotSource>
    <c:name>[Subway performance analysis by Enem sophia.xlsx]SALES BY PRODUCT CATEGORY!PivotTable1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Arial" panose="020B0604020202020204" pitchFamily="34" charset="0"/>
                <a:cs typeface="Arial" panose="020B0604020202020204" pitchFamily="34" charset="0"/>
              </a:rPr>
              <a:t>Sales by Product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c:spPr>
      </c:pivotFmt>
      <c:pivotFmt>
        <c:idx val="3"/>
        <c:spPr>
          <a:solidFill>
            <a:schemeClr val="accent6">
              <a:lumMod val="75000"/>
            </a:schemeClr>
          </a:solidFill>
          <a:ln>
            <a:noFill/>
          </a:ln>
          <a:effectLst/>
        </c:spPr>
      </c:pivotFmt>
      <c:pivotFmt>
        <c:idx val="4"/>
        <c:spPr>
          <a:solidFill>
            <a:schemeClr val="accent6">
              <a:lumMod val="60000"/>
              <a:lumOff val="40000"/>
            </a:schemeClr>
          </a:solidFill>
          <a:ln>
            <a:noFill/>
          </a:ln>
          <a:effectLst/>
        </c:spPr>
      </c:pivotFmt>
      <c:pivotFmt>
        <c:idx val="5"/>
        <c:spPr>
          <a:solidFill>
            <a:schemeClr val="accent6">
              <a:lumMod val="60000"/>
              <a:lumOff val="40000"/>
            </a:schemeClr>
          </a:solidFill>
          <a:ln>
            <a:noFill/>
          </a:ln>
          <a:effectLst/>
        </c:spPr>
      </c:pivotFmt>
      <c:pivotFmt>
        <c:idx val="6"/>
        <c:spPr>
          <a:solidFill>
            <a:schemeClr val="accent6">
              <a:lumMod val="60000"/>
              <a:lumOff val="40000"/>
            </a:schemeClr>
          </a:solidFill>
          <a:ln>
            <a:noFill/>
          </a:ln>
          <a:effectLst/>
        </c:spPr>
      </c:pivotFmt>
      <c:pivotFmt>
        <c:idx val="7"/>
        <c:spPr>
          <a:solidFill>
            <a:schemeClr val="accent6">
              <a:lumMod val="40000"/>
              <a:lumOff val="60000"/>
            </a:schemeClr>
          </a:solidFill>
          <a:ln>
            <a:noFill/>
          </a:ln>
          <a:effectLst/>
        </c:spPr>
      </c:pivotFmt>
      <c:pivotFmt>
        <c:idx val="8"/>
        <c:spPr>
          <a:solidFill>
            <a:schemeClr val="accent6">
              <a:lumMod val="20000"/>
              <a:lumOff val="80000"/>
            </a:schemeClr>
          </a:solidFill>
          <a:ln>
            <a:noFill/>
          </a:ln>
          <a:effectLst/>
        </c:spPr>
      </c:pivotFmt>
      <c:pivotFmt>
        <c:idx val="9"/>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6">
              <a:lumMod val="50000"/>
            </a:schemeClr>
          </a:solidFill>
          <a:ln>
            <a:noFill/>
          </a:ln>
          <a:effectLst/>
        </c:spPr>
        <c:dLbl>
          <c:idx val="0"/>
          <c:layout>
            <c:manualLayout>
              <c:x val="0"/>
              <c:y val="2.121889068003332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6">
              <a:lumMod val="75000"/>
            </a:schemeClr>
          </a:solidFill>
          <a:ln>
            <a:noFill/>
          </a:ln>
          <a:effectLst/>
        </c:spPr>
      </c:pivotFmt>
      <c:pivotFmt>
        <c:idx val="12"/>
        <c:spPr>
          <a:solidFill>
            <a:schemeClr val="accent6">
              <a:lumMod val="75000"/>
            </a:schemeClr>
          </a:solidFill>
          <a:ln>
            <a:noFill/>
          </a:ln>
          <a:effectLst/>
        </c:spPr>
      </c:pivotFmt>
      <c:pivotFmt>
        <c:idx val="13"/>
        <c:spPr>
          <a:solidFill>
            <a:schemeClr val="accent6">
              <a:lumMod val="60000"/>
              <a:lumOff val="40000"/>
            </a:schemeClr>
          </a:solidFill>
          <a:ln>
            <a:noFill/>
          </a:ln>
          <a:effectLst/>
        </c:spPr>
      </c:pivotFmt>
      <c:pivotFmt>
        <c:idx val="14"/>
        <c:spPr>
          <a:solidFill>
            <a:schemeClr val="accent6">
              <a:lumMod val="60000"/>
              <a:lumOff val="40000"/>
            </a:schemeClr>
          </a:solidFill>
          <a:ln>
            <a:noFill/>
          </a:ln>
          <a:effectLst/>
        </c:spPr>
      </c:pivotFmt>
      <c:pivotFmt>
        <c:idx val="15"/>
        <c:spPr>
          <a:solidFill>
            <a:schemeClr val="accent6">
              <a:lumMod val="60000"/>
              <a:lumOff val="40000"/>
            </a:schemeClr>
          </a:solidFill>
          <a:ln>
            <a:noFill/>
          </a:ln>
          <a:effectLst/>
        </c:spPr>
      </c:pivotFmt>
      <c:pivotFmt>
        <c:idx val="16"/>
        <c:spPr>
          <a:solidFill>
            <a:schemeClr val="accent6">
              <a:lumMod val="40000"/>
              <a:lumOff val="60000"/>
            </a:schemeClr>
          </a:solidFill>
          <a:ln>
            <a:noFill/>
          </a:ln>
          <a:effectLst/>
        </c:spPr>
      </c:pivotFmt>
      <c:pivotFmt>
        <c:idx val="17"/>
        <c:spPr>
          <a:solidFill>
            <a:schemeClr val="accent6">
              <a:lumMod val="20000"/>
              <a:lumOff val="80000"/>
            </a:schemeClr>
          </a:solidFill>
          <a:ln>
            <a:noFill/>
          </a:ln>
          <a:effectLst/>
        </c:spPr>
      </c:pivotFmt>
      <c:pivotFmt>
        <c:idx val="18"/>
        <c:spPr>
          <a:solidFill>
            <a:schemeClr val="accent5">
              <a:lumMod val="50000"/>
            </a:schemeClr>
          </a:solidFill>
          <a:ln>
            <a:noFill/>
          </a:ln>
          <a:effectLst/>
        </c:spPr>
      </c:pivotFmt>
      <c:pivotFmt>
        <c:idx val="19"/>
        <c:spPr>
          <a:solidFill>
            <a:schemeClr val="accent5">
              <a:lumMod val="75000"/>
            </a:schemeClr>
          </a:solidFill>
          <a:ln>
            <a:noFill/>
          </a:ln>
          <a:effectLst/>
        </c:spPr>
      </c:pivotFmt>
      <c:pivotFmt>
        <c:idx val="20"/>
        <c:spPr>
          <a:solidFill>
            <a:schemeClr val="accent5">
              <a:lumMod val="75000"/>
            </a:schemeClr>
          </a:solidFill>
          <a:ln>
            <a:noFill/>
          </a:ln>
          <a:effectLst/>
        </c:spPr>
      </c:pivotFmt>
      <c:pivotFmt>
        <c:idx val="21"/>
        <c:spPr>
          <a:solidFill>
            <a:schemeClr val="accent5">
              <a:lumMod val="75000"/>
            </a:schemeClr>
          </a:solidFill>
          <a:ln>
            <a:noFill/>
          </a:ln>
          <a:effectLst/>
        </c:spPr>
      </c:pivotFmt>
      <c:pivotFmt>
        <c:idx val="22"/>
        <c:spPr>
          <a:solidFill>
            <a:schemeClr val="accent5">
              <a:lumMod val="60000"/>
              <a:lumOff val="40000"/>
            </a:schemeClr>
          </a:solidFill>
          <a:ln>
            <a:noFill/>
          </a:ln>
          <a:effectLst/>
        </c:spPr>
      </c:pivotFmt>
      <c:pivotFmt>
        <c:idx val="23"/>
        <c:spPr>
          <a:solidFill>
            <a:schemeClr val="accent5">
              <a:lumMod val="60000"/>
              <a:lumOff val="40000"/>
            </a:schemeClr>
          </a:solidFill>
          <a:ln>
            <a:noFill/>
          </a:ln>
          <a:effectLst/>
        </c:spPr>
      </c:pivotFmt>
      <c:pivotFmt>
        <c:idx val="24"/>
        <c:spPr>
          <a:solidFill>
            <a:schemeClr val="accent5">
              <a:lumMod val="60000"/>
              <a:lumOff val="40000"/>
            </a:schemeClr>
          </a:solidFill>
          <a:ln>
            <a:noFill/>
          </a:ln>
          <a:effectLst/>
        </c:spPr>
      </c:pivotFmt>
      <c:pivotFmt>
        <c:idx val="25"/>
        <c:spPr>
          <a:solidFill>
            <a:schemeClr val="accent1">
              <a:lumMod val="60000"/>
              <a:lumOff val="40000"/>
            </a:schemeClr>
          </a:solidFill>
          <a:ln>
            <a:noFill/>
          </a:ln>
          <a:effectLst/>
        </c:spPr>
      </c:pivotFmt>
      <c:pivotFmt>
        <c:idx val="26"/>
        <c:spPr>
          <a:solidFill>
            <a:schemeClr val="accent5">
              <a:lumMod val="20000"/>
              <a:lumOff val="80000"/>
            </a:schemeClr>
          </a:solidFill>
          <a:ln>
            <a:noFill/>
          </a:ln>
          <a:effectLst/>
        </c:spPr>
      </c:pivotFmt>
      <c:pivotFmt>
        <c:idx val="27"/>
        <c:spPr>
          <a:solidFill>
            <a:schemeClr val="accent5">
              <a:lumMod val="20000"/>
              <a:lumOff val="80000"/>
            </a:schemeClr>
          </a:solidFill>
          <a:ln>
            <a:noFill/>
          </a:ln>
          <a:effectLst/>
        </c:spPr>
      </c:pivotFmt>
      <c:pivotFmt>
        <c:idx val="28"/>
        <c:spPr>
          <a:solidFill>
            <a:schemeClr val="accent6"/>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5">
              <a:lumMod val="75000"/>
            </a:schemeClr>
          </a:solidFill>
          <a:ln>
            <a:noFill/>
          </a:ln>
          <a:effectLst/>
        </c:spPr>
      </c:pivotFmt>
      <c:pivotFmt>
        <c:idx val="30"/>
        <c:spPr>
          <a:solidFill>
            <a:schemeClr val="accent5">
              <a:lumMod val="75000"/>
            </a:schemeClr>
          </a:solidFill>
          <a:ln>
            <a:noFill/>
          </a:ln>
          <a:effectLst/>
        </c:spPr>
      </c:pivotFmt>
      <c:pivotFmt>
        <c:idx val="31"/>
        <c:spPr>
          <a:solidFill>
            <a:schemeClr val="accent5">
              <a:lumMod val="75000"/>
            </a:schemeClr>
          </a:solidFill>
          <a:ln>
            <a:noFill/>
          </a:ln>
          <a:effectLst/>
        </c:spPr>
      </c:pivotFmt>
      <c:pivotFmt>
        <c:idx val="32"/>
        <c:spPr>
          <a:solidFill>
            <a:schemeClr val="accent5">
              <a:lumMod val="60000"/>
              <a:lumOff val="40000"/>
            </a:schemeClr>
          </a:solidFill>
          <a:ln>
            <a:noFill/>
          </a:ln>
          <a:effectLst/>
        </c:spPr>
      </c:pivotFmt>
      <c:pivotFmt>
        <c:idx val="33"/>
        <c:spPr>
          <a:solidFill>
            <a:schemeClr val="accent5">
              <a:lumMod val="60000"/>
              <a:lumOff val="40000"/>
            </a:schemeClr>
          </a:solidFill>
          <a:ln>
            <a:noFill/>
          </a:ln>
          <a:effectLst/>
        </c:spPr>
      </c:pivotFmt>
      <c:pivotFmt>
        <c:idx val="34"/>
        <c:spPr>
          <a:solidFill>
            <a:schemeClr val="accent5">
              <a:lumMod val="60000"/>
              <a:lumOff val="40000"/>
            </a:schemeClr>
          </a:solidFill>
          <a:ln>
            <a:noFill/>
          </a:ln>
          <a:effectLst/>
        </c:spPr>
      </c:pivotFmt>
      <c:pivotFmt>
        <c:idx val="35"/>
        <c:spPr>
          <a:solidFill>
            <a:schemeClr val="accent1">
              <a:lumMod val="60000"/>
              <a:lumOff val="40000"/>
            </a:schemeClr>
          </a:solidFill>
          <a:ln>
            <a:noFill/>
          </a:ln>
          <a:effectLst/>
        </c:spPr>
      </c:pivotFmt>
      <c:pivotFmt>
        <c:idx val="36"/>
        <c:spPr>
          <a:solidFill>
            <a:schemeClr val="accent5">
              <a:lumMod val="20000"/>
              <a:lumOff val="80000"/>
            </a:schemeClr>
          </a:solidFill>
          <a:ln>
            <a:noFill/>
          </a:ln>
          <a:effectLst/>
        </c:spPr>
      </c:pivotFmt>
      <c:pivotFmt>
        <c:idx val="37"/>
        <c:spPr>
          <a:solidFill>
            <a:schemeClr val="accent5">
              <a:lumMod val="20000"/>
              <a:lumOff val="80000"/>
            </a:schemeClr>
          </a:solidFill>
          <a:ln>
            <a:noFill/>
          </a:ln>
          <a:effectLst/>
        </c:spPr>
      </c:pivotFmt>
      <c:pivotFmt>
        <c:idx val="38"/>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9"/>
        <c:marker>
          <c:symbol val="none"/>
        </c:marker>
      </c:pivotFmt>
      <c:pivotFmt>
        <c:idx val="40"/>
        <c:marker>
          <c:symbol val="none"/>
        </c:marker>
      </c:pivotFmt>
      <c:pivotFmt>
        <c:idx val="41"/>
        <c:marker>
          <c:symbol val="none"/>
        </c:marker>
      </c:pivotFmt>
      <c:pivotFmt>
        <c:idx val="42"/>
        <c:marker>
          <c:symbol val="none"/>
        </c:marker>
      </c:pivotFmt>
      <c:pivotFmt>
        <c:idx val="43"/>
        <c:marker>
          <c:symbol val="none"/>
        </c:marker>
      </c:pivotFmt>
      <c:pivotFmt>
        <c:idx val="44"/>
        <c:marker>
          <c:symbol val="none"/>
        </c:marker>
      </c:pivotFmt>
      <c:pivotFmt>
        <c:idx val="45"/>
        <c:marker>
          <c:symbol val="none"/>
        </c:marker>
      </c:pivotFmt>
      <c:pivotFmt>
        <c:idx val="46"/>
        <c:marker>
          <c:symbol val="none"/>
        </c:marker>
      </c:pivotFmt>
      <c:pivotFmt>
        <c:idx val="47"/>
        <c:marker>
          <c:symbol val="none"/>
        </c:marker>
      </c:pivotFmt>
      <c:pivotFmt>
        <c:idx val="48"/>
        <c:marker>
          <c:symbol val="none"/>
        </c:marker>
      </c:pivotFmt>
      <c:pivotFmt>
        <c:idx val="49"/>
        <c:spPr>
          <a:solidFill>
            <a:schemeClr val="accent5">
              <a:lumMod val="50000"/>
            </a:schemeClr>
          </a:solidFill>
          <a:ln>
            <a:solidFill>
              <a:schemeClr val="accent5">
                <a:lumMod val="50000"/>
              </a:schemeClr>
            </a:solidFill>
          </a:ln>
          <a:effectLst/>
        </c:spPr>
        <c:dLbl>
          <c:idx val="0"/>
          <c:layout>
            <c:manualLayout>
              <c:x val="0.19376571661627359"/>
              <c:y val="-0.1101669174407845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0579194248209406"/>
                  <c:h val="8.0744465918106217E-2"/>
                </c:manualLayout>
              </c15:layout>
            </c:ext>
          </c:extLst>
        </c:dLbl>
      </c:pivotFmt>
      <c:pivotFmt>
        <c:idx val="50"/>
        <c:spPr>
          <a:solidFill>
            <a:schemeClr val="accent5">
              <a:lumMod val="75000"/>
            </a:schemeClr>
          </a:solidFill>
          <a:ln>
            <a:solidFill>
              <a:schemeClr val="accent5">
                <a:lumMod val="50000"/>
              </a:schemeClr>
            </a:solidFill>
          </a:ln>
          <a:effectLst/>
        </c:spPr>
        <c:dLbl>
          <c:idx val="0"/>
          <c:layout>
            <c:manualLayout>
              <c:x val="0.23526512252841114"/>
              <c:y val="-8.127090737811740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5">
              <a:lumMod val="60000"/>
              <a:lumOff val="40000"/>
            </a:schemeClr>
          </a:solidFill>
          <a:ln>
            <a:solidFill>
              <a:schemeClr val="accent5">
                <a:lumMod val="50000"/>
              </a:schemeClr>
            </a:solidFill>
          </a:ln>
          <a:effectLst/>
        </c:spPr>
        <c:dLbl>
          <c:idx val="0"/>
          <c:layout>
            <c:manualLayout>
              <c:x val="-0.1833651303279667"/>
              <c:y val="3.774270475039742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2"/>
        <c:spPr>
          <a:solidFill>
            <a:schemeClr val="accent5">
              <a:lumMod val="20000"/>
              <a:lumOff val="80000"/>
            </a:schemeClr>
          </a:solidFill>
          <a:ln>
            <a:solidFill>
              <a:schemeClr val="accent5">
                <a:lumMod val="50000"/>
              </a:schemeClr>
            </a:solidFill>
          </a:ln>
          <a:effectLst/>
        </c:spPr>
        <c:dLbl>
          <c:idx val="0"/>
          <c:layout>
            <c:manualLayout>
              <c:x val="-0.15616553002261124"/>
              <c:y val="-3.538175545454636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4"/>
        <c:spPr>
          <a:solidFill>
            <a:schemeClr val="accent5">
              <a:lumMod val="75000"/>
            </a:schemeClr>
          </a:solidFill>
          <a:ln>
            <a:solidFill>
              <a:schemeClr val="accent5">
                <a:lumMod val="50000"/>
              </a:schemeClr>
            </a:solidFill>
          </a:ln>
          <a:effectLst/>
        </c:spPr>
        <c:dLbl>
          <c:idx val="0"/>
          <c:layout>
            <c:manualLayout>
              <c:x val="0.23526512252841114"/>
              <c:y val="-8.127090737811740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5"/>
        <c:spPr>
          <a:solidFill>
            <a:schemeClr val="accent5">
              <a:lumMod val="50000"/>
            </a:schemeClr>
          </a:solidFill>
          <a:ln>
            <a:solidFill>
              <a:schemeClr val="accent5">
                <a:lumMod val="50000"/>
              </a:schemeClr>
            </a:solidFill>
          </a:ln>
          <a:effectLst/>
        </c:spPr>
        <c:dLbl>
          <c:idx val="0"/>
          <c:layout>
            <c:manualLayout>
              <c:x val="0.19376571661627359"/>
              <c:y val="-0.1101669174407845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0579194248209406"/>
                  <c:h val="8.0744465918106217E-2"/>
                </c:manualLayout>
              </c15:layout>
            </c:ext>
          </c:extLst>
        </c:dLbl>
      </c:pivotFmt>
      <c:pivotFmt>
        <c:idx val="56"/>
        <c:spPr>
          <a:solidFill>
            <a:schemeClr val="accent5">
              <a:lumMod val="60000"/>
              <a:lumOff val="40000"/>
            </a:schemeClr>
          </a:solidFill>
          <a:ln>
            <a:solidFill>
              <a:schemeClr val="accent5">
                <a:lumMod val="50000"/>
              </a:schemeClr>
            </a:solidFill>
          </a:ln>
          <a:effectLst/>
        </c:spPr>
        <c:dLbl>
          <c:idx val="0"/>
          <c:layout>
            <c:manualLayout>
              <c:x val="-0.1833651303279667"/>
              <c:y val="3.774270475039742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7"/>
        <c:spPr>
          <a:solidFill>
            <a:schemeClr val="accent5">
              <a:lumMod val="20000"/>
              <a:lumOff val="80000"/>
            </a:schemeClr>
          </a:solidFill>
          <a:ln>
            <a:solidFill>
              <a:schemeClr val="accent5">
                <a:lumMod val="50000"/>
              </a:schemeClr>
            </a:solidFill>
          </a:ln>
          <a:effectLst/>
        </c:spPr>
        <c:dLbl>
          <c:idx val="0"/>
          <c:layout>
            <c:manualLayout>
              <c:x val="-0.15616553002261124"/>
              <c:y val="-3.538175545454636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8"/>
        <c:spPr>
          <a:solidFill>
            <a:schemeClr val="accent5">
              <a:lumMod val="50000"/>
            </a:schemeClr>
          </a:solidFill>
          <a:ln>
            <a:solidFill>
              <a:schemeClr val="accent5">
                <a:lumMod val="50000"/>
              </a:schemeClr>
            </a:solidFill>
          </a:ln>
          <a:effectLst/>
        </c:spPr>
      </c:pivotFmt>
      <c:pivotFmt>
        <c:idx val="59"/>
        <c:spPr>
          <a:solidFill>
            <a:schemeClr val="accent5">
              <a:lumMod val="75000"/>
            </a:schemeClr>
          </a:solidFill>
          <a:ln>
            <a:solidFill>
              <a:schemeClr val="accent5">
                <a:lumMod val="50000"/>
              </a:schemeClr>
            </a:solidFill>
          </a:ln>
          <a:effectLst/>
        </c:spPr>
      </c:pivotFmt>
      <c:pivotFmt>
        <c:idx val="60"/>
        <c:spPr>
          <a:solidFill>
            <a:schemeClr val="accent5">
              <a:lumMod val="60000"/>
              <a:lumOff val="40000"/>
            </a:schemeClr>
          </a:solidFill>
          <a:ln>
            <a:solidFill>
              <a:schemeClr val="accent5">
                <a:lumMod val="50000"/>
              </a:schemeClr>
            </a:solidFill>
          </a:ln>
          <a:effectLst/>
        </c:spPr>
      </c:pivotFmt>
      <c:pivotFmt>
        <c:idx val="61"/>
        <c:spPr>
          <a:solidFill>
            <a:schemeClr val="accent5">
              <a:lumMod val="40000"/>
              <a:lumOff val="60000"/>
            </a:schemeClr>
          </a:solidFill>
          <a:ln>
            <a:solidFill>
              <a:schemeClr val="accent5">
                <a:lumMod val="50000"/>
              </a:schemeClr>
            </a:solidFill>
          </a:ln>
          <a:effectLst/>
        </c:spPr>
      </c:pivotFmt>
      <c:pivotFmt>
        <c:idx val="62"/>
        <c:spPr>
          <a:solidFill>
            <a:schemeClr val="accent5">
              <a:lumMod val="20000"/>
              <a:lumOff val="80000"/>
            </a:schemeClr>
          </a:solidFill>
          <a:ln>
            <a:solidFill>
              <a:schemeClr val="accent5">
                <a:lumMod val="50000"/>
              </a:schemeClr>
            </a:solidFill>
          </a:ln>
          <a:effectLst/>
        </c:spPr>
      </c:pivotFmt>
      <c:pivotFmt>
        <c:idx val="63"/>
        <c:spPr>
          <a:solidFill>
            <a:schemeClr val="accent6"/>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4"/>
        <c:spPr>
          <a:solidFill>
            <a:schemeClr val="accent5">
              <a:lumMod val="50000"/>
            </a:schemeClr>
          </a:solidFill>
          <a:ln>
            <a:solidFill>
              <a:schemeClr val="accent5">
                <a:lumMod val="50000"/>
              </a:schemeClr>
            </a:solidFill>
          </a:ln>
          <a:effectLst/>
        </c:spPr>
      </c:pivotFmt>
      <c:pivotFmt>
        <c:idx val="65"/>
        <c:spPr>
          <a:solidFill>
            <a:schemeClr val="accent5">
              <a:lumMod val="75000"/>
            </a:schemeClr>
          </a:solidFill>
          <a:ln>
            <a:solidFill>
              <a:schemeClr val="accent5">
                <a:lumMod val="50000"/>
              </a:schemeClr>
            </a:solidFill>
          </a:ln>
          <a:effectLst/>
        </c:spPr>
      </c:pivotFmt>
      <c:pivotFmt>
        <c:idx val="66"/>
        <c:spPr>
          <a:solidFill>
            <a:schemeClr val="accent5">
              <a:lumMod val="60000"/>
              <a:lumOff val="40000"/>
            </a:schemeClr>
          </a:solidFill>
          <a:ln>
            <a:solidFill>
              <a:schemeClr val="accent5">
                <a:lumMod val="50000"/>
              </a:schemeClr>
            </a:solidFill>
          </a:ln>
          <a:effectLst/>
        </c:spPr>
      </c:pivotFmt>
      <c:pivotFmt>
        <c:idx val="67"/>
        <c:spPr>
          <a:solidFill>
            <a:schemeClr val="accent5">
              <a:lumMod val="40000"/>
              <a:lumOff val="60000"/>
            </a:schemeClr>
          </a:solidFill>
          <a:ln>
            <a:solidFill>
              <a:schemeClr val="accent5">
                <a:lumMod val="50000"/>
              </a:schemeClr>
            </a:solidFill>
          </a:ln>
          <a:effectLst/>
        </c:spPr>
      </c:pivotFmt>
      <c:pivotFmt>
        <c:idx val="68"/>
        <c:spPr>
          <a:solidFill>
            <a:schemeClr val="accent5">
              <a:lumMod val="20000"/>
              <a:lumOff val="80000"/>
            </a:schemeClr>
          </a:solidFill>
          <a:ln>
            <a:solidFill>
              <a:schemeClr val="accent5">
                <a:lumMod val="50000"/>
              </a:schemeClr>
            </a:solidFill>
          </a:ln>
          <a:effectLst/>
        </c:spPr>
      </c:pivotFmt>
      <c:pivotFmt>
        <c:idx val="69"/>
        <c:spPr>
          <a:solidFill>
            <a:schemeClr val="accent5">
              <a:lumMod val="20000"/>
              <a:lumOff val="80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0"/>
        <c:spPr>
          <a:solidFill>
            <a:schemeClr val="accent5">
              <a:lumMod val="50000"/>
            </a:schemeClr>
          </a:solidFill>
          <a:ln>
            <a:noFill/>
          </a:ln>
          <a:effectLst/>
        </c:spPr>
      </c:pivotFmt>
      <c:pivotFmt>
        <c:idx val="71"/>
        <c:spPr>
          <a:solidFill>
            <a:schemeClr val="accent5">
              <a:lumMod val="75000"/>
            </a:schemeClr>
          </a:solidFill>
          <a:ln>
            <a:noFill/>
          </a:ln>
          <a:effectLst/>
        </c:spPr>
      </c:pivotFmt>
      <c:pivotFmt>
        <c:idx val="72"/>
        <c:spPr>
          <a:solidFill>
            <a:schemeClr val="accent5">
              <a:lumMod val="60000"/>
              <a:lumOff val="40000"/>
            </a:schemeClr>
          </a:solidFill>
          <a:ln>
            <a:noFill/>
          </a:ln>
          <a:effectLst/>
        </c:spPr>
      </c:pivotFmt>
      <c:pivotFmt>
        <c:idx val="73"/>
        <c:spPr>
          <a:solidFill>
            <a:schemeClr val="accent5">
              <a:lumMod val="40000"/>
              <a:lumOff val="60000"/>
            </a:schemeClr>
          </a:solidFill>
          <a:ln>
            <a:noFill/>
          </a:ln>
          <a:effectLst/>
        </c:spPr>
      </c:pivotFmt>
      <c:pivotFmt>
        <c:idx val="74"/>
        <c:spPr>
          <a:solidFill>
            <a:schemeClr val="accent5">
              <a:lumMod val="20000"/>
              <a:lumOff val="80000"/>
            </a:schemeClr>
          </a:solidFill>
          <a:ln>
            <a:noFill/>
          </a:ln>
          <a:effectLst/>
        </c:spPr>
      </c:pivotFmt>
      <c:pivotFmt>
        <c:idx val="75"/>
        <c:spPr>
          <a:solidFill>
            <a:schemeClr val="accent5">
              <a:lumMod val="40000"/>
              <a:lumOff val="60000"/>
            </a:schemeClr>
          </a:solidFill>
          <a:ln>
            <a:solidFill>
              <a:schemeClr val="accent5">
                <a:lumMod val="50000"/>
              </a:schemeClr>
            </a:solidFill>
          </a:ln>
          <a:effectLst/>
        </c:spPr>
      </c:pivotFmt>
      <c:pivotFmt>
        <c:idx val="76"/>
        <c:spPr>
          <a:solidFill>
            <a:schemeClr val="accent5">
              <a:lumMod val="20000"/>
              <a:lumOff val="80000"/>
            </a:schemeClr>
          </a:solidFill>
          <a:ln>
            <a:solidFill>
              <a:schemeClr val="accent5">
                <a:lumMod val="50000"/>
              </a:schemeClr>
            </a:solidFill>
          </a:ln>
          <a:effectLst/>
        </c:spPr>
      </c:pivotFmt>
      <c:pivotFmt>
        <c:idx val="77"/>
        <c:spPr>
          <a:solidFill>
            <a:schemeClr val="accent5">
              <a:lumMod val="20000"/>
              <a:lumOff val="80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8"/>
        <c:spPr>
          <a:solidFill>
            <a:schemeClr val="accent5">
              <a:lumMod val="50000"/>
            </a:schemeClr>
          </a:solidFill>
          <a:ln>
            <a:noFill/>
          </a:ln>
          <a:effectLst/>
        </c:spPr>
      </c:pivotFmt>
      <c:pivotFmt>
        <c:idx val="79"/>
        <c:spPr>
          <a:solidFill>
            <a:schemeClr val="accent5">
              <a:lumMod val="75000"/>
            </a:schemeClr>
          </a:solidFill>
          <a:ln>
            <a:noFill/>
          </a:ln>
          <a:effectLst/>
        </c:spPr>
      </c:pivotFmt>
      <c:pivotFmt>
        <c:idx val="80"/>
        <c:spPr>
          <a:solidFill>
            <a:schemeClr val="accent5">
              <a:lumMod val="60000"/>
              <a:lumOff val="40000"/>
            </a:schemeClr>
          </a:solidFill>
          <a:ln>
            <a:noFill/>
          </a:ln>
          <a:effectLst/>
        </c:spPr>
      </c:pivotFmt>
      <c:pivotFmt>
        <c:idx val="81"/>
        <c:spPr>
          <a:solidFill>
            <a:schemeClr val="accent5">
              <a:lumMod val="40000"/>
              <a:lumOff val="60000"/>
            </a:schemeClr>
          </a:solidFill>
          <a:ln>
            <a:noFill/>
          </a:ln>
          <a:effectLst/>
        </c:spPr>
      </c:pivotFmt>
      <c:pivotFmt>
        <c:idx val="82"/>
        <c:spPr>
          <a:solidFill>
            <a:schemeClr val="accent5">
              <a:lumMod val="20000"/>
              <a:lumOff val="80000"/>
            </a:schemeClr>
          </a:solidFill>
          <a:ln>
            <a:noFill/>
          </a:ln>
          <a:effectLst/>
        </c:spPr>
      </c:pivotFmt>
      <c:pivotFmt>
        <c:idx val="83"/>
        <c:spPr>
          <a:solidFill>
            <a:schemeClr val="accent5">
              <a:lumMod val="20000"/>
              <a:lumOff val="80000"/>
            </a:schemeClr>
          </a:solidFill>
          <a:ln>
            <a:solidFill>
              <a:schemeClr val="accent5">
                <a:lumMod val="50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4"/>
        <c:spPr>
          <a:solidFill>
            <a:schemeClr val="accent5">
              <a:lumMod val="50000"/>
            </a:schemeClr>
          </a:solidFill>
          <a:ln>
            <a:noFill/>
          </a:ln>
          <a:effectLst/>
        </c:spPr>
      </c:pivotFmt>
      <c:pivotFmt>
        <c:idx val="85"/>
        <c:spPr>
          <a:solidFill>
            <a:schemeClr val="accent5">
              <a:lumMod val="75000"/>
            </a:schemeClr>
          </a:solidFill>
          <a:ln>
            <a:noFill/>
          </a:ln>
          <a:effectLst/>
        </c:spPr>
      </c:pivotFmt>
      <c:pivotFmt>
        <c:idx val="86"/>
        <c:spPr>
          <a:solidFill>
            <a:schemeClr val="accent5">
              <a:lumMod val="60000"/>
              <a:lumOff val="40000"/>
            </a:schemeClr>
          </a:solidFill>
          <a:ln>
            <a:noFill/>
          </a:ln>
          <a:effectLst/>
        </c:spPr>
      </c:pivotFmt>
      <c:pivotFmt>
        <c:idx val="87"/>
        <c:spPr>
          <a:solidFill>
            <a:schemeClr val="accent5">
              <a:lumMod val="40000"/>
              <a:lumOff val="60000"/>
            </a:schemeClr>
          </a:solidFill>
          <a:ln>
            <a:noFill/>
          </a:ln>
          <a:effectLst/>
        </c:spPr>
      </c:pivotFmt>
      <c:pivotFmt>
        <c:idx val="88"/>
        <c:spPr>
          <a:solidFill>
            <a:schemeClr val="accent5">
              <a:lumMod val="20000"/>
              <a:lumOff val="80000"/>
            </a:schemeClr>
          </a:solidFill>
          <a:ln>
            <a:noFill/>
          </a:ln>
          <a:effectLst/>
        </c:spPr>
      </c:pivotFmt>
    </c:pivotFmts>
    <c:plotArea>
      <c:layout/>
      <c:barChart>
        <c:barDir val="col"/>
        <c:grouping val="clustered"/>
        <c:varyColors val="0"/>
        <c:ser>
          <c:idx val="0"/>
          <c:order val="0"/>
          <c:tx>
            <c:strRef>
              <c:f>'SALES BY PRODUCT CATEGORY'!$B$3</c:f>
              <c:strCache>
                <c:ptCount val="1"/>
                <c:pt idx="0">
                  <c:v>Total</c:v>
                </c:pt>
              </c:strCache>
            </c:strRef>
          </c:tx>
          <c:spPr>
            <a:solidFill>
              <a:schemeClr val="accent5">
                <a:lumMod val="20000"/>
                <a:lumOff val="80000"/>
              </a:schemeClr>
            </a:solidFill>
            <a:ln>
              <a:solidFill>
                <a:schemeClr val="accent5">
                  <a:lumMod val="50000"/>
                </a:schemeClr>
              </a:solidFill>
            </a:ln>
            <a:effectLst/>
          </c:spPr>
          <c:invertIfNegative val="0"/>
          <c:dPt>
            <c:idx val="0"/>
            <c:invertIfNegative val="0"/>
            <c:bubble3D val="0"/>
            <c:spPr>
              <a:solidFill>
                <a:schemeClr val="accent5">
                  <a:lumMod val="50000"/>
                </a:schemeClr>
              </a:solidFill>
              <a:ln>
                <a:noFill/>
              </a:ln>
              <a:effectLst/>
            </c:spPr>
            <c:extLst>
              <c:ext xmlns:c16="http://schemas.microsoft.com/office/drawing/2014/chart" uri="{C3380CC4-5D6E-409C-BE32-E72D297353CC}">
                <c16:uniqueId val="{00000001-B983-4342-B966-21D553D2BB0C}"/>
              </c:ext>
            </c:extLst>
          </c:dPt>
          <c:dPt>
            <c:idx val="1"/>
            <c:invertIfNegative val="0"/>
            <c:bubble3D val="0"/>
            <c:spPr>
              <a:solidFill>
                <a:schemeClr val="accent5">
                  <a:lumMod val="75000"/>
                </a:schemeClr>
              </a:solidFill>
              <a:ln>
                <a:noFill/>
              </a:ln>
              <a:effectLst/>
            </c:spPr>
            <c:extLst>
              <c:ext xmlns:c16="http://schemas.microsoft.com/office/drawing/2014/chart" uri="{C3380CC4-5D6E-409C-BE32-E72D297353CC}">
                <c16:uniqueId val="{00000003-B983-4342-B966-21D553D2BB0C}"/>
              </c:ext>
            </c:extLst>
          </c:dPt>
          <c:dPt>
            <c:idx val="2"/>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5-B983-4342-B966-21D553D2BB0C}"/>
              </c:ext>
            </c:extLst>
          </c:dPt>
          <c:dPt>
            <c:idx val="3"/>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7-B983-4342-B966-21D553D2BB0C}"/>
              </c:ext>
            </c:extLst>
          </c:dPt>
          <c:dPt>
            <c:idx val="4"/>
            <c:invertIfNegative val="0"/>
            <c:bubble3D val="0"/>
            <c:spPr>
              <a:solidFill>
                <a:schemeClr val="accent5">
                  <a:lumMod val="20000"/>
                  <a:lumOff val="80000"/>
                </a:schemeClr>
              </a:solidFill>
              <a:ln>
                <a:noFill/>
              </a:ln>
              <a:effectLst/>
            </c:spPr>
            <c:extLst>
              <c:ext xmlns:c16="http://schemas.microsoft.com/office/drawing/2014/chart" uri="{C3380CC4-5D6E-409C-BE32-E72D297353CC}">
                <c16:uniqueId val="{00000009-B983-4342-B966-21D553D2BB0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'SALES BY PRODUCT CATEGORY'!$A$4:$A$9</c:f>
              <c:strCache>
                <c:ptCount val="5"/>
                <c:pt idx="0">
                  <c:v>Beverages</c:v>
                </c:pt>
                <c:pt idx="1">
                  <c:v>Sauces</c:v>
                </c:pt>
                <c:pt idx="2">
                  <c:v>Jams, Preserves</c:v>
                </c:pt>
                <c:pt idx="3">
                  <c:v>Dairy Products</c:v>
                </c:pt>
                <c:pt idx="4">
                  <c:v>Dried Fruit &amp; Nuts</c:v>
                </c:pt>
              </c:strCache>
            </c:strRef>
          </c:cat>
          <c:val>
            <c:numRef>
              <c:f>'SALES BY PRODUCT CATEGORY'!$B$4:$B$9</c:f>
              <c:numCache>
                <c:formatCode>[$$-409]#,##0.00</c:formatCode>
                <c:ptCount val="5"/>
                <c:pt idx="0">
                  <c:v>110577.10999999999</c:v>
                </c:pt>
                <c:pt idx="1">
                  <c:v>69000</c:v>
                </c:pt>
                <c:pt idx="2">
                  <c:v>51541</c:v>
                </c:pt>
                <c:pt idx="3">
                  <c:v>33129.600000000006</c:v>
                </c:pt>
                <c:pt idx="4">
                  <c:v>27999.5</c:v>
                </c:pt>
              </c:numCache>
            </c:numRef>
          </c:val>
          <c:extLst>
            <c:ext xmlns:c16="http://schemas.microsoft.com/office/drawing/2014/chart" uri="{C3380CC4-5D6E-409C-BE32-E72D297353CC}">
              <c16:uniqueId val="{0000000A-B983-4342-B966-21D553D2BB0C}"/>
            </c:ext>
          </c:extLst>
        </c:ser>
        <c:dLbls>
          <c:showLegendKey val="0"/>
          <c:showVal val="0"/>
          <c:showCatName val="0"/>
          <c:showSerName val="0"/>
          <c:showPercent val="0"/>
          <c:showBubbleSize val="0"/>
        </c:dLbls>
        <c:gapWidth val="100"/>
        <c:axId val="505131416"/>
        <c:axId val="505138960"/>
      </c:barChart>
      <c:valAx>
        <c:axId val="505138960"/>
        <c:scaling>
          <c:orientation val="minMax"/>
        </c:scaling>
        <c:delete val="1"/>
        <c:axPos val="l"/>
        <c:numFmt formatCode="[$$-409]#,##0.00" sourceLinked="1"/>
        <c:majorTickMark val="out"/>
        <c:minorTickMark val="none"/>
        <c:tickLblPos val="nextTo"/>
        <c:crossAx val="505131416"/>
        <c:crosses val="autoZero"/>
        <c:crossBetween val="between"/>
      </c:valAx>
      <c:catAx>
        <c:axId val="5051314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138960"/>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withinLinearReversed" id="26">
  <a:schemeClr val="accent6"/>
</cs:colorStyle>
</file>

<file path=word/charts/colors3.xml><?xml version="1.0" encoding="utf-8"?>
<cs:colorStyle xmlns:cs="http://schemas.microsoft.com/office/drawing/2012/chartStyle" xmlns:a="http://schemas.openxmlformats.org/drawingml/2006/main" meth="withinLinearReversed" id="26">
  <a:schemeClr val="accent6"/>
</cs:colorStyle>
</file>

<file path=word/charts/colors4.xml><?xml version="1.0" encoding="utf-8"?>
<cs:colorStyle xmlns:cs="http://schemas.microsoft.com/office/drawing/2012/chartStyle" xmlns:a="http://schemas.openxmlformats.org/drawingml/2006/main" meth="withinLinearReversed" id="26">
  <a:schemeClr val="accent6"/>
</cs:colorStyle>
</file>

<file path=word/charts/colors5.xml><?xml version="1.0" encoding="utf-8"?>
<cs:colorStyle xmlns:cs="http://schemas.microsoft.com/office/drawing/2012/chartStyle" xmlns:a="http://schemas.openxmlformats.org/drawingml/2006/main" meth="withinLinearReversed" id="26">
  <a:schemeClr val="accent6"/>
</cs:colorStyle>
</file>

<file path=word/charts/colors6.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