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B7791F"/>
          <w:sz w:val="22"/>
          <w:szCs w:val="22"/>
        </w:rPr>
        <w:t xml:space="preserve">DRAFT — FOR REVIEW BEFORE SIGNING</w:t>
      </w:r>
    </w:p>
    <w:p>
      <w:pPr>
        <w:spacing w:after="300"/>
      </w:pPr>
      <w:r>
        <w:rPr>
          <w:i/>
          <w:iCs/>
          <w:sz w:val="20"/>
          <w:szCs w:val="20"/>
        </w:rPr>
        <w:t xml:space="preserve">This draft was prepared based on the deal terms you provided and publicly available information about dthroughc.org. It is a template, not legal advice. Fields highlighted in yellow must be confirmed or filled in, and the finished agreement should be reviewed by a licensed attorney in your state before signature — this deal involves a charitable organization, donation-adjacent activity, and content about minors, all of which carry legal considerations beyond a typical web contract.</w:t>
      </w:r>
    </w:p>
    <w:p>
      <w:pPr>
        <w:spacing w:after="60"/>
        <w:jc w:val="center"/>
      </w:pPr>
      <w:r>
        <w:rPr>
          <w:b/>
          <w:bCs/>
          <w:sz w:val="30"/>
          <w:szCs w:val="30"/>
        </w:rPr>
        <w:t xml:space="preserve">WEBSITE DESIGN, DEVELOPMENT &amp; MAINTENANCE SERVICES AGREEMENT</w:t>
      </w:r>
    </w:p>
    <w:p>
      <w:pPr>
        <w:spacing w:after="300"/>
        <w:jc w:val="center"/>
      </w:pPr>
      <w:r>
        <w:rPr>
          <w:i/>
          <w:iCs/>
          <w:sz w:val="20"/>
          <w:szCs w:val="20"/>
        </w:rPr>
        <w:t xml:space="preserve">(dthroughc.org)</w:t>
      </w:r>
    </w:p>
    <w:p>
      <w:pPr>
        <w:spacing w:after="140"/>
      </w:pPr>
      <w:r>
        <w:rPr>
          <w:sz w:val="22"/>
          <w:szCs w:val="22"/>
        </w:rPr>
        <w:t xml:space="preserve">This Website Design, Development &amp; Maintenance Services Agreement (this “Agreement”) is entered into as of </w:t>
      </w:r>
      <w:r>
        <w:rPr>
          <w:b/>
          <w:bCs/>
          <w:sz w:val="22"/>
          <w:szCs w:val="22"/>
        </w:rPr>
        <w:t xml:space="preserve">September 11, 2026</w:t>
      </w:r>
      <w:r>
        <w:rPr>
          <w:sz w:val="22"/>
          <w:szCs w:val="22"/>
        </w:rPr>
        <w:t xml:space="preserve"> (the “Effective Date”), by and between:</w:t>
      </w:r>
    </w:p>
    <w:p>
      <w:pPr>
        <w:spacing w:after="140"/>
      </w:pPr>
      <w:r>
        <w:rPr>
          <w:b/>
          <w:bCs/>
          <w:sz w:val="22"/>
          <w:szCs w:val="22"/>
        </w:rPr>
        <w:t xml:space="preserve">Mission Hub Ink</w:t>
      </w:r>
      <w:r>
        <w:rPr>
          <w:sz w:val="22"/>
          <w:szCs w:val="22"/>
        </w:rPr>
        <w:t xml:space="preserve"> </w:t>
      </w:r>
      <w:r>
        <w:rPr>
          <w:b/>
          <w:bCs/>
          <w:sz w:val="22"/>
          <w:szCs w:val="22"/>
          <w:highlight w:val="yellow"/>
          <w:highlightCs w:val="yellow"/>
        </w:rPr>
        <w:t xml:space="preserve">[ENTITY TYPE — e.g., a California corporation / LLC / sole proprietorship — please confirm]</w:t>
      </w:r>
      <w:r>
        <w:rPr>
          <w:sz w:val="22"/>
          <w:szCs w:val="22"/>
        </w:rPr>
        <w:t xml:space="preserve">, with a principal address of 77824 Wildcat Dr., Palm Desert, CA 92211 (“Company”); and</w:t>
      </w:r>
    </w:p>
    <w:p>
      <w:pPr>
        <w:spacing w:after="140"/>
      </w:pPr>
      <w:r>
        <w:rPr>
          <w:b/>
          <w:bCs/>
          <w:sz w:val="22"/>
          <w:szCs w:val="22"/>
        </w:rPr>
        <w:t xml:space="preserve">Dominate Through Christ</w:t>
      </w:r>
      <w:r>
        <w:rPr>
          <w:sz w:val="22"/>
          <w:szCs w:val="22"/>
        </w:rPr>
        <w:t xml:space="preserve"> (“DTC” or “Client”), a nonprofit organization whose application for recognition of tax-exempt status under Section 501(c)(3) of the Internal Revenue Code is currently pending, with a principal address of </w:t>
      </w:r>
      <w:r>
        <w:rPr>
          <w:b/>
          <w:bCs/>
          <w:sz w:val="22"/>
          <w:szCs w:val="22"/>
          <w:highlight w:val="yellow"/>
          <w:highlightCs w:val="yellow"/>
        </w:rPr>
        <w:t xml:space="preserve">[CLIENT ADDRESS]</w:t>
      </w:r>
      <w:r>
        <w:rPr>
          <w:sz w:val="22"/>
          <w:szCs w:val="22"/>
        </w:rPr>
        <w:t xml:space="preserve">.</w:t>
      </w:r>
    </w:p>
    <w:p>
      <w:pPr>
        <w:spacing w:after="140"/>
      </w:pPr>
      <w:r>
        <w:rPr>
          <w:sz w:val="22"/>
          <w:szCs w:val="22"/>
        </w:rPr>
        <w:t xml:space="preserve">Company and Client are each a “Party” and together the “Parties.”</w:t>
      </w:r>
    </w:p>
    <w:p>
      <w:pPr>
        <w:spacing w:after="160" w:before="320"/>
      </w:pPr>
      <w:r>
        <w:rPr>
          <w:b/>
          <w:bCs/>
          <w:sz w:val="26"/>
          <w:szCs w:val="26"/>
        </w:rPr>
        <w:t xml:space="preserve">RECITALS</w:t>
      </w:r>
    </w:p>
    <w:p>
      <w:pPr>
        <w:spacing w:after="140"/>
      </w:pPr>
      <w:r>
        <w:rPr>
          <w:sz w:val="22"/>
          <w:szCs w:val="22"/>
        </w:rPr>
        <w:t xml:space="preserve">WHEREAS, Client operates dthroughc.org, a website through which Client sponsors student athletes by covering Christian school costs for young athletes whose families cannot carry them alone, and connects donors and sponsored students for prayer and support;</w:t>
      </w:r>
    </w:p>
    <w:p>
      <w:pPr>
        <w:spacing w:after="140"/>
      </w:pPr>
      <w:r>
        <w:rPr>
          <w:sz w:val="22"/>
          <w:szCs w:val="22"/>
        </w:rPr>
        <w:t xml:space="preserve">WHEREAS, Company is in the business of designing, developing, and maintaining websites;</w:t>
      </w:r>
    </w:p>
    <w:p>
      <w:pPr>
        <w:spacing w:after="140"/>
      </w:pPr>
      <w:r>
        <w:rPr>
          <w:sz w:val="22"/>
          <w:szCs w:val="22"/>
        </w:rPr>
        <w:t xml:space="preserve">WHEREAS, Company has designed and built, and/or will design and build, a website for Client at the domain dthroughc.org (the “Website”), and the Parties wish to formalize the terms of that engagement and of Company's ongoing maintenance of the Website;</w:t>
      </w:r>
    </w:p>
    <w:p>
      <w:pPr>
        <w:spacing w:after="140"/>
      </w:pPr>
      <w:r>
        <w:rPr>
          <w:sz w:val="22"/>
          <w:szCs w:val="22"/>
        </w:rPr>
        <w:t xml:space="preserve">NOW, THEREFORE, in consideration of the mutual covenants contained herein, the Parties agree as follows:</w:t>
      </w:r>
    </w:p>
    <w:p>
      <w:pPr>
        <w:spacing w:after="100" w:before="240"/>
      </w:pPr>
      <w:r>
        <w:rPr>
          <w:b/>
          <w:bCs/>
          <w:sz w:val="23"/>
          <w:szCs w:val="23"/>
        </w:rPr>
        <w:t xml:space="preserve">1. SCOPE OF SERVICES</w:t>
      </w:r>
    </w:p>
    <w:p>
      <w:pPr>
        <w:spacing w:after="140"/>
        <w:ind w:left="360"/>
      </w:pPr>
      <w:r>
        <w:rPr>
          <w:b/>
          <w:bCs/>
          <w:sz w:val="22"/>
          <w:szCs w:val="22"/>
        </w:rPr>
        <w:t xml:space="preserve">1.1 </w:t>
      </w:r>
      <w:r>
        <w:rPr>
          <w:sz w:val="22"/>
          <w:szCs w:val="22"/>
        </w:rPr>
        <w:t xml:space="preserve">Website Development. Company shall design, build, and launch the Website for Client, generally consistent with the scope, pages, features, and design direction previously discussed and/or already implemented at dthroughc.org (the “Website Development Services”).</w:t>
      </w:r>
    </w:p>
    <w:p>
      <w:pPr>
        <w:spacing w:after="140"/>
        <w:ind w:left="360"/>
      </w:pPr>
      <w:r>
        <w:rPr>
          <w:b/>
          <w:bCs/>
          <w:sz w:val="22"/>
          <w:szCs w:val="22"/>
        </w:rPr>
        <w:t xml:space="preserve">1.2 </w:t>
      </w:r>
      <w:r>
        <w:rPr>
          <w:sz w:val="22"/>
          <w:szCs w:val="22"/>
        </w:rPr>
        <w:t xml:space="preserve">Maintenance Services. Following launch, Company shall provide ongoing website maintenance (the “Maintenance Services”), which includes:</w:t>
      </w:r>
    </w:p>
    <w:p>
      <w:pPr>
        <w:pStyle w:val="ListParagraph"/>
        <w:numPr>
          <w:ilvl w:val="0"/>
          <w:numId w:val="1"/>
        </w:numPr>
        <w:spacing w:after="80"/>
      </w:pPr>
      <w:r>
        <w:rPr>
          <w:sz w:val="22"/>
          <w:szCs w:val="22"/>
        </w:rPr>
        <w:t xml:space="preserve">Routine software, plugin, and security updates for the Website;</w:t>
      </w:r>
    </w:p>
    <w:p>
      <w:pPr>
        <w:pStyle w:val="ListParagraph"/>
        <w:numPr>
          <w:ilvl w:val="0"/>
          <w:numId w:val="1"/>
        </w:numPr>
        <w:spacing w:after="80"/>
      </w:pPr>
      <w:r>
        <w:rPr>
          <w:sz w:val="22"/>
          <w:szCs w:val="22"/>
        </w:rPr>
        <w:t xml:space="preserve">Monitoring for uptime and basic technical issues;</w:t>
      </w:r>
    </w:p>
    <w:p>
      <w:pPr>
        <w:pStyle w:val="ListParagraph"/>
        <w:numPr>
          <w:ilvl w:val="0"/>
          <w:numId w:val="1"/>
        </w:numPr>
        <w:spacing w:after="80"/>
      </w:pPr>
      <w:r>
        <w:rPr>
          <w:sz w:val="22"/>
          <w:szCs w:val="22"/>
        </w:rPr>
        <w:t xml:space="preserve">Minor content updates (e.g., text edits, swapping photos, adding a sponsored athlete) requested by Client from time to time, in a volume consistent with reasonable ongoing use; and</w:t>
      </w:r>
    </w:p>
    <w:p>
      <w:pPr>
        <w:pStyle w:val="ListParagraph"/>
        <w:numPr>
          <w:ilvl w:val="0"/>
          <w:numId w:val="1"/>
        </w:numPr>
        <w:spacing w:after="80"/>
      </w:pPr>
      <w:r>
        <w:rPr>
          <w:sz w:val="22"/>
          <w:szCs w:val="22"/>
        </w:rPr>
        <w:t xml:space="preserve">Bug fixes for defects in Company's own work on the Website.</w:t>
      </w:r>
    </w:p>
    <w:p>
      <w:pPr>
        <w:spacing w:after="140"/>
      </w:pPr>
      <w:r>
        <w:rPr>
          <w:sz w:val="22"/>
          <w:szCs w:val="22"/>
        </w:rPr>
        <w:t xml:space="preserve">Maintenance Services do not include: major redesigns, new features or functionality beyond the original scope, e-commerce or donation-processing integration work, third-party platform fees (domain registration, hosting, email delivery, or the Client's donation “giving partner”), or work requested outside normal business hours. Any such additional work will be quoted and billed separately and requires Client's written approval before Company begins.</w:t>
      </w:r>
    </w:p>
    <w:p>
      <w:pPr>
        <w:spacing w:after="100" w:before="240"/>
      </w:pPr>
      <w:r>
        <w:rPr>
          <w:b/>
          <w:bCs/>
          <w:sz w:val="23"/>
          <w:szCs w:val="23"/>
        </w:rPr>
        <w:t xml:space="preserve">2. FEES AND PAYMENT</w:t>
      </w:r>
    </w:p>
    <w:p>
      <w:pPr>
        <w:spacing w:after="140"/>
        <w:ind w:left="360"/>
      </w:pPr>
      <w:r>
        <w:rPr>
          <w:b/>
          <w:bCs/>
          <w:sz w:val="22"/>
          <w:szCs w:val="22"/>
        </w:rPr>
        <w:t xml:space="preserve">2.1 </w:t>
      </w:r>
      <w:r>
        <w:rPr>
          <w:sz w:val="22"/>
          <w:szCs w:val="22"/>
        </w:rPr>
        <w:t xml:space="preserve">Website Development Fee. The total fee for the Website Development Services is a flat $500.00 (five hundred dollars), due in full (100%) prior to, or concurrent with, Company's commencement of work, or upon execution of this Agreement if the Website has already been delivered as of the Effective Date.</w:t>
      </w:r>
    </w:p>
    <w:p>
      <w:pPr>
        <w:spacing w:after="140"/>
        <w:ind w:left="360"/>
      </w:pPr>
      <w:r>
        <w:rPr>
          <w:b/>
          <w:bCs/>
          <w:sz w:val="22"/>
          <w:szCs w:val="22"/>
        </w:rPr>
        <w:t xml:space="preserve">2.2 </w:t>
      </w:r>
      <w:r>
        <w:rPr>
          <w:sz w:val="22"/>
          <w:szCs w:val="22"/>
        </w:rPr>
        <w:t xml:space="preserve">Monthly Maintenance Fee. Client shall pay Company a recurring maintenance fee of $250.00 (two hundred fifty dollars) per month for the Maintenance Services described in Section 1.2, billed monthly in advance beginning on the Effective Date (or the Website's launch date, whichever is later), and on the same day of each month thereafter.</w:t>
      </w:r>
    </w:p>
    <w:p>
      <w:pPr>
        <w:spacing w:after="140"/>
        <w:ind w:left="360"/>
      </w:pPr>
      <w:r>
        <w:rPr>
          <w:b/>
          <w:bCs/>
          <w:sz w:val="22"/>
          <w:szCs w:val="22"/>
        </w:rPr>
        <w:t xml:space="preserve">2.3 </w:t>
      </w:r>
      <w:r>
        <w:rPr>
          <w:sz w:val="22"/>
          <w:szCs w:val="22"/>
        </w:rPr>
        <w:t xml:space="preserve">Payment Method. Fees shall be paid by </w:t>
      </w:r>
      <w:r>
        <w:rPr>
          <w:b/>
          <w:bCs/>
          <w:sz w:val="22"/>
          <w:szCs w:val="22"/>
          <w:highlight w:val="yellow"/>
          <w:highlightCs w:val="yellow"/>
        </w:rPr>
        <w:t xml:space="preserve">[PAYMENT METHOD — e.g., ACH, check, card, invoice]</w:t>
      </w:r>
      <w:r>
        <w:rPr>
          <w:sz w:val="22"/>
          <w:szCs w:val="22"/>
        </w:rPr>
        <w:t xml:space="preserve">, payable to Company.</w:t>
      </w:r>
    </w:p>
    <w:p>
      <w:pPr>
        <w:spacing w:after="140"/>
        <w:ind w:left="360"/>
      </w:pPr>
      <w:r>
        <w:rPr>
          <w:b/>
          <w:bCs/>
          <w:sz w:val="22"/>
          <w:szCs w:val="22"/>
        </w:rPr>
        <w:t xml:space="preserve">2.4 </w:t>
      </w:r>
      <w:r>
        <w:rPr>
          <w:sz w:val="22"/>
          <w:szCs w:val="22"/>
        </w:rPr>
        <w:t xml:space="preserve">Late Payment. Any Monthly Maintenance Fee not paid within ten (10) days of its due date is considered late. Company may suspend Maintenance Services (including, if applicable, hosting or site access under Company's control) until Client's account is brought current, and may charge interest on overdue amounts at the lesser of 1.5% per month or the maximum rate permitted by applicable law.</w:t>
      </w:r>
    </w:p>
    <w:p>
      <w:pPr>
        <w:spacing w:after="140"/>
        <w:ind w:left="360"/>
      </w:pPr>
      <w:r>
        <w:rPr>
          <w:b/>
          <w:bCs/>
          <w:sz w:val="22"/>
          <w:szCs w:val="22"/>
        </w:rPr>
        <w:t xml:space="preserve">2.5 </w:t>
      </w:r>
      <w:r>
        <w:rPr>
          <w:sz w:val="22"/>
          <w:szCs w:val="22"/>
        </w:rPr>
        <w:t xml:space="preserve">No Refunds. Except as expressly provided in this Agreement, fees paid are non-refundable, including the one-time Website Development Fee once Company has begun or completed work, and any Monthly Maintenance Fee for a billing period in which Maintenance Services were made available to Client.</w:t>
      </w:r>
    </w:p>
    <w:p>
      <w:pPr>
        <w:spacing w:after="100" w:before="240"/>
      </w:pPr>
      <w:r>
        <w:rPr>
          <w:b/>
          <w:bCs/>
          <w:sz w:val="23"/>
          <w:szCs w:val="23"/>
        </w:rPr>
        <w:t xml:space="preserve">3. TERM</w:t>
      </w:r>
    </w:p>
    <w:p>
      <w:pPr>
        <w:spacing w:after="140"/>
        <w:ind w:left="360"/>
      </w:pPr>
      <w:r>
        <w:rPr>
          <w:b/>
          <w:bCs/>
          <w:sz w:val="22"/>
          <w:szCs w:val="22"/>
        </w:rPr>
        <w:t xml:space="preserve">3.1 </w:t>
      </w:r>
      <w:r>
        <w:rPr>
          <w:sz w:val="22"/>
          <w:szCs w:val="22"/>
        </w:rPr>
        <w:t xml:space="preserve">This Agreement begins on the Effective Date and continues until terminated as provided in Section 4. The Website Development Services are a one-time engagement; the Maintenance Services continue on a month-to-month basis.</w:t>
      </w:r>
    </w:p>
    <w:p>
      <w:pPr>
        <w:spacing w:after="100" w:before="240"/>
      </w:pPr>
      <w:r>
        <w:rPr>
          <w:b/>
          <w:bCs/>
          <w:sz w:val="23"/>
          <w:szCs w:val="23"/>
        </w:rPr>
        <w:t xml:space="preserve">4. CANCELLATION AND TERMINATION</w:t>
      </w:r>
    </w:p>
    <w:p>
      <w:pPr>
        <w:spacing w:after="140"/>
        <w:ind w:left="360"/>
      </w:pPr>
      <w:r>
        <w:rPr>
          <w:b/>
          <w:bCs/>
          <w:sz w:val="22"/>
          <w:szCs w:val="22"/>
        </w:rPr>
        <w:t xml:space="preserve">4.1 </w:t>
      </w:r>
      <w:r>
        <w:rPr>
          <w:sz w:val="22"/>
          <w:szCs w:val="22"/>
        </w:rPr>
        <w:t xml:space="preserve">Cancellation by Client. Client may cancel the Monthly Maintenance Fee and the Maintenance Services at any time, for any reason, by providing written notice to Company (email is sufficient). Cancellation will take effect at the end of the then-current monthly billing period, and Client will not be charged for any subsequent month. No partial-month refund is due for the month in which notice is given.</w:t>
      </w:r>
    </w:p>
    <w:p>
      <w:pPr>
        <w:spacing w:after="140"/>
        <w:ind w:left="360"/>
      </w:pPr>
      <w:r>
        <w:rPr>
          <w:b/>
          <w:bCs/>
          <w:sz w:val="22"/>
          <w:szCs w:val="22"/>
        </w:rPr>
        <w:t xml:space="preserve">4.2 </w:t>
      </w:r>
      <w:r>
        <w:rPr>
          <w:sz w:val="22"/>
          <w:szCs w:val="22"/>
        </w:rPr>
        <w:t xml:space="preserve">Effect of Cancellation. Upon cancellation of the Maintenance Services, Company's obligation to provide updates, monitoring, and support for the Website ends as of the effective cancellation date. Client is responsible for arranging any alternative hosting, maintenance, or support it wishes to have in place going forward. Cancellation of Maintenance Services does not, by itself, terminate this Agreement with respect to obligations that by their nature survive (see Section 15).</w:t>
      </w:r>
    </w:p>
    <w:p>
      <w:pPr>
        <w:spacing w:after="140"/>
        <w:ind w:left="360"/>
      </w:pPr>
      <w:r>
        <w:rPr>
          <w:b/>
          <w:bCs/>
          <w:sz w:val="22"/>
          <w:szCs w:val="22"/>
        </w:rPr>
        <w:t xml:space="preserve">4.3 </w:t>
      </w:r>
      <w:r>
        <w:rPr>
          <w:sz w:val="22"/>
          <w:szCs w:val="22"/>
        </w:rPr>
        <w:t xml:space="preserve">Termination for Cause. Either Party may terminate this Agreement upon written notice if the other Party materially breaches this Agreement and fails to cure such breach within fifteen (15) days after receiving written notice describing the breach. Company may also suspend or terminate services immediately for nonpayment that remains uncured ten (10) days after notice under Section 2.4.</w:t>
      </w:r>
    </w:p>
    <w:p>
      <w:pPr>
        <w:spacing w:after="100" w:before="240"/>
      </w:pPr>
      <w:r>
        <w:rPr>
          <w:b/>
          <w:bCs/>
          <w:sz w:val="23"/>
          <w:szCs w:val="23"/>
        </w:rPr>
        <w:t xml:space="preserve">5. OWNERSHIP; INTELLECTUAL PROPERTY</w:t>
      </w:r>
    </w:p>
    <w:p>
      <w:pPr>
        <w:spacing w:after="140"/>
        <w:ind w:left="360"/>
      </w:pPr>
      <w:r>
        <w:rPr>
          <w:b/>
          <w:bCs/>
          <w:sz w:val="22"/>
          <w:szCs w:val="22"/>
        </w:rPr>
        <w:t xml:space="preserve">5.1 </w:t>
      </w:r>
      <w:r>
        <w:rPr>
          <w:sz w:val="22"/>
          <w:szCs w:val="22"/>
        </w:rPr>
        <w:t xml:space="preserve">Client Ownership. Upon Company's receipt of payment in full of the Website Development Fee, all custom design elements, custom code, and content created by Company specifically for the Website (“Deliverables”) become the property of Client, except as set out in Section 5.2.</w:t>
      </w:r>
    </w:p>
    <w:p>
      <w:pPr>
        <w:spacing w:after="140"/>
        <w:ind w:left="360"/>
      </w:pPr>
      <w:r>
        <w:rPr>
          <w:b/>
          <w:bCs/>
          <w:sz w:val="22"/>
          <w:szCs w:val="22"/>
        </w:rPr>
        <w:t xml:space="preserve">5.2 </w:t>
      </w:r>
      <w:r>
        <w:rPr>
          <w:sz w:val="22"/>
          <w:szCs w:val="22"/>
        </w:rPr>
        <w:t xml:space="preserve">Company's Retained Materials. Company retains all right, title, and interest in and to its pre-existing tools, frameworks, templates, code libraries, and general know-how used to build the Website (“Company Materials”). Company grants Client a perpetual, royalty-free, non-exclusive license to use any Company Materials incorporated into the Website solely as part of operating the Website.</w:t>
      </w:r>
    </w:p>
    <w:p>
      <w:pPr>
        <w:spacing w:after="140"/>
        <w:ind w:left="360"/>
      </w:pPr>
      <w:r>
        <w:rPr>
          <w:b/>
          <w:bCs/>
          <w:sz w:val="22"/>
          <w:szCs w:val="22"/>
        </w:rPr>
        <w:t xml:space="preserve">5.3 </w:t>
      </w:r>
      <w:r>
        <w:rPr>
          <w:sz w:val="22"/>
          <w:szCs w:val="22"/>
        </w:rPr>
        <w:t xml:space="preserve">Domain, Hosting, and Third-Party Accounts. The domain name dthroughc.org, and any hosting, email, or donation/“giving partner” accounts used in connection with the Website, are and remain Client's property and Client's contractual responsibility, whether or not Company assists in setting them up on Client's behalf. Company is not responsible for fees charged by domain registrars, hosting providers, email providers, or payment/giving-partner platforms.</w:t>
      </w:r>
    </w:p>
    <w:p>
      <w:pPr>
        <w:spacing w:after="140"/>
        <w:ind w:left="360"/>
      </w:pPr>
      <w:r>
        <w:rPr>
          <w:b/>
          <w:bCs/>
          <w:sz w:val="22"/>
          <w:szCs w:val="22"/>
        </w:rPr>
        <w:t xml:space="preserve">5.4 </w:t>
      </w:r>
      <w:r>
        <w:rPr>
          <w:sz w:val="22"/>
          <w:szCs w:val="22"/>
        </w:rPr>
        <w:t xml:space="preserve">Portfolio Use. Client grants Company a non-exclusive, royalty-free license to reference Client's name, logo, and non-confidential screenshots of the Website in Company's portfolio, website, and marketing materials, unless Client opts out by written notice.</w:t>
      </w:r>
    </w:p>
    <w:p>
      <w:pPr>
        <w:spacing w:after="100" w:before="240"/>
      </w:pPr>
      <w:r>
        <w:rPr>
          <w:b/>
          <w:bCs/>
          <w:sz w:val="23"/>
          <w:szCs w:val="23"/>
        </w:rPr>
        <w:t xml:space="preserve">6. CLIENT CONTENT AND RESPONSIBILITIES</w:t>
      </w:r>
    </w:p>
    <w:p>
      <w:pPr>
        <w:spacing w:after="140"/>
        <w:ind w:left="360"/>
      </w:pPr>
      <w:r>
        <w:rPr>
          <w:b/>
          <w:bCs/>
          <w:sz w:val="22"/>
          <w:szCs w:val="22"/>
        </w:rPr>
        <w:t xml:space="preserve">6.1 </w:t>
      </w:r>
      <w:r>
        <w:rPr>
          <w:sz w:val="22"/>
          <w:szCs w:val="22"/>
        </w:rPr>
        <w:t xml:space="preserve">Client is solely responsible for all content it provides to, or approves for, the Website, including text, photographs, names, and stories relating to sponsored student athletes and their families (“Client Content”).</w:t>
      </w:r>
    </w:p>
    <w:p>
      <w:pPr>
        <w:spacing w:after="140"/>
        <w:ind w:left="360"/>
      </w:pPr>
      <w:r>
        <w:rPr>
          <w:b/>
          <w:bCs/>
          <w:sz w:val="22"/>
          <w:szCs w:val="22"/>
        </w:rPr>
        <w:t xml:space="preserve">6.2 </w:t>
      </w:r>
      <w:r>
        <w:rPr>
          <w:sz w:val="22"/>
          <w:szCs w:val="22"/>
        </w:rPr>
        <w:t xml:space="preserve">Client represents and warrants that it has obtained all necessary rights, releases, and consents to publish Client Content on the Website, including parental or guardian consent for the use of the name, image, likeness, or personal information of any minor, and that Client Content does not infringe or violate any third party's rights.</w:t>
      </w:r>
    </w:p>
    <w:p>
      <w:pPr>
        <w:spacing w:after="140"/>
        <w:ind w:left="360"/>
      </w:pPr>
      <w:r>
        <w:rPr>
          <w:b/>
          <w:bCs/>
          <w:sz w:val="22"/>
          <w:szCs w:val="22"/>
        </w:rPr>
        <w:t xml:space="preserve">6.3 </w:t>
      </w:r>
      <w:r>
        <w:rPr>
          <w:sz w:val="22"/>
          <w:szCs w:val="22"/>
        </w:rPr>
        <w:t xml:space="preserve">Client is solely responsible for compliance with all laws applicable to its own activities, including charitable solicitation registration, tax-exempt status representations, and any laws governing donations processed through Client's third-party giving partner. Company is not providing legal, tax, or fundraising-compliance advice and is not a party to, and has no responsibility for, Client's donation-processing arrangements.</w:t>
      </w:r>
    </w:p>
    <w:p>
      <w:pPr>
        <w:spacing w:after="140"/>
        <w:ind w:left="360"/>
      </w:pPr>
      <w:r>
        <w:rPr>
          <w:b/>
          <w:bCs/>
          <w:sz w:val="22"/>
          <w:szCs w:val="22"/>
        </w:rPr>
        <w:t xml:space="preserve">6.4 </w:t>
      </w:r>
      <w:r>
        <w:rPr>
          <w:sz w:val="22"/>
          <w:szCs w:val="22"/>
        </w:rPr>
        <w:t xml:space="preserve">Client acknowledges that, as of the Effective Date, its application for 501(c)(3) tax-exempt status is pending and has not yet been granted. Client is solely responsible for any representations made to donors or the public regarding the tax-deductibility of contributions, and for updating Website content accordingly once, and unless, 501(c)(3) status is granted.</w:t>
      </w:r>
    </w:p>
    <w:p>
      <w:pPr>
        <w:spacing w:after="100" w:before="240"/>
      </w:pPr>
      <w:r>
        <w:rPr>
          <w:b/>
          <w:bCs/>
          <w:sz w:val="23"/>
          <w:szCs w:val="23"/>
        </w:rPr>
        <w:t xml:space="preserve">7. PRIVACY AND DATA</w:t>
      </w:r>
    </w:p>
    <w:p>
      <w:pPr>
        <w:spacing w:after="140"/>
        <w:ind w:left="360"/>
      </w:pPr>
      <w:r>
        <w:rPr>
          <w:b/>
          <w:bCs/>
          <w:sz w:val="22"/>
          <w:szCs w:val="22"/>
        </w:rPr>
        <w:t xml:space="preserve">7.1 </w:t>
      </w:r>
      <w:r>
        <w:rPr>
          <w:sz w:val="22"/>
          <w:szCs w:val="22"/>
        </w:rPr>
        <w:t xml:space="preserve">Client is responsible for maintaining a Website privacy policy that accurately describes the personal information collected through the Website (including via any contact forms) and how it is used, and for complying with applicable privacy laws, including as to any information about minors.</w:t>
      </w:r>
    </w:p>
    <w:p>
      <w:pPr>
        <w:spacing w:after="140"/>
        <w:ind w:left="360"/>
      </w:pPr>
      <w:r>
        <w:rPr>
          <w:b/>
          <w:bCs/>
          <w:sz w:val="22"/>
          <w:szCs w:val="22"/>
        </w:rPr>
        <w:t xml:space="preserve">7.2 </w:t>
      </w:r>
      <w:r>
        <w:rPr>
          <w:sz w:val="22"/>
          <w:szCs w:val="22"/>
        </w:rPr>
        <w:t xml:space="preserve">Company will use commercially reasonable care in handling any Client data it accesses solely to provide the Services, and will not use such data for any purpose other than performing this Agreement.</w:t>
      </w:r>
    </w:p>
    <w:p>
      <w:pPr>
        <w:spacing w:after="100" w:before="240"/>
      </w:pPr>
      <w:r>
        <w:rPr>
          <w:b/>
          <w:bCs/>
          <w:sz w:val="23"/>
          <w:szCs w:val="23"/>
        </w:rPr>
        <w:t xml:space="preserve">8. INDEPENDENT CONTRACTOR</w:t>
      </w:r>
    </w:p>
    <w:p>
      <w:pPr>
        <w:spacing w:after="140"/>
      </w:pPr>
      <w:r>
        <w:rPr>
          <w:sz w:val="22"/>
          <w:szCs w:val="22"/>
        </w:rPr>
        <w:t xml:space="preserve">Company is an independent contractor, and nothing in this Agreement creates a partnership, joint venture, employment, or agency relationship between the Parties. Each Party is responsible for its own employees, taxes, and benefits.</w:t>
      </w:r>
    </w:p>
    <w:p>
      <w:pPr>
        <w:spacing w:after="100" w:before="240"/>
      </w:pPr>
      <w:r>
        <w:rPr>
          <w:b/>
          <w:bCs/>
          <w:sz w:val="23"/>
          <w:szCs w:val="23"/>
        </w:rPr>
        <w:t xml:space="preserve">9. CONFIDENTIALITY</w:t>
      </w:r>
    </w:p>
    <w:p>
      <w:pPr>
        <w:spacing w:after="140"/>
      </w:pPr>
      <w:r>
        <w:rPr>
          <w:sz w:val="22"/>
          <w:szCs w:val="22"/>
        </w:rPr>
        <w:t xml:space="preserve">Each Party agrees to protect the other Party's non-public business, technical, and financial information disclosed in connection with this Agreement using the same degree of care it uses for its own confidential information of like kind (but no less than reasonable care), and not to disclose such information to third parties except as needed to perform this Agreement or as required by law.</w:t>
      </w:r>
    </w:p>
    <w:p>
      <w:pPr>
        <w:spacing w:after="100" w:before="240"/>
      </w:pPr>
      <w:r>
        <w:rPr>
          <w:b/>
          <w:bCs/>
          <w:sz w:val="23"/>
          <w:szCs w:val="23"/>
        </w:rPr>
        <w:t xml:space="preserve">10. WARRANTIES; DISCLAIMER</w:t>
      </w:r>
    </w:p>
    <w:p>
      <w:pPr>
        <w:spacing w:after="140"/>
        <w:ind w:left="360"/>
      </w:pPr>
      <w:r>
        <w:rPr>
          <w:b/>
          <w:bCs/>
          <w:sz w:val="22"/>
          <w:szCs w:val="22"/>
        </w:rPr>
        <w:t xml:space="preserve">10.1 </w:t>
      </w:r>
      <w:r>
        <w:rPr>
          <w:sz w:val="22"/>
          <w:szCs w:val="22"/>
        </w:rPr>
        <w:t xml:space="preserve">Company warrants that it will perform the Services in a professional and workmanlike manner consistent with prevailing industry standards.</w:t>
      </w:r>
    </w:p>
    <w:p>
      <w:pPr>
        <w:spacing w:after="140"/>
        <w:ind w:left="360"/>
      </w:pPr>
      <w:r>
        <w:rPr>
          <w:b/>
          <w:bCs/>
          <w:sz w:val="22"/>
          <w:szCs w:val="22"/>
        </w:rPr>
        <w:t xml:space="preserve">10.2 </w:t>
      </w:r>
      <w:r>
        <w:rPr>
          <w:sz w:val="22"/>
          <w:szCs w:val="22"/>
        </w:rPr>
        <w:t xml:space="preserve">EXCEPT AS EXPRESSLY STATED IN THIS AGREEMENT, THE WEBSITE AND SERVICES ARE PROVIDED “AS IS” WITHOUT WARRANTIES OF ANY KIND, WHETHER EXPRESS OR IMPLIED, INCLUDING WARRANTIES OF MERCHANTABILITY, FITNESS FOR A PARTICULAR PURPOSE, OR NON-INFRINGEMENT. COMPANY DOES NOT WARRANT THAT THE WEBSITE WILL BE UNINTERRUPTED, ERROR-FREE, OR THAT IT WILL ACHIEVE ANY PARTICULAR LEVEL OF TRAFFIC, DONATIONS, OR FUNDRAISING RESULTS.</w:t>
      </w:r>
    </w:p>
    <w:p>
      <w:pPr>
        <w:spacing w:after="100" w:before="240"/>
      </w:pPr>
      <w:r>
        <w:rPr>
          <w:b/>
          <w:bCs/>
          <w:sz w:val="23"/>
          <w:szCs w:val="23"/>
        </w:rPr>
        <w:t xml:space="preserve">11. LIMITATION OF LIABILITY</w:t>
      </w:r>
    </w:p>
    <w:p>
      <w:pPr>
        <w:spacing w:after="140"/>
      </w:pPr>
      <w:r>
        <w:rPr>
          <w:sz w:val="22"/>
          <w:szCs w:val="22"/>
        </w:rPr>
        <w:t xml:space="preserve">TO THE MAXIMUM EXTENT PERMITTED BY LAW, NEITHER PARTY WILL BE LIABLE TO THE OTHER FOR ANY INDIRECT, INCIDENTAL, SPECIAL, CONSEQUENTIAL, OR PUNITIVE DAMAGES, OR FOR LOST PROFITS OR LOST DONATIONS, ARISING OUT OF OR RELATED TO THIS AGREEMENT. EACH PARTY'S TOTAL AGGREGATE LIABILITY UNDER THIS AGREEMENT WILL NOT EXCEED THE TOTAL FEES PAID BY CLIENT TO COMPANY IN THE TWELVE (12) MONTHS PRECEDING THE CLAIM. THESE LIMITATIONS DO NOT APPLY TO A PARTY'S INDEMNIFICATION OBLIGATIONS, BREACH OF CONFIDENTIALITY, OR DAMAGES ARISING FROM GROSS NEGLIGENCE OR WILLFUL MISCONDUCT.</w:t>
      </w:r>
    </w:p>
    <w:p>
      <w:pPr>
        <w:spacing w:after="100" w:before="240"/>
      </w:pPr>
      <w:r>
        <w:rPr>
          <w:b/>
          <w:bCs/>
          <w:sz w:val="23"/>
          <w:szCs w:val="23"/>
        </w:rPr>
        <w:t xml:space="preserve">12. INDEMNIFICATION</w:t>
      </w:r>
    </w:p>
    <w:p>
      <w:pPr>
        <w:spacing w:after="140"/>
        <w:ind w:left="360"/>
      </w:pPr>
      <w:r>
        <w:rPr>
          <w:b/>
          <w:bCs/>
          <w:sz w:val="22"/>
          <w:szCs w:val="22"/>
        </w:rPr>
        <w:t xml:space="preserve">12.1 </w:t>
      </w:r>
      <w:r>
        <w:rPr>
          <w:sz w:val="22"/>
          <w:szCs w:val="22"/>
        </w:rPr>
        <w:t xml:space="preserve">By Client. Client will indemnify, defend, and hold harmless Company from any third-party claim arising out of Client Content, including any claim relating to consent, privacy, or rights of publicity involving a sponsored student or family, or Client's donation/fundraising activities.</w:t>
      </w:r>
    </w:p>
    <w:p>
      <w:pPr>
        <w:spacing w:after="140"/>
        <w:ind w:left="360"/>
      </w:pPr>
      <w:r>
        <w:rPr>
          <w:b/>
          <w:bCs/>
          <w:sz w:val="22"/>
          <w:szCs w:val="22"/>
        </w:rPr>
        <w:t xml:space="preserve">12.2 </w:t>
      </w:r>
      <w:r>
        <w:rPr>
          <w:sz w:val="22"/>
          <w:szCs w:val="22"/>
        </w:rPr>
        <w:t xml:space="preserve">By Company. Company will indemnify, defend, and hold harmless Client from any third-party claim that the Deliverables, as delivered by Company and used as intended, infringe that third party's U.S. intellectual property rights.</w:t>
      </w:r>
    </w:p>
    <w:p>
      <w:pPr>
        <w:spacing w:after="100" w:before="240"/>
      </w:pPr>
      <w:r>
        <w:rPr>
          <w:b/>
          <w:bCs/>
          <w:sz w:val="23"/>
          <w:szCs w:val="23"/>
        </w:rPr>
        <w:t xml:space="preserve">13. FORCE MAJEURE</w:t>
      </w:r>
    </w:p>
    <w:p>
      <w:pPr>
        <w:spacing w:after="140"/>
      </w:pPr>
      <w:r>
        <w:rPr>
          <w:sz w:val="22"/>
          <w:szCs w:val="22"/>
        </w:rPr>
        <w:t xml:space="preserve">Neither Party is liable for delay or failure to perform caused by events beyond its reasonable control, including natural disasters, internet or utility outages, acts of government, or third-party service outages (e.g., hosting or domain provider outages).</w:t>
      </w:r>
    </w:p>
    <w:p>
      <w:pPr>
        <w:spacing w:after="100" w:before="240"/>
      </w:pPr>
      <w:r>
        <w:rPr>
          <w:b/>
          <w:bCs/>
          <w:sz w:val="23"/>
          <w:szCs w:val="23"/>
        </w:rPr>
        <w:t xml:space="preserve">14. GENERAL PROVISIONS</w:t>
      </w:r>
    </w:p>
    <w:p>
      <w:pPr>
        <w:spacing w:after="140"/>
        <w:ind w:left="360"/>
      </w:pPr>
      <w:r>
        <w:rPr>
          <w:b/>
          <w:bCs/>
          <w:sz w:val="22"/>
          <w:szCs w:val="22"/>
        </w:rPr>
        <w:t xml:space="preserve">14.1 </w:t>
      </w:r>
      <w:r>
        <w:rPr>
          <w:sz w:val="22"/>
          <w:szCs w:val="22"/>
        </w:rPr>
        <w:t xml:space="preserve">Assignment. Neither Party may assign this Agreement without the other's prior written consent, except in connection with a merger, acquisition, or sale of substantially all assets.</w:t>
      </w:r>
    </w:p>
    <w:p>
      <w:pPr>
        <w:spacing w:after="140"/>
        <w:ind w:left="360"/>
      </w:pPr>
      <w:r>
        <w:rPr>
          <w:b/>
          <w:bCs/>
          <w:sz w:val="22"/>
          <w:szCs w:val="22"/>
        </w:rPr>
        <w:t xml:space="preserve">14.2 </w:t>
      </w:r>
      <w:r>
        <w:rPr>
          <w:sz w:val="22"/>
          <w:szCs w:val="22"/>
        </w:rPr>
        <w:t xml:space="preserve">Governing Law; Venue. This Agreement is governed by the laws of the State of California, without regard to conflict-of-laws principles. Any dispute will be brought exclusively in the state or federal courts located in Riverside County, California, and each Party consents to jurisdiction and venue there.</w:t>
      </w:r>
    </w:p>
    <w:p>
      <w:pPr>
        <w:spacing w:after="140"/>
        <w:ind w:left="360"/>
      </w:pPr>
      <w:r>
        <w:rPr>
          <w:b/>
          <w:bCs/>
          <w:sz w:val="22"/>
          <w:szCs w:val="22"/>
        </w:rPr>
        <w:t xml:space="preserve">14.3 </w:t>
      </w:r>
      <w:r>
        <w:rPr>
          <w:sz w:val="22"/>
          <w:szCs w:val="22"/>
        </w:rPr>
        <w:t xml:space="preserve">Notices. Notices under this Agreement must be in writing and delivered by email (with confirmation of receipt) or by mail to the addresses set out above, or such other address as a Party designates in writing.</w:t>
      </w:r>
    </w:p>
    <w:p>
      <w:pPr>
        <w:spacing w:after="140"/>
        <w:ind w:left="360"/>
      </w:pPr>
      <w:r>
        <w:rPr>
          <w:b/>
          <w:bCs/>
          <w:sz w:val="22"/>
          <w:szCs w:val="22"/>
        </w:rPr>
        <w:t xml:space="preserve">14.4 </w:t>
      </w:r>
      <w:r>
        <w:rPr>
          <w:sz w:val="22"/>
          <w:szCs w:val="22"/>
        </w:rPr>
        <w:t xml:space="preserve">Entire Agreement; Amendment. This Agreement is the entire agreement between the Parties regarding its subject matter and supersedes all prior discussions or agreements on that subject. It may only be amended in a writing signed by both Parties.</w:t>
      </w:r>
    </w:p>
    <w:p>
      <w:pPr>
        <w:spacing w:after="140"/>
        <w:ind w:left="360"/>
      </w:pPr>
      <w:r>
        <w:rPr>
          <w:b/>
          <w:bCs/>
          <w:sz w:val="22"/>
          <w:szCs w:val="22"/>
        </w:rPr>
        <w:t xml:space="preserve">14.5 </w:t>
      </w:r>
      <w:r>
        <w:rPr>
          <w:sz w:val="22"/>
          <w:szCs w:val="22"/>
        </w:rPr>
        <w:t xml:space="preserve">Severability; Waiver. If any provision of this Agreement is held unenforceable, the remaining provisions remain in full force and effect. A Party's failure to enforce any provision is not a waiver of that provision.</w:t>
      </w:r>
    </w:p>
    <w:p>
      <w:pPr>
        <w:spacing w:after="140"/>
        <w:ind w:left="360"/>
      </w:pPr>
      <w:r>
        <w:rPr>
          <w:b/>
          <w:bCs/>
          <w:sz w:val="22"/>
          <w:szCs w:val="22"/>
        </w:rPr>
        <w:t xml:space="preserve">14.6 </w:t>
      </w:r>
      <w:r>
        <w:rPr>
          <w:sz w:val="22"/>
          <w:szCs w:val="22"/>
        </w:rPr>
        <w:t xml:space="preserve">Survival. Sections 5 (Ownership), 6 (Client Content), 9 (Confidentiality), 10–13 (Warranties, Liability, Indemnification, Force Majeure), and 14 (General Provisions) survive termination or cancellation of this Agreement.</w:t>
      </w:r>
    </w:p>
    <w:p>
      <w:pPr>
        <w:spacing w:after="160" w:before="320"/>
      </w:pPr>
      <w:r>
        <w:rPr>
          <w:b/>
          <w:bCs/>
          <w:sz w:val="26"/>
          <w:szCs w:val="26"/>
        </w:rPr>
        <w:t xml:space="preserve">SIGNATURES</w:t>
      </w:r>
    </w:p>
    <w:p>
      <w:pPr>
        <w:spacing w:after="140"/>
      </w:pPr>
      <w:r>
        <w:rPr>
          <w:sz w:val="22"/>
          <w:szCs w:val="22"/>
        </w:rPr>
        <w:t xml:space="preserve">IN WITNESS WHEREOF, the Parties have executed this Agreement as of the Effective Date.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left w:val="none"/>
              <w:bottom w:val="none"/>
              <w:right w:val="none"/>
            </w:tcBorders>
          </w:tcPr>
          <w:p>
            <w:pPr>
              <w:spacing w:after="200"/>
            </w:pPr>
            <w:r>
              <w:rPr>
                <w:sz w:val="22"/>
                <w:szCs w:val="22"/>
              </w:rPr>
              <w:t xml:space="preserve"/>
            </w:r>
          </w:p>
        </w:tc>
        <w:tc>
          <w:tcPr>
            <w:tcW w:type="dxa" w:w="4700"/>
            <w:tcBorders>
              <w:top w:val="none"/>
              <w:left w:val="none"/>
              <w:bottom w:val="none"/>
              <w:right w:val="none"/>
            </w:tcBorders>
          </w:tcPr>
          <w:p>
            <w:pPr>
              <w:spacing w:after="200"/>
            </w:pPr>
            <w:r>
              <w:rPr>
                <w:sz w:val="22"/>
                <w:szCs w:val="22"/>
              </w:rPr>
              <w:t xml:space="preserve"/>
            </w:r>
          </w:p>
        </w:tc>
      </w:tr>
      <w:tr>
        <w:tc>
          <w:tcPr>
            <w:tcW w:type="dxa" w:w="4700"/>
            <w:tcBorders>
              <w:top w:val="none"/>
              <w:left w:val="none"/>
              <w:bottom w:val="none"/>
              <w:right w:val="none"/>
            </w:tcBorders>
          </w:tcPr>
          <w:p>
            <w:pPr>
              <w:pBdr>
                <w:top w:val="single" w:color="000000" w:sz="6"/>
              </w:pBdr>
              <w:spacing w:after="40" w:before="400"/>
            </w:pPr>
            <w:r>
              <w:rPr>
                <w:sz w:val="20"/>
                <w:szCs w:val="20"/>
              </w:rPr>
              <w:t xml:space="preserve">Signature — Mission Hub Ink</w:t>
            </w:r>
          </w:p>
        </w:tc>
        <w:tc>
          <w:tcPr>
            <w:tcW w:type="dxa" w:w="4700"/>
            <w:tcBorders>
              <w:top w:val="none"/>
              <w:left w:val="none"/>
              <w:bottom w:val="none"/>
              <w:right w:val="none"/>
            </w:tcBorders>
          </w:tcPr>
          <w:p>
            <w:pPr>
              <w:pBdr>
                <w:top w:val="single" w:color="000000" w:sz="6"/>
              </w:pBdr>
              <w:spacing w:after="40" w:before="400"/>
            </w:pPr>
            <w:r>
              <w:rPr>
                <w:sz w:val="20"/>
                <w:szCs w:val="20"/>
              </w:rPr>
              <w:t xml:space="preserve">Signature — Dominate Through Christ</w:t>
            </w:r>
          </w:p>
        </w:tc>
      </w:tr>
      <w:tr>
        <w:tc>
          <w:tcPr>
            <w:tcW w:type="dxa" w:w="4700"/>
            <w:tcBorders>
              <w:top w:val="none"/>
              <w:left w:val="none"/>
              <w:bottom w:val="none"/>
              <w:right w:val="none"/>
            </w:tcBorders>
          </w:tcPr>
          <w:p>
            <w:pPr>
              <w:spacing w:before="120"/>
            </w:pPr>
            <w:r>
              <w:rPr>
                <w:b/>
                <w:bCs/>
                <w:sz w:val="22"/>
                <w:szCs w:val="22"/>
              </w:rPr>
              <w:t xml:space="preserve">Name: </w:t>
            </w:r>
            <w:r>
              <w:rPr>
                <w:b/>
                <w:bCs/>
                <w:sz w:val="22"/>
                <w:szCs w:val="22"/>
                <w:highlight w:val="yellow"/>
                <w:highlightCs w:val="yellow"/>
              </w:rPr>
              <w:t xml:space="preserve">[NAME]</w:t>
            </w:r>
          </w:p>
        </w:tc>
        <w:tc>
          <w:tcPr>
            <w:tcW w:type="dxa" w:w="4700"/>
            <w:tcBorders>
              <w:top w:val="none"/>
              <w:left w:val="none"/>
              <w:bottom w:val="none"/>
              <w:right w:val="none"/>
            </w:tcBorders>
          </w:tcPr>
          <w:p>
            <w:pPr>
              <w:spacing w:before="120"/>
            </w:pPr>
            <w:r>
              <w:rPr>
                <w:b/>
                <w:bCs/>
                <w:sz w:val="22"/>
                <w:szCs w:val="22"/>
              </w:rPr>
              <w:t xml:space="preserve">Name: </w:t>
            </w:r>
            <w:r>
              <w:rPr>
                <w:b/>
                <w:bCs/>
                <w:sz w:val="22"/>
                <w:szCs w:val="22"/>
                <w:highlight w:val="yellow"/>
                <w:highlightCs w:val="yellow"/>
              </w:rPr>
              <w:t xml:space="preserve">[NAME]</w:t>
            </w:r>
          </w:p>
        </w:tc>
      </w:tr>
      <w:tr>
        <w:tc>
          <w:tcPr>
            <w:tcW w:type="dxa" w:w="4700"/>
            <w:tcBorders>
              <w:top w:val="none"/>
              <w:left w:val="none"/>
              <w:bottom w:val="none"/>
              <w:right w:val="none"/>
            </w:tcBorders>
          </w:tcPr>
          <w:p>
            <w:r>
              <w:rPr>
                <w:b/>
                <w:bCs/>
                <w:sz w:val="22"/>
                <w:szCs w:val="22"/>
              </w:rPr>
              <w:t xml:space="preserve">Title: </w:t>
            </w:r>
            <w:r>
              <w:rPr>
                <w:b/>
                <w:bCs/>
                <w:sz w:val="22"/>
                <w:szCs w:val="22"/>
                <w:highlight w:val="yellow"/>
                <w:highlightCs w:val="yellow"/>
              </w:rPr>
              <w:t xml:space="preserve">[TITLE]</w:t>
            </w:r>
          </w:p>
        </w:tc>
        <w:tc>
          <w:tcPr>
            <w:tcW w:type="dxa" w:w="4700"/>
            <w:tcBorders>
              <w:top w:val="none"/>
              <w:left w:val="none"/>
              <w:bottom w:val="none"/>
              <w:right w:val="none"/>
            </w:tcBorders>
          </w:tcPr>
          <w:p>
            <w:r>
              <w:rPr>
                <w:b/>
                <w:bCs/>
                <w:sz w:val="22"/>
                <w:szCs w:val="22"/>
              </w:rPr>
              <w:t xml:space="preserve">Title: </w:t>
            </w:r>
            <w:r>
              <w:rPr>
                <w:b/>
                <w:bCs/>
                <w:sz w:val="22"/>
                <w:szCs w:val="22"/>
                <w:highlight w:val="yellow"/>
                <w:highlightCs w:val="yellow"/>
              </w:rPr>
              <w:t xml:space="preserve">[TITLE]</w:t>
            </w:r>
          </w:p>
        </w:tc>
      </w:tr>
      <w:tr>
        <w:tc>
          <w:tcPr>
            <w:tcW w:type="dxa" w:w="4700"/>
            <w:tcBorders>
              <w:top w:val="none"/>
              <w:left w:val="none"/>
              <w:bottom w:val="none"/>
              <w:right w:val="none"/>
            </w:tcBorders>
          </w:tcPr>
          <w:p>
            <w:r>
              <w:rPr>
                <w:b/>
                <w:bCs/>
                <w:sz w:val="22"/>
                <w:szCs w:val="22"/>
              </w:rPr>
              <w:t xml:space="preserve">Date: </w:t>
            </w:r>
            <w:r>
              <w:rPr>
                <w:b/>
                <w:bCs/>
                <w:sz w:val="22"/>
                <w:szCs w:val="22"/>
                <w:highlight w:val="yellow"/>
                <w:highlightCs w:val="yellow"/>
              </w:rPr>
              <w:t xml:space="preserve">[DATE]</w:t>
            </w:r>
          </w:p>
        </w:tc>
        <w:tc>
          <w:tcPr>
            <w:tcW w:type="dxa" w:w="4700"/>
            <w:tcBorders>
              <w:top w:val="none"/>
              <w:left w:val="none"/>
              <w:bottom w:val="none"/>
              <w:right w:val="none"/>
            </w:tcBorders>
          </w:tcPr>
          <w:p>
            <w:r>
              <w:rPr>
                <w:b/>
                <w:bCs/>
                <w:sz w:val="22"/>
                <w:szCs w:val="22"/>
              </w:rPr>
              <w:t xml:space="preserve">Date: </w:t>
            </w:r>
            <w:r>
              <w:rPr>
                <w:b/>
                <w:bCs/>
                <w:sz w:val="22"/>
                <w:szCs w:val="22"/>
                <w:highlight w:val="yellow"/>
                <w:highlightCs w:val="yellow"/>
              </w:rPr>
              <w:t xml:space="preserve">[DATE]</w:t>
            </w:r>
          </w:p>
        </w:tc>
      </w:tr>
    </w:tbl>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2026-09-11T00:36:45.857Z</dcterms:created>
  <dcterms:modified xsi:type="dcterms:W3CDTF">2026-09-11T00:36:45.878Z</dcterms:modified>
</cp:coreProperties>
</file>

<file path=docProps/custom.xml><?xml version="1.0" encoding="utf-8"?>
<Properties xmlns="http://schemas.openxmlformats.org/officeDocument/2006/custom-properties" xmlns:vt="http://schemas.openxmlformats.org/officeDocument/2006/docPropsVTypes"/>
</file>