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21CA" w14:textId="77777777" w:rsidR="00EF6269" w:rsidRDefault="00EF6269" w:rsidP="00BC3212">
      <w:pPr>
        <w:jc w:val="center"/>
      </w:pPr>
    </w:p>
    <w:p w14:paraId="445607FF" w14:textId="0F8FFEF0" w:rsidR="00EF6269" w:rsidRPr="00EF6269" w:rsidRDefault="00EF6269" w:rsidP="00BC3212">
      <w:pPr>
        <w:jc w:val="center"/>
        <w:rPr>
          <w:color w:val="EE0000"/>
          <w:sz w:val="56"/>
          <w:szCs w:val="56"/>
        </w:rPr>
      </w:pPr>
      <w:r w:rsidRPr="00EF6269">
        <w:rPr>
          <w:color w:val="EE0000"/>
          <w:sz w:val="56"/>
          <w:szCs w:val="56"/>
        </w:rPr>
        <w:t xml:space="preserve">Criterios de </w:t>
      </w:r>
      <w:r>
        <w:rPr>
          <w:color w:val="EE0000"/>
          <w:sz w:val="56"/>
          <w:szCs w:val="56"/>
        </w:rPr>
        <w:t>E</w:t>
      </w:r>
      <w:r w:rsidRPr="00EF6269">
        <w:rPr>
          <w:color w:val="EE0000"/>
          <w:sz w:val="56"/>
          <w:szCs w:val="56"/>
        </w:rPr>
        <w:t xml:space="preserve">valuación </w:t>
      </w:r>
      <w:r w:rsidR="002F047A">
        <w:rPr>
          <w:color w:val="EE0000"/>
          <w:sz w:val="56"/>
          <w:szCs w:val="56"/>
        </w:rPr>
        <w:t>xxx</w:t>
      </w:r>
      <w:r>
        <w:rPr>
          <w:color w:val="EE0000"/>
          <w:sz w:val="56"/>
          <w:szCs w:val="56"/>
        </w:rPr>
        <w:br/>
        <w:t>P</w:t>
      </w:r>
      <w:r w:rsidRPr="00EF6269">
        <w:rPr>
          <w:color w:val="EE0000"/>
          <w:sz w:val="56"/>
          <w:szCs w:val="56"/>
        </w:rPr>
        <w:t xml:space="preserve">lataforma </w:t>
      </w:r>
      <w:r>
        <w:rPr>
          <w:color w:val="EE0000"/>
          <w:sz w:val="56"/>
          <w:szCs w:val="56"/>
        </w:rPr>
        <w:t>Analítica</w:t>
      </w:r>
      <w:r w:rsidRPr="00EF6269">
        <w:rPr>
          <w:color w:val="EE0000"/>
          <w:sz w:val="56"/>
          <w:szCs w:val="56"/>
        </w:rPr>
        <w:t xml:space="preserve"> 2026</w:t>
      </w:r>
      <w:r w:rsidR="00BC3212">
        <w:rPr>
          <w:color w:val="EE0000"/>
          <w:sz w:val="56"/>
          <w:szCs w:val="56"/>
        </w:rPr>
        <w:t xml:space="preserve"> </w:t>
      </w:r>
      <w:r w:rsidR="00BC3212" w:rsidRPr="00BC3212">
        <w:rPr>
          <w:color w:val="EE0000"/>
          <w:sz w:val="44"/>
          <w:szCs w:val="44"/>
        </w:rPr>
        <w:t>(ver 2.1)</w:t>
      </w:r>
    </w:p>
    <w:p w14:paraId="6073ADB8" w14:textId="77777777" w:rsidR="00BC3212" w:rsidRDefault="00BC3212" w:rsidP="00BC3212">
      <w:pPr>
        <w:pStyle w:val="p1"/>
        <w:jc w:val="both"/>
      </w:pPr>
    </w:p>
    <w:p w14:paraId="4059E48F" w14:textId="0336980C" w:rsidR="00FC1629" w:rsidRDefault="00FC1629" w:rsidP="00BC3212">
      <w:pPr>
        <w:pStyle w:val="p1"/>
        <w:jc w:val="both"/>
      </w:pPr>
      <w:r>
        <w:t>La presente herramienta consiste en una matriz estructurada de evaluación multicriterio diseñada para analizar de manera objetiva, integral y trazable las distintas alternativas tecnológicas relacionadas con la evolución de la plataforma analítica institucional.</w:t>
      </w:r>
    </w:p>
    <w:p w14:paraId="0DEE3C1A" w14:textId="41840B88" w:rsidR="00FC1629" w:rsidRDefault="00FC1629" w:rsidP="00BC3212">
      <w:pPr>
        <w:pStyle w:val="p1"/>
        <w:jc w:val="both"/>
      </w:pPr>
      <w:r>
        <w:t>Su propósito es facilitar la toma de decisiones mediante la comparación sistemática de las opciones disponibles —como la continuidad en la versión actual, la adopción de nuevas versiones o la migración hacia otras tecnologías— considerando no solo el costo financiero, sino también los riesgos asociados, la capacidad operativa institucional, la madurez tecnológica, el ecosistema de soporte y la alineación con la estrategia institucional.</w:t>
      </w:r>
    </w:p>
    <w:p w14:paraId="7B7FB628" w14:textId="145CA71F" w:rsidR="00FC1629" w:rsidRDefault="00FC1629" w:rsidP="00BC3212">
      <w:pPr>
        <w:pStyle w:val="p1"/>
        <w:jc w:val="both"/>
      </w:pPr>
      <w:r>
        <w:t>La herramienta está organizada en diversas perspectivas de evaluación —Financiera, Estratégica, Riesgo, Operativa, Tecnológica y Ecosistema y Soporte— cada una compuesta por criterios específicos que permiten medir el impacto, viabilidad y sostenibilidad de cada alternativa. Cada criterio se evalúa mediante una escala cuantitativa estandarizada, lo que permite obtener resultados comparables, transparentes y defendibles desde el punto de vista técnico, operativo y administrativo.</w:t>
      </w:r>
    </w:p>
    <w:p w14:paraId="6D7C0C06" w14:textId="77777777" w:rsidR="00FC1629" w:rsidRDefault="00FC1629" w:rsidP="00BC3212">
      <w:pPr>
        <w:pStyle w:val="p1"/>
        <w:jc w:val="both"/>
      </w:pPr>
      <w:r>
        <w:t>Este enfoque garantiza que la decisión resultante no se base en un único factor aislado, sino en una visión integral que considera el contexto institucional, la continuidad operativa, la sostenibilidad tecnológica y el cumplimiento de los objetivos estratégicos del INFONAVIT.</w:t>
      </w:r>
    </w:p>
    <w:p w14:paraId="485B94E6" w14:textId="77777777" w:rsidR="00FC1629" w:rsidRDefault="00FC1629" w:rsidP="00BC3212">
      <w:pPr>
        <w:jc w:val="both"/>
      </w:pPr>
      <w:r>
        <w:br/>
      </w:r>
    </w:p>
    <w:p w14:paraId="5BE1D9D1" w14:textId="77777777" w:rsidR="00FC1629" w:rsidRDefault="00FC1629"/>
    <w:p w14:paraId="597256E5" w14:textId="08C40CEE" w:rsidR="00BC3212" w:rsidRPr="00BC3212" w:rsidRDefault="00BC3212" w:rsidP="00BC3212">
      <w:pPr>
        <w:pStyle w:val="Ttulo2"/>
        <w:rPr>
          <w:rFonts w:eastAsia="Times New Roman"/>
        </w:rPr>
      </w:pPr>
      <w:r>
        <w:lastRenderedPageBreak/>
        <w:t>Origen y Sustento de la Matriz de Evaluación</w:t>
      </w:r>
    </w:p>
    <w:p w14:paraId="4AE73D4B" w14:textId="6430C89F" w:rsidR="00BC3212" w:rsidRDefault="00BC3212" w:rsidP="00BC3212">
      <w:pPr>
        <w:pStyle w:val="p3"/>
        <w:jc w:val="both"/>
      </w:pPr>
      <w:r>
        <w:t>La presente matriz de evaluación fue desarrollada considerando criterios, prácticas y marcos de referencia ampliamente reconocidos en la industria tecnológica, incluyendo lineamientos utilizados por firmas de análisis y asesoría tecnológica como Gartner, particularmente en lo referente a la evaluación comparativa de plataformas empresariales, análisis multicriterio, gestión de riesgos tecnológicos y toma de decisiones basada en valor institucional.</w:t>
      </w:r>
    </w:p>
    <w:p w14:paraId="0F934C06" w14:textId="3E8D6483" w:rsidR="00BC3212" w:rsidRDefault="00BC3212" w:rsidP="00BC3212">
      <w:pPr>
        <w:pStyle w:val="p3"/>
        <w:jc w:val="both"/>
      </w:pPr>
      <w:r>
        <w:t>Su diseño incorpora factores clave como costo total de propiedad, riesgo operativo y tecnológico, sostenibilidad, capacidad operativa institucional, madurez tecnológica, ecosistema de soporte y alineación estratégica, los cuales son considerados elementos fundamentales en los procesos formales de evaluación tecnológica a nivel empresarial e institucional.</w:t>
      </w:r>
    </w:p>
    <w:p w14:paraId="210DE586" w14:textId="5155CCE1" w:rsidR="00BC3212" w:rsidRDefault="00BC3212" w:rsidP="00BC3212">
      <w:pPr>
        <w:pStyle w:val="p3"/>
        <w:jc w:val="both"/>
      </w:pPr>
      <w:r>
        <w:t>Asimismo, esta matriz fue elaborada de manera colaborativa con el equipo de la Gerencia responsable de la operación, infraestructura y evolución de la plataforma analítica institucional, integrando su experiencia técnica, conocimiento operativo y entendimiento del contexto tecnológico actual del INFONAVIT. Este enfoque conjunto garantiza que los criterios definidos reflejen de manera precisa tanto las mejores prácticas de la industria como las necesidades, capacidades y objetivos específicos de la institución.</w:t>
      </w:r>
    </w:p>
    <w:p w14:paraId="2D2B18B4" w14:textId="77777777" w:rsidR="00BC3212" w:rsidRDefault="00BC3212" w:rsidP="00BC3212">
      <w:pPr>
        <w:pStyle w:val="p3"/>
        <w:jc w:val="both"/>
      </w:pPr>
      <w:r>
        <w:t>Como resultado, la matriz constituye una herramienta técnicamente fundamentada, institucionalmente alineada y metodológicamente consistente, diseñada para soportar un proceso de evaluación objetivo, transparente y sustentado.</w:t>
      </w:r>
    </w:p>
    <w:p w14:paraId="51C129A2" w14:textId="4CC7F88F" w:rsidR="00BC3212" w:rsidRDefault="00BC3212">
      <w:r>
        <w:br w:type="page"/>
      </w:r>
    </w:p>
    <w:p w14:paraId="2E97737F" w14:textId="77777777" w:rsidR="00FC1629" w:rsidRDefault="00FC1629"/>
    <w:p w14:paraId="5D2A01C9" w14:textId="77777777" w:rsidR="00FC1629" w:rsidRDefault="00FC1629"/>
    <w:p w14:paraId="58873CB5" w14:textId="6243595C" w:rsidR="00EF6269" w:rsidRDefault="00BC3212" w:rsidP="00FC1629">
      <w:pPr>
        <w:pStyle w:val="Ttulo2"/>
      </w:pPr>
      <w:r>
        <w:t xml:space="preserve">Tabla de </w:t>
      </w:r>
      <w:r w:rsidR="00FC1629">
        <w:t>Perspectivas</w:t>
      </w:r>
      <w:r w:rsidR="00FC1629">
        <w:br/>
      </w:r>
    </w:p>
    <w:tbl>
      <w:tblPr>
        <w:tblW w:w="5014" w:type="pct"/>
        <w:tblInd w:w="-147" w:type="dxa"/>
        <w:tblCellMar>
          <w:left w:w="70" w:type="dxa"/>
          <w:right w:w="70" w:type="dxa"/>
        </w:tblCellMar>
        <w:tblLook w:val="04A0" w:firstRow="1" w:lastRow="0" w:firstColumn="1" w:lastColumn="0" w:noHBand="0" w:noVBand="1"/>
      </w:tblPr>
      <w:tblGrid>
        <w:gridCol w:w="718"/>
        <w:gridCol w:w="1903"/>
        <w:gridCol w:w="2327"/>
        <w:gridCol w:w="3842"/>
        <w:gridCol w:w="5243"/>
      </w:tblGrid>
      <w:tr w:rsidR="002B6395" w:rsidRPr="00BC3212" w14:paraId="123E27E1" w14:textId="77777777" w:rsidTr="00BC3212">
        <w:trPr>
          <w:trHeight w:val="500"/>
        </w:trPr>
        <w:tc>
          <w:tcPr>
            <w:tcW w:w="256" w:type="pct"/>
            <w:tcBorders>
              <w:top w:val="single" w:sz="4" w:space="0" w:color="E97132"/>
              <w:left w:val="single" w:sz="4" w:space="0" w:color="E97132"/>
              <w:bottom w:val="single" w:sz="8" w:space="0" w:color="E97132"/>
              <w:right w:val="single" w:sz="4" w:space="0" w:color="E97132"/>
            </w:tcBorders>
            <w:vAlign w:val="center"/>
            <w:hideMark/>
          </w:tcPr>
          <w:p w14:paraId="3F8F5402" w14:textId="77777777" w:rsidR="002B6395" w:rsidRPr="002B6395" w:rsidRDefault="002B6395" w:rsidP="002B6395">
            <w:pPr>
              <w:spacing w:after="0" w:line="240" w:lineRule="auto"/>
              <w:jc w:val="center"/>
              <w:rPr>
                <w:rFonts w:ascii="Aptos Narrow" w:eastAsia="Times New Roman" w:hAnsi="Aptos Narrow" w:cs="Times New Roman"/>
                <w:b/>
                <w:bCs/>
                <w:color w:val="000000"/>
                <w:kern w:val="0"/>
                <w:lang w:eastAsia="es-ES_tradnl"/>
                <w14:ligatures w14:val="none"/>
              </w:rPr>
            </w:pPr>
            <w:r w:rsidRPr="002B6395">
              <w:rPr>
                <w:rFonts w:ascii="Aptos Narrow" w:eastAsia="Times New Roman" w:hAnsi="Aptos Narrow" w:cs="Times New Roman"/>
                <w:b/>
                <w:bCs/>
                <w:color w:val="000000"/>
                <w:kern w:val="0"/>
                <w:lang w:eastAsia="es-ES_tradnl"/>
                <w14:ligatures w14:val="none"/>
              </w:rPr>
              <w:t>ID</w:t>
            </w:r>
          </w:p>
        </w:tc>
        <w:tc>
          <w:tcPr>
            <w:tcW w:w="678" w:type="pct"/>
            <w:tcBorders>
              <w:top w:val="single" w:sz="4" w:space="0" w:color="E97132"/>
              <w:left w:val="single" w:sz="4" w:space="0" w:color="E97132"/>
              <w:bottom w:val="single" w:sz="8" w:space="0" w:color="E97132"/>
              <w:right w:val="single" w:sz="4" w:space="0" w:color="E97132"/>
            </w:tcBorders>
            <w:vAlign w:val="center"/>
            <w:hideMark/>
          </w:tcPr>
          <w:p w14:paraId="7896B98C" w14:textId="77777777" w:rsidR="002B6395" w:rsidRPr="002B6395" w:rsidRDefault="002B6395" w:rsidP="002B6395">
            <w:pPr>
              <w:spacing w:after="0" w:line="240" w:lineRule="auto"/>
              <w:jc w:val="center"/>
              <w:rPr>
                <w:rFonts w:ascii="Aptos Narrow" w:eastAsia="Times New Roman" w:hAnsi="Aptos Narrow" w:cs="Times New Roman"/>
                <w:b/>
                <w:bCs/>
                <w:color w:val="000000"/>
                <w:kern w:val="0"/>
                <w:lang w:eastAsia="es-ES_tradnl"/>
                <w14:ligatures w14:val="none"/>
              </w:rPr>
            </w:pPr>
            <w:r w:rsidRPr="002B6395">
              <w:rPr>
                <w:rFonts w:ascii="Aptos Narrow" w:eastAsia="Times New Roman" w:hAnsi="Aptos Narrow" w:cs="Times New Roman"/>
                <w:b/>
                <w:bCs/>
                <w:color w:val="000000"/>
                <w:kern w:val="0"/>
                <w:lang w:eastAsia="es-ES_tradnl"/>
                <w14:ligatures w14:val="none"/>
              </w:rPr>
              <w:t>Perspectiva</w:t>
            </w:r>
          </w:p>
        </w:tc>
        <w:tc>
          <w:tcPr>
            <w:tcW w:w="829" w:type="pct"/>
            <w:tcBorders>
              <w:top w:val="single" w:sz="4" w:space="0" w:color="E97132"/>
              <w:left w:val="single" w:sz="4" w:space="0" w:color="E97132"/>
              <w:bottom w:val="single" w:sz="8" w:space="0" w:color="E97132"/>
              <w:right w:val="single" w:sz="4" w:space="0" w:color="E97132"/>
            </w:tcBorders>
            <w:vAlign w:val="center"/>
            <w:hideMark/>
          </w:tcPr>
          <w:p w14:paraId="4959347B" w14:textId="77777777" w:rsidR="002B6395" w:rsidRPr="002B6395" w:rsidRDefault="002B6395" w:rsidP="002B6395">
            <w:pPr>
              <w:spacing w:after="0" w:line="240" w:lineRule="auto"/>
              <w:jc w:val="center"/>
              <w:rPr>
                <w:rFonts w:ascii="Aptos Narrow" w:eastAsia="Times New Roman" w:hAnsi="Aptos Narrow" w:cs="Times New Roman"/>
                <w:b/>
                <w:bCs/>
                <w:color w:val="000000"/>
                <w:kern w:val="0"/>
                <w:lang w:eastAsia="es-ES_tradnl"/>
                <w14:ligatures w14:val="none"/>
              </w:rPr>
            </w:pPr>
            <w:r w:rsidRPr="002B6395">
              <w:rPr>
                <w:rFonts w:ascii="Aptos Narrow" w:eastAsia="Times New Roman" w:hAnsi="Aptos Narrow" w:cs="Times New Roman"/>
                <w:b/>
                <w:bCs/>
                <w:color w:val="000000"/>
                <w:kern w:val="0"/>
                <w:lang w:eastAsia="es-ES_tradnl"/>
                <w14:ligatures w14:val="none"/>
              </w:rPr>
              <w:t>Nombre</w:t>
            </w:r>
          </w:p>
        </w:tc>
        <w:tc>
          <w:tcPr>
            <w:tcW w:w="1369" w:type="pct"/>
            <w:tcBorders>
              <w:top w:val="single" w:sz="4" w:space="0" w:color="E97132"/>
              <w:left w:val="single" w:sz="4" w:space="0" w:color="E97132"/>
              <w:bottom w:val="single" w:sz="8" w:space="0" w:color="E97132"/>
              <w:right w:val="single" w:sz="4" w:space="0" w:color="E97132"/>
            </w:tcBorders>
            <w:vAlign w:val="center"/>
            <w:hideMark/>
          </w:tcPr>
          <w:p w14:paraId="7E3F3FDA" w14:textId="77777777" w:rsidR="002B6395" w:rsidRPr="002B6395" w:rsidRDefault="002B6395" w:rsidP="002B6395">
            <w:pPr>
              <w:spacing w:after="0" w:line="240" w:lineRule="auto"/>
              <w:jc w:val="center"/>
              <w:rPr>
                <w:rFonts w:ascii="Aptos Narrow" w:eastAsia="Times New Roman" w:hAnsi="Aptos Narrow" w:cs="Times New Roman"/>
                <w:b/>
                <w:bCs/>
                <w:color w:val="000000"/>
                <w:kern w:val="0"/>
                <w:lang w:eastAsia="es-ES_tradnl"/>
                <w14:ligatures w14:val="none"/>
              </w:rPr>
            </w:pPr>
            <w:r w:rsidRPr="002B6395">
              <w:rPr>
                <w:rFonts w:ascii="Aptos Narrow" w:eastAsia="Times New Roman" w:hAnsi="Aptos Narrow" w:cs="Times New Roman"/>
                <w:b/>
                <w:bCs/>
                <w:color w:val="000000"/>
                <w:kern w:val="0"/>
                <w:lang w:eastAsia="es-ES_tradnl"/>
                <w14:ligatures w14:val="none"/>
              </w:rPr>
              <w:t>Descripción</w:t>
            </w:r>
          </w:p>
        </w:tc>
        <w:tc>
          <w:tcPr>
            <w:tcW w:w="1869" w:type="pct"/>
            <w:tcBorders>
              <w:top w:val="single" w:sz="4" w:space="0" w:color="E97132"/>
              <w:left w:val="single" w:sz="4" w:space="0" w:color="E97132"/>
              <w:bottom w:val="single" w:sz="8" w:space="0" w:color="E97132"/>
              <w:right w:val="single" w:sz="4" w:space="0" w:color="E97132"/>
            </w:tcBorders>
            <w:vAlign w:val="center"/>
            <w:hideMark/>
          </w:tcPr>
          <w:p w14:paraId="5B8180FC" w14:textId="77777777" w:rsidR="002B6395" w:rsidRPr="002B6395" w:rsidRDefault="002B6395" w:rsidP="002B6395">
            <w:pPr>
              <w:spacing w:after="0" w:line="240" w:lineRule="auto"/>
              <w:jc w:val="center"/>
              <w:rPr>
                <w:rFonts w:ascii="Aptos Narrow" w:eastAsia="Times New Roman" w:hAnsi="Aptos Narrow" w:cs="Times New Roman"/>
                <w:b/>
                <w:bCs/>
                <w:color w:val="000000"/>
                <w:kern w:val="0"/>
                <w:lang w:eastAsia="es-ES_tradnl"/>
                <w14:ligatures w14:val="none"/>
              </w:rPr>
            </w:pPr>
            <w:r w:rsidRPr="002B6395">
              <w:rPr>
                <w:rFonts w:ascii="Aptos Narrow" w:eastAsia="Times New Roman" w:hAnsi="Aptos Narrow" w:cs="Times New Roman"/>
                <w:b/>
                <w:bCs/>
                <w:color w:val="000000"/>
                <w:kern w:val="0"/>
                <w:lang w:eastAsia="es-ES_tradnl"/>
                <w14:ligatures w14:val="none"/>
              </w:rPr>
              <w:t>Ejemplos de Calificación (1–10)</w:t>
            </w:r>
          </w:p>
        </w:tc>
      </w:tr>
      <w:tr w:rsidR="002B6395" w:rsidRPr="00BC3212" w14:paraId="66D8BCBD" w14:textId="77777777" w:rsidTr="00BC3212">
        <w:trPr>
          <w:trHeight w:val="17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58C9E87" w14:textId="4B68E8BD" w:rsidR="002B6395" w:rsidRPr="002B6395" w:rsidRDefault="00EF6269" w:rsidP="002B6395">
            <w:pPr>
              <w:spacing w:after="0" w:line="240" w:lineRule="auto"/>
              <w:jc w:val="center"/>
              <w:rPr>
                <w:rFonts w:ascii="Aptos Narrow" w:eastAsia="Times New Roman" w:hAnsi="Aptos Narrow" w:cs="Times New Roman"/>
                <w:color w:val="000000"/>
                <w:kern w:val="0"/>
                <w:lang w:eastAsia="es-ES_tradnl"/>
                <w14:ligatures w14:val="none"/>
              </w:rPr>
            </w:pPr>
            <w:r w:rsidRPr="00BC3212">
              <w:rPr>
                <w:rFonts w:ascii="Aptos Narrow" w:eastAsia="Times New Roman" w:hAnsi="Aptos Narrow" w:cs="Times New Roman"/>
                <w:color w:val="000000"/>
                <w:kern w:val="0"/>
                <w:lang w:eastAsia="es-ES_tradnl"/>
                <w14:ligatures w14:val="none"/>
              </w:rPr>
              <w:t>1</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EAA9F4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Financiera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2AE02F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Costos de Licenciamiento SAS</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8B5C90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Costo anual o plurianual asociado a licencias, mantenimiento y soporte técnico. Incluye SAS Foundation, Risk Dimensions, Risk Governance, entre otros. Evalúa el impacto financiero directo de mantener, migrar o no renovar.</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0EEDE7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El costo anual total es igual o ≤10% superior al costo actual considerando inflación y crecimiento operativo. | Bajo (1–3): El costo anual total es ≥40% superior al costo actual o introduce costos adicionales significativos no previstos.</w:t>
            </w:r>
          </w:p>
        </w:tc>
      </w:tr>
      <w:tr w:rsidR="002B6395" w:rsidRPr="00BC3212" w14:paraId="5CDBB472" w14:textId="77777777" w:rsidTr="00BC3212">
        <w:trPr>
          <w:trHeight w:val="17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23CD8C2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1F85C1C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Financiera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6966D4F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Costos por Adopción de Nueva Tecnología</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2903F48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Esfuerzo económico y operativo para implementar una nueva versión o plataforma. Incluye migración, pruebas, capacitación, infraestructura (hardware, contenedores, nube, Kubernetes) y estabilización.</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17C788E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≥80% de la infraestructura actual es reutilizable y la migración puede completarse en ≤4 meses con capacitación mínima. | Bajo (1–3): Requiere reemplazo completo de infraestructura, rediseño operativo y ≥12 meses de implementación.</w:t>
            </w:r>
          </w:p>
        </w:tc>
      </w:tr>
      <w:tr w:rsidR="002B6395" w:rsidRPr="00BC3212" w14:paraId="5955F931"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3A671E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3</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36C616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Estratégica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FE1154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Costo de Oportunidad</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8F9A6A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Pérdidas o beneficios derivados de postergar o adelantar la migración. Mantener el esquema actual puede evitar costos inmediatos, pero limita eficiencia e innovación futura.</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C7BED94" w14:textId="0BE55A46"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 xml:space="preserve">Alto (9–10): La nueva plataforma reduce ≥30% los tiempos de desarrollo o </w:t>
            </w:r>
            <w:r w:rsidR="00EF6269" w:rsidRPr="00BC3212">
              <w:rPr>
                <w:rFonts w:ascii="Aptos Narrow" w:eastAsia="Times New Roman" w:hAnsi="Aptos Narrow" w:cs="Times New Roman"/>
                <w:color w:val="000000"/>
                <w:kern w:val="0"/>
                <w:lang w:eastAsia="es-ES_tradnl"/>
                <w14:ligatures w14:val="none"/>
              </w:rPr>
              <w:t>habilitas capacidades críticas no existentes</w:t>
            </w:r>
            <w:r w:rsidRPr="002B6395">
              <w:rPr>
                <w:rFonts w:ascii="Aptos Narrow" w:eastAsia="Times New Roman" w:hAnsi="Aptos Narrow" w:cs="Times New Roman"/>
                <w:color w:val="000000"/>
                <w:kern w:val="0"/>
                <w:lang w:eastAsia="es-ES_tradnl"/>
                <w14:ligatures w14:val="none"/>
              </w:rPr>
              <w:t>. | Bajo (1–3): Limita la capacidad institucional o genera retrasos ≥20% en proyectos estratégicos.</w:t>
            </w:r>
          </w:p>
        </w:tc>
      </w:tr>
      <w:tr w:rsidR="002B6395" w:rsidRPr="00BC3212" w14:paraId="6F9E5623"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5245B00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lastRenderedPageBreak/>
              <w:t>4</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567E031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Estratégica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3B492BF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Alineación con Plan Estratégico</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0128C62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Congruencia con modernización de infraestructura, gobierno de datos y sostenibilidad operativa.</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14467FB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La plataforma está completamente alineada con la arquitectura institucional objetivo y roadmap aprobado. | Bajo (1–3): La plataforma introduce tecnología fuera de la estrategia institucional definida.</w:t>
            </w:r>
          </w:p>
        </w:tc>
      </w:tr>
      <w:tr w:rsidR="002B6395" w:rsidRPr="00BC3212" w14:paraId="2F595389" w14:textId="77777777" w:rsidTr="00BC3212">
        <w:trPr>
          <w:trHeight w:val="17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85B6D1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5</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674206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Estratégica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00D147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Referencia PEF 6.3.2</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0D6364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Fortalecer seguridad de infraestructura, redes, aplicativos y datos.</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4EC111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Incluye control de accesos, auditoría completa y seguridad integrada compatible con estándares institucionales. | Bajo (1–3): Requiere desarrollo adicional significativo para cumplir estándares de seguridad.</w:t>
            </w:r>
          </w:p>
        </w:tc>
      </w:tr>
      <w:tr w:rsidR="002B6395" w:rsidRPr="00BC3212" w14:paraId="7F1CC036"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10E68BF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6</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7794F48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Estratégica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2875987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Referencia PEF 6.3.3</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4265DFC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Automatizar procesos para interoperabilidad interna y externa.</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594675A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Permite automatización completa mediante APIs y procesos integrados. | Bajo (1–3): Requiere intervención manual significativa o integraciones complejas.</w:t>
            </w:r>
          </w:p>
        </w:tc>
      </w:tr>
      <w:tr w:rsidR="002B6395" w:rsidRPr="00BC3212" w14:paraId="1BD0F12D"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D06E66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7</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CC2EBB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Estratégica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CDAB37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Referencia PEF 6.3.4</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D229A3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Mantener actualizada la infraestructura y los aplicativos tecnológicos.</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3840C1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Plataforma con soporte activo y roadmap garantizado ≥5 años. | Bajo (1–3): Plataforma en soporte extendido o cercana a fin de vida.</w:t>
            </w:r>
          </w:p>
        </w:tc>
      </w:tr>
      <w:tr w:rsidR="002B6395" w:rsidRPr="00BC3212" w14:paraId="6EC92B91"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39C119E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8</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400A67A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Estratégica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6A36BA1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Criterios de Evaluación Estratégica</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508D26E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Seguridad por capas; Integración e interoperabilidad; Cadencia de actualización; Soporte nube híbrida y gobierno de datos.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521AF22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Cumple completamente estándares modernos cloud, interoperabilidad y gobierno. | Bajo (1–3): No cumple estándares institucionales actuales.</w:t>
            </w:r>
          </w:p>
        </w:tc>
      </w:tr>
      <w:tr w:rsidR="002B6395" w:rsidRPr="00BC3212" w14:paraId="50840C61" w14:textId="77777777" w:rsidTr="00BC3212">
        <w:trPr>
          <w:trHeight w:val="238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699529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lastRenderedPageBreak/>
              <w:t>9</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3030AF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6C81C2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 Técnico de Migración y Reescritura de Activos Analíticos</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5EC615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Nivel de complejidad y riesgo técnico asociado a la migración de código, modelos, flujos analíticos y procesos existentes hacia una nueva plataforma. Incluye reescritura, revalidación, reconstrucción de pipelines, adaptación de integraciones y posibles impactos en la continuidad operativa.</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85E9B9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≥90% del código actual es compatible sin cambios mayores. | Bajo (1–3): ≥60% del código debe reescribirse completamente.</w:t>
            </w:r>
          </w:p>
        </w:tc>
      </w:tr>
      <w:tr w:rsidR="002B6395" w:rsidRPr="00BC3212" w14:paraId="277CB44D"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74DBD03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10</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2FD0765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6B58109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 de Cumplimiento Administrativo</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2C82354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Exposición ante incumplimientos contractuales, regulatorios o de auditoría. Considera términos de licenciamiento, control institucional y regulaciones internas.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1A436B6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Cumple completamente requisitos regulatorios actuales. | Bajo (1–3): Introduce riesgos regulatorios o incumplimientos potenciales.</w:t>
            </w:r>
          </w:p>
        </w:tc>
      </w:tr>
      <w:tr w:rsidR="002B6395" w:rsidRPr="00BC3212" w14:paraId="6EBAC121" w14:textId="77777777" w:rsidTr="00BC3212">
        <w:trPr>
          <w:trHeight w:val="204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61DABE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11</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B59F85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5991FD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 Operativo Post-Migración</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E68175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Probabilidad de incidentes, fallas operativas o degradación del servicio derivadas de la adopción de una nueva plataforma. Incluye estabilidad, monitoreo, recuperación ante fallas y capacidad institucional de operación sostenible.</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A530A3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Plataforma con estabilidad comprobada y disponibilidad ≥99.9%. | Bajo (1–3): Riesgo alto de interrupciones o inestabilidad operativa.</w:t>
            </w:r>
          </w:p>
        </w:tc>
      </w:tr>
      <w:tr w:rsidR="002B6395" w:rsidRPr="00BC3212" w14:paraId="31D6647B" w14:textId="77777777" w:rsidTr="00BC3212">
        <w:trPr>
          <w:trHeight w:val="17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0D900C3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12</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6A30A1B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66B8FB9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 de Dependencia de Talento Especializado</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6198B15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Nivel de dependencia de personal altamente especializado para operar y mantener la plataforma. Evalúa disponibilidad de talento, curva de aprendizaje y riesgo asociado a rotación de personal.</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39D8162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El equipo actual puede operar la plataforma con capacitación mínima. | Bajo (1–3): Requiere contratación de personal altamente especializado escaso.</w:t>
            </w:r>
          </w:p>
        </w:tc>
      </w:tr>
      <w:tr w:rsidR="002B6395" w:rsidRPr="00BC3212" w14:paraId="60213CBF"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8D990C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lastRenderedPageBreak/>
              <w:t>13</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D9346A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60A6F4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Riesgo de Soporte y Sostenibilidad Tecnológica</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95ACA6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Grado de garantía de soporte técnico, mantenimiento, actualizaciones y continuidad tecnológica en el tiempo. Evalúa estabilidad del fabricante o ecosistema.</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B12ED2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Soporte empresarial activo con SLA y roadmap claro ≥5 años. | Bajo (1–3): Sin soporte formal o dependiente de comunidad únicamente.</w:t>
            </w:r>
          </w:p>
        </w:tc>
      </w:tr>
      <w:tr w:rsidR="002B6395" w:rsidRPr="00BC3212" w14:paraId="0AA0A001"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7624591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14</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6B7A517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4E94568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Continuidad Operativa</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2BC7CB6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Capacidad para mantener operación sin interrupciones durante y después de la migración. Considera estabilidad, disponibilidad y mitigación de riesgos.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2AD3639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Migración sin interrupción o impacto ≤1 hora. | Bajo (1–3): Interrupciones ≥24 horas o impacto significativo.</w:t>
            </w:r>
          </w:p>
        </w:tc>
      </w:tr>
      <w:tr w:rsidR="002B6395" w:rsidRPr="00BC3212" w14:paraId="1B70A216" w14:textId="77777777" w:rsidTr="00BC3212">
        <w:trPr>
          <w:trHeight w:val="136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F26FB6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15</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587DC1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812216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Preparación Institucional - Personas</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A97A90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Habilidades, experiencia y disponibilidad del personal para operar contenedores, Kubernetes, APIs, CI/CD, monitoreo y operación moderna.</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73D72F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≥80% del equipo tiene experiencia directa relevante. | Bajo (1–3): El equipo carece completamente de experiencia relevante.</w:t>
            </w:r>
          </w:p>
        </w:tc>
      </w:tr>
      <w:tr w:rsidR="002B6395" w:rsidRPr="00BC3212" w14:paraId="64B83FF5"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4B06E17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16</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6205346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7CB9266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Preparación Institucional - Procesos</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6602C0A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Madurez de procesos de seguridad, gestión de cambios, accesos, operación, soporte, documentación y auditoría.</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12A5263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Procesos existentes completamente compatibles. | Bajo (1–3): Requiere rediseño completo de procesos operativos.</w:t>
            </w:r>
          </w:p>
        </w:tc>
      </w:tr>
      <w:tr w:rsidR="002B6395" w:rsidRPr="00BC3212" w14:paraId="7B667D74"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B7A7F6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17</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575A33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D03ACA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Preparación Institucional - Infraestructura</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1027E1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Disponibilidad de cómputo, redes, almacenamiento, monitoreo y soporte para contenedores y arquitecturas modernas.</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7AD38B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Infraestructura actual compatible ≥90%. | Bajo (1–3): Requiere adquisición completa de nueva infraestructura.</w:t>
            </w:r>
          </w:p>
        </w:tc>
      </w:tr>
      <w:tr w:rsidR="002B6395" w:rsidRPr="00BC3212" w14:paraId="295F6A3A"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25E7C05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18</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46CA33A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562C5F0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del Usuario - Facilidad de Acceso</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7F46E68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Qué tan simple y fluido es el acceso y uso diario de la plataforma.</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5E060E4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Acceso integrado, simple y sin dependencias técnicas complejas. | Bajo (1–3): Acceso complejo o dependiente de múltiples pasos técnicos.</w:t>
            </w:r>
          </w:p>
        </w:tc>
      </w:tr>
      <w:tr w:rsidR="002B6395" w:rsidRPr="00BC3212" w14:paraId="5152CD6E" w14:textId="77777777" w:rsidTr="00BC3212">
        <w:trPr>
          <w:trHeight w:val="68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C7B0D2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lastRenderedPageBreak/>
              <w:t>19</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7B3B7E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4A3F27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del Usuario Final</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09A74C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UIX y características intrínsecas de la plataforma.</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07E1E0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Interfaz moderna, intuitiva y eficiente. | Bajo (1–3): Interfaz obsoleta o difícil de usar.</w:t>
            </w:r>
          </w:p>
        </w:tc>
      </w:tr>
      <w:tr w:rsidR="002B6395" w:rsidRPr="00BC3212" w14:paraId="6851702E" w14:textId="77777777" w:rsidTr="00BC3212">
        <w:trPr>
          <w:trHeight w:val="68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709FDB7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20</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3FB32A4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576A2C6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SME (Gerencia)</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1F373FB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en administración, monitoreo y desarrollo de modelos analíticos.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2595365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Administración centralizada y eficiente. | Bajo (1–3): Administración manual compleja.</w:t>
            </w:r>
          </w:p>
        </w:tc>
      </w:tr>
      <w:tr w:rsidR="002B6395" w:rsidRPr="00BC3212" w14:paraId="7EF142F6"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7497BB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21</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91CD22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Operativa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1B63F5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del Usuario - Autonomía del Usuario Final</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7A8B01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Qué tanto los usuarios pueden operar sin depender de TI o soporte.</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D793BA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≥80% de tareas pueden realizarse sin TI. | Bajo (1–3): Dependencia total del equipo técnico.</w:t>
            </w:r>
          </w:p>
        </w:tc>
      </w:tr>
      <w:tr w:rsidR="002B6395" w:rsidRPr="00BC3212" w14:paraId="361E425E" w14:textId="77777777" w:rsidTr="00BC3212">
        <w:trPr>
          <w:trHeight w:val="68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08A2CF6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22</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68FB7BC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12C9826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Obsolescencia Tecnológica</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579D5B5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Grado de vigencia tecnológica y compatibilidad con arquitecturas modernas.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4AC657A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Plataforma moderna con soporte activo. | Bajo (1–3): Plataforma obsoleta o en fin de vida.</w:t>
            </w:r>
          </w:p>
        </w:tc>
      </w:tr>
      <w:tr w:rsidR="002B6395" w:rsidRPr="00BC3212" w14:paraId="2CB7E8E0"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1E4E4A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23</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52549C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28BAF4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Arquitectura y Compatibilidad con Estándares Modernos</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3D0372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Capacidad de operar en contenedores, Kubernetes, APIs, CI/CD y arquitecturas empresariales modernas.</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5E0660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Compatible completamente con arquitecturas modernas. | Bajo (1–3): Arquitectura legacy incompatible.</w:t>
            </w:r>
          </w:p>
        </w:tc>
      </w:tr>
      <w:tr w:rsidR="002B6395" w:rsidRPr="00BC3212" w14:paraId="0CA7BDD0"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266D9F4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24</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5684790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3324D72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Capacidades de Gobierno, Auditoría y Trazabilidad</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275E5DB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Capacidad de proporcionar lineage, auditoría, control de versiones y cumplimiento normativo.</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6A3EF77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Auditoría completa integrada. | Bajo (1–3): Sin capacidades de auditoría integradas.</w:t>
            </w:r>
          </w:p>
        </w:tc>
      </w:tr>
      <w:tr w:rsidR="002B6395" w:rsidRPr="00BC3212" w14:paraId="5E7460E8" w14:textId="77777777" w:rsidTr="00BC3212">
        <w:trPr>
          <w:trHeight w:val="102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A298F8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25</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7742C5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ED71BC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Escalabilidad y Procesamiento Distribuido</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D52081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Capacidad de escalar horizontalmente y soportar grandes volúmenes de datos y cargas analíticas.</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F0C85C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Escala automáticamente sin limitaciones técnicas. | Bajo (1–3): Limitaciones técnicas significativas.</w:t>
            </w:r>
          </w:p>
        </w:tc>
      </w:tr>
      <w:tr w:rsidR="002B6395" w:rsidRPr="00BC3212" w14:paraId="1D945E86"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31B680A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26</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4172F88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72B5867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Interoperabilidad y Portabilidad Tecnológica</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38F5911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Capacidad de integración con otros sistemas, lenguajes, bases de datos y herramientas.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3FCC598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Integración completa mediante APIs estándar. | Bajo (1–3): Integración limitada o inexistente.</w:t>
            </w:r>
          </w:p>
        </w:tc>
      </w:tr>
      <w:tr w:rsidR="002B6395" w:rsidRPr="00BC3212" w14:paraId="3350CE9F"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FFB0E8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27</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D690E5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257C30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del Usuario - Velocidad de Procesamiento</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7BE279F9"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Rendimiento en ejecución de consultas y modelos.</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3A6E44C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≥30% más rápido que el entorno actual. | Bajo (1–3): Más lento que el entorno actual.</w:t>
            </w:r>
          </w:p>
        </w:tc>
      </w:tr>
      <w:tr w:rsidR="002B6395" w:rsidRPr="00BC3212" w14:paraId="27215F9D"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3E13852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lastRenderedPageBreak/>
              <w:t>28</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0DE8D9E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Tecnológica</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38FC427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Experiencia del Usuario - Integración con Herramientas</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408FB1D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Compatibilidad con Python, R, APIs, Office y ecosistemas analíticos.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63A7602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Integración nativa completa. | Bajo (1–3): Integración limitada o inexistente.</w:t>
            </w:r>
          </w:p>
        </w:tc>
      </w:tr>
      <w:tr w:rsidR="002B6395" w:rsidRPr="00BC3212" w14:paraId="2E189246"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65DC58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29</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66FAE6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y Soporte</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5835207"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Soporte Externo - Consultores y Partners</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9EECCD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Disponibilidad de proveedores especializados en implementación y soporte.</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935C02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≥5 proveedores certificados disponibles. | Bajo (1–3): Sin proveedores disponibles.</w:t>
            </w:r>
          </w:p>
        </w:tc>
      </w:tr>
      <w:tr w:rsidR="002B6395" w:rsidRPr="00BC3212" w14:paraId="0F3DCD70"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7FB04A90"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30</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29296CE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y Soporte</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3544884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Soporte Externo - Comunidades Técnicas</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212BFC6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Existencia de comunidades activas, foros, documentación y conocimiento colectivo.</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2F7DFC1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Comunidad activa con abundante soporte. | Bajo (1–3): Comunidad limitada o inexistente.</w:t>
            </w:r>
          </w:p>
        </w:tc>
      </w:tr>
      <w:tr w:rsidR="002B6395" w:rsidRPr="00BC3212" w14:paraId="5EB37EAA"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0FF008D"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31</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1C50A45"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y Soporte</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5F27EC3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Open Source</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199E743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Actividad global, soporte comunitario y evolución del ecosistema abierto.</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EDE3C1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Ecosistema activo globalmente. | Bajo (1–3): Ecosistema limitado.</w:t>
            </w:r>
          </w:p>
        </w:tc>
      </w:tr>
      <w:tr w:rsidR="002B6395" w:rsidRPr="00BC3212" w14:paraId="07F608A6"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270F30D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32</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0CD0EC2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y Soporte</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4600D51C"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Propietario</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28FC627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Disponibilidad de soporte empresarial, certificaciones y respaldo del fabricante.</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75598FF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Soporte completo empresarial. | Bajo (1–3): Soporte limitado.</w:t>
            </w:r>
          </w:p>
        </w:tc>
      </w:tr>
      <w:tr w:rsidR="002B6395" w:rsidRPr="00BC3212" w14:paraId="08A649D2"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4B68813"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33</w:t>
            </w:r>
          </w:p>
        </w:tc>
        <w:tc>
          <w:tcPr>
            <w:tcW w:w="678"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698EE41E"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y Soporte</w:t>
            </w:r>
          </w:p>
        </w:tc>
        <w:tc>
          <w:tcPr>
            <w:tcW w:w="82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29D23AFA"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SAS 9.4 y SAS Viya 3.5</w:t>
            </w:r>
          </w:p>
        </w:tc>
        <w:tc>
          <w:tcPr>
            <w:tcW w:w="13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012D47C4"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Madurez del ecosistema actual y su tendencia de evolución.</w:t>
            </w:r>
          </w:p>
        </w:tc>
        <w:tc>
          <w:tcPr>
            <w:tcW w:w="1869" w:type="pct"/>
            <w:tcBorders>
              <w:top w:val="single" w:sz="4" w:space="0" w:color="E97132"/>
              <w:left w:val="single" w:sz="4" w:space="0" w:color="E97132"/>
              <w:bottom w:val="single" w:sz="4" w:space="0" w:color="E97132"/>
              <w:right w:val="single" w:sz="4" w:space="0" w:color="E97132"/>
            </w:tcBorders>
            <w:shd w:val="clear" w:color="FBE2D5" w:fill="FBE2D5"/>
            <w:vAlign w:val="center"/>
            <w:hideMark/>
          </w:tcPr>
          <w:p w14:paraId="4126CD7F"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Amplia base instalada activa. | Bajo (1–3): Ecosistema en declive.</w:t>
            </w:r>
          </w:p>
        </w:tc>
      </w:tr>
      <w:tr w:rsidR="002B6395" w:rsidRPr="00BC3212" w14:paraId="58B97440" w14:textId="77777777" w:rsidTr="00BC3212">
        <w:trPr>
          <w:trHeight w:val="800"/>
        </w:trPr>
        <w:tc>
          <w:tcPr>
            <w:tcW w:w="256" w:type="pct"/>
            <w:tcBorders>
              <w:top w:val="single" w:sz="4" w:space="0" w:color="E97132"/>
              <w:left w:val="single" w:sz="4" w:space="0" w:color="E97132"/>
              <w:bottom w:val="single" w:sz="4" w:space="0" w:color="E97132"/>
              <w:right w:val="single" w:sz="4" w:space="0" w:color="E97132"/>
            </w:tcBorders>
            <w:vAlign w:val="center"/>
            <w:hideMark/>
          </w:tcPr>
          <w:p w14:paraId="6E6AC392"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34</w:t>
            </w:r>
          </w:p>
        </w:tc>
        <w:tc>
          <w:tcPr>
            <w:tcW w:w="678" w:type="pct"/>
            <w:tcBorders>
              <w:top w:val="single" w:sz="4" w:space="0" w:color="E97132"/>
              <w:left w:val="single" w:sz="4" w:space="0" w:color="E97132"/>
              <w:bottom w:val="single" w:sz="4" w:space="0" w:color="E97132"/>
              <w:right w:val="single" w:sz="4" w:space="0" w:color="E97132"/>
            </w:tcBorders>
            <w:vAlign w:val="center"/>
            <w:hideMark/>
          </w:tcPr>
          <w:p w14:paraId="10DDA06B"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y Soporte</w:t>
            </w:r>
          </w:p>
        </w:tc>
        <w:tc>
          <w:tcPr>
            <w:tcW w:w="829" w:type="pct"/>
            <w:tcBorders>
              <w:top w:val="single" w:sz="4" w:space="0" w:color="E97132"/>
              <w:left w:val="single" w:sz="4" w:space="0" w:color="E97132"/>
              <w:bottom w:val="single" w:sz="4" w:space="0" w:color="E97132"/>
              <w:right w:val="single" w:sz="4" w:space="0" w:color="E97132"/>
            </w:tcBorders>
            <w:vAlign w:val="center"/>
            <w:hideMark/>
          </w:tcPr>
          <w:p w14:paraId="215FDD66"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Ecosistema SAS Viya 4</w:t>
            </w:r>
          </w:p>
        </w:tc>
        <w:tc>
          <w:tcPr>
            <w:tcW w:w="1369" w:type="pct"/>
            <w:tcBorders>
              <w:top w:val="single" w:sz="4" w:space="0" w:color="E97132"/>
              <w:left w:val="single" w:sz="4" w:space="0" w:color="E97132"/>
              <w:bottom w:val="single" w:sz="4" w:space="0" w:color="E97132"/>
              <w:right w:val="single" w:sz="4" w:space="0" w:color="E97132"/>
            </w:tcBorders>
            <w:vAlign w:val="center"/>
            <w:hideMark/>
          </w:tcPr>
          <w:p w14:paraId="75BD5231"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Crecimiento del ecosistema moderno, soporte en nube, Kubernetes y nuevas arquitecturas.</w:t>
            </w:r>
          </w:p>
        </w:tc>
        <w:tc>
          <w:tcPr>
            <w:tcW w:w="1869" w:type="pct"/>
            <w:tcBorders>
              <w:top w:val="single" w:sz="4" w:space="0" w:color="E97132"/>
              <w:left w:val="single" w:sz="4" w:space="0" w:color="E97132"/>
              <w:bottom w:val="single" w:sz="4" w:space="0" w:color="E97132"/>
              <w:right w:val="single" w:sz="4" w:space="0" w:color="E97132"/>
            </w:tcBorders>
            <w:vAlign w:val="center"/>
            <w:hideMark/>
          </w:tcPr>
          <w:p w14:paraId="7B070E38" w14:textId="77777777" w:rsidR="002B6395" w:rsidRPr="002B6395" w:rsidRDefault="002B6395" w:rsidP="002B6395">
            <w:pPr>
              <w:spacing w:after="0" w:line="240" w:lineRule="auto"/>
              <w:jc w:val="center"/>
              <w:rPr>
                <w:rFonts w:ascii="Aptos Narrow" w:eastAsia="Times New Roman" w:hAnsi="Aptos Narrow" w:cs="Times New Roman"/>
                <w:color w:val="000000"/>
                <w:kern w:val="0"/>
                <w:lang w:eastAsia="es-ES_tradnl"/>
                <w14:ligatures w14:val="none"/>
              </w:rPr>
            </w:pPr>
            <w:r w:rsidRPr="002B6395">
              <w:rPr>
                <w:rFonts w:ascii="Aptos Narrow" w:eastAsia="Times New Roman" w:hAnsi="Aptos Narrow" w:cs="Times New Roman"/>
                <w:color w:val="000000"/>
                <w:kern w:val="0"/>
                <w:lang w:eastAsia="es-ES_tradnl"/>
                <w14:ligatures w14:val="none"/>
              </w:rPr>
              <w:t>Alto (9–10): Ecosistema moderno en crecimiento activo. | Bajo (1–3): Ecosistema inmaduro o limitado.</w:t>
            </w:r>
          </w:p>
        </w:tc>
      </w:tr>
    </w:tbl>
    <w:p w14:paraId="3BA8C6A2" w14:textId="4B74F545" w:rsidR="00FC1629" w:rsidRDefault="00FC1629"/>
    <w:p w14:paraId="35C45296" w14:textId="4D161104" w:rsidR="00BC3212" w:rsidRPr="00BC3212" w:rsidRDefault="00FC1629" w:rsidP="00BC3212">
      <w:pPr>
        <w:pStyle w:val="Ttulo2"/>
      </w:pPr>
      <w:r>
        <w:br w:type="page"/>
      </w:r>
      <w:r w:rsidR="00BC3212">
        <w:lastRenderedPageBreak/>
        <w:t>Metodología Formal de Evaluación Tecnológica</w:t>
      </w:r>
    </w:p>
    <w:p w14:paraId="47A10E5F" w14:textId="77777777" w:rsidR="00BC3212" w:rsidRDefault="00BC3212" w:rsidP="00BC3212">
      <w:pPr>
        <w:pStyle w:val="p3"/>
        <w:jc w:val="both"/>
      </w:pPr>
      <w:r>
        <w:t>La presente matriz constituye un instrumento formal de evaluación multicriterio, diseñado para analizar de manera estructurada, objetiva y trazable las distintas alternativas tecnológicas disponibles para la evolución de la plataforma analítica institucional. Su propósito es proporcionar un marco metodológico que permita sustentar la toma de decisiones con base en criterios técnicos, operativos, financieros, de riesgo y estratégicos, alineados con el contexto, capacidades y objetivos institucionales del INFONAVIT.</w:t>
      </w:r>
    </w:p>
    <w:p w14:paraId="08B1301A" w14:textId="77777777" w:rsidR="00BC3212" w:rsidRDefault="00BC3212" w:rsidP="00BC3212">
      <w:pPr>
        <w:pStyle w:val="p2"/>
        <w:jc w:val="both"/>
      </w:pPr>
    </w:p>
    <w:p w14:paraId="108F03E7" w14:textId="77777777" w:rsidR="00BC3212" w:rsidRDefault="00BC3212" w:rsidP="00BC3212">
      <w:pPr>
        <w:pStyle w:val="p3"/>
        <w:jc w:val="both"/>
      </w:pPr>
      <w:r>
        <w:t>Cada renglón de la matriz representa un criterio específico de evaluación, el cual corresponde a una dimensión particular de análisis dentro de una perspectiva determinada (Financiera, Estratégica, Riesgo, Operativa, Tecnológica o Ecosistema y Soporte). Cada uno de estos criterios constituye una unidad independiente de medición que permite evaluar un aspecto concreto de las plataformas tecnológicas consideradas, tales como su viabilidad técnica, impacto operativo, sostenibilidad, alineación institucional, nivel de riesgo o costo total de adopción y operación.</w:t>
      </w:r>
    </w:p>
    <w:p w14:paraId="59958012" w14:textId="77777777" w:rsidR="00BC3212" w:rsidRDefault="00BC3212" w:rsidP="00BC3212">
      <w:pPr>
        <w:pStyle w:val="p2"/>
        <w:jc w:val="both"/>
      </w:pPr>
    </w:p>
    <w:p w14:paraId="575F137F" w14:textId="77777777" w:rsidR="00BC3212" w:rsidRDefault="00BC3212" w:rsidP="00BC3212">
      <w:pPr>
        <w:pStyle w:val="p3"/>
        <w:jc w:val="both"/>
      </w:pPr>
      <w:r>
        <w:t>La evaluación de estos criterios será realizada mediante un proceso estructurado de levantamiento y validación de información, el cual incluirá entrevistas técnicas, sesiones de análisis, revisión documental y validación operativa con los distintos actores institucionales involucrados en el ciclo de vida de la plataforma analítica. Entre estos actores se incluyen, de manera enunciativa mas no limitativa:</w:t>
      </w:r>
    </w:p>
    <w:p w14:paraId="757BCA9F" w14:textId="77777777" w:rsidR="00BC3212" w:rsidRDefault="00BC3212" w:rsidP="00BC3212">
      <w:pPr>
        <w:pStyle w:val="p1"/>
        <w:numPr>
          <w:ilvl w:val="0"/>
          <w:numId w:val="2"/>
        </w:numPr>
        <w:jc w:val="both"/>
      </w:pPr>
      <w:r>
        <w:t>Usuarios operativos y analistas</w:t>
      </w:r>
    </w:p>
    <w:p w14:paraId="29192DA6" w14:textId="77777777" w:rsidR="00BC3212" w:rsidRDefault="00BC3212" w:rsidP="00BC3212">
      <w:pPr>
        <w:pStyle w:val="p1"/>
        <w:numPr>
          <w:ilvl w:val="0"/>
          <w:numId w:val="2"/>
        </w:numPr>
        <w:jc w:val="both"/>
      </w:pPr>
      <w:r>
        <w:t>Áreas de analítica y ciencia de datos</w:t>
      </w:r>
    </w:p>
    <w:p w14:paraId="45F904C2" w14:textId="77777777" w:rsidR="00BC3212" w:rsidRDefault="00BC3212" w:rsidP="00BC3212">
      <w:pPr>
        <w:pStyle w:val="p1"/>
        <w:numPr>
          <w:ilvl w:val="0"/>
          <w:numId w:val="2"/>
        </w:numPr>
        <w:jc w:val="both"/>
      </w:pPr>
      <w:r>
        <w:t>Gerencias técnicas y de desarrollo</w:t>
      </w:r>
    </w:p>
    <w:p w14:paraId="7D385CF1" w14:textId="77777777" w:rsidR="00BC3212" w:rsidRDefault="00BC3212" w:rsidP="00BC3212">
      <w:pPr>
        <w:pStyle w:val="p1"/>
        <w:numPr>
          <w:ilvl w:val="0"/>
          <w:numId w:val="2"/>
        </w:numPr>
        <w:jc w:val="both"/>
      </w:pPr>
      <w:r>
        <w:t>Áreas de infraestructura tecnológica</w:t>
      </w:r>
    </w:p>
    <w:p w14:paraId="76527AEA" w14:textId="77777777" w:rsidR="00BC3212" w:rsidRDefault="00BC3212" w:rsidP="00BC3212">
      <w:pPr>
        <w:pStyle w:val="p1"/>
        <w:numPr>
          <w:ilvl w:val="0"/>
          <w:numId w:val="2"/>
        </w:numPr>
        <w:jc w:val="both"/>
      </w:pPr>
      <w:r>
        <w:t>Seguridad de la información</w:t>
      </w:r>
    </w:p>
    <w:p w14:paraId="55425C77" w14:textId="77777777" w:rsidR="00BC3212" w:rsidRDefault="00BC3212" w:rsidP="00BC3212">
      <w:pPr>
        <w:pStyle w:val="p1"/>
        <w:numPr>
          <w:ilvl w:val="0"/>
          <w:numId w:val="2"/>
        </w:numPr>
        <w:jc w:val="both"/>
      </w:pPr>
      <w:r>
        <w:t>Arquitectura empresarial</w:t>
      </w:r>
    </w:p>
    <w:p w14:paraId="6DE22C00" w14:textId="77777777" w:rsidR="00BC3212" w:rsidRDefault="00BC3212" w:rsidP="00BC3212">
      <w:pPr>
        <w:pStyle w:val="p1"/>
        <w:numPr>
          <w:ilvl w:val="0"/>
          <w:numId w:val="2"/>
        </w:numPr>
        <w:jc w:val="both"/>
      </w:pPr>
      <w:r>
        <w:t>Operación tecnológica</w:t>
      </w:r>
    </w:p>
    <w:p w14:paraId="18BEF5FC" w14:textId="77777777" w:rsidR="00BC3212" w:rsidRDefault="00BC3212" w:rsidP="00BC3212">
      <w:pPr>
        <w:pStyle w:val="p1"/>
        <w:numPr>
          <w:ilvl w:val="0"/>
          <w:numId w:val="2"/>
        </w:numPr>
        <w:jc w:val="both"/>
      </w:pPr>
      <w:r>
        <w:t>Áreas de gobierno, control y cumplimiento</w:t>
      </w:r>
    </w:p>
    <w:p w14:paraId="70EF934B" w14:textId="77777777" w:rsidR="00BC3212" w:rsidRDefault="00BC3212" w:rsidP="00BC3212">
      <w:pPr>
        <w:pStyle w:val="p1"/>
        <w:numPr>
          <w:ilvl w:val="0"/>
          <w:numId w:val="2"/>
        </w:numPr>
        <w:jc w:val="both"/>
      </w:pPr>
      <w:r>
        <w:t>Áreas directivas responsables de la estrategia tecnológica</w:t>
      </w:r>
    </w:p>
    <w:p w14:paraId="31F2A0C7" w14:textId="77777777" w:rsidR="00BC3212" w:rsidRDefault="00BC3212" w:rsidP="00BC3212">
      <w:pPr>
        <w:pStyle w:val="p2"/>
        <w:jc w:val="both"/>
      </w:pPr>
    </w:p>
    <w:p w14:paraId="06134D87" w14:textId="7BD5054C" w:rsidR="00BC3212" w:rsidRDefault="00BC3212" w:rsidP="00BC3212">
      <w:pPr>
        <w:pStyle w:val="p3"/>
        <w:jc w:val="both"/>
      </w:pPr>
      <w:r>
        <w:t>Este enfoque garantiza que la evaluación refleje tanto la realidad operativa actual como la capacidad institucional para adoptar, operar y sostener cada alternativa tecnológica en el tiempo.</w:t>
      </w:r>
    </w:p>
    <w:p w14:paraId="52AD9C81" w14:textId="294CA14E" w:rsidR="00BC3212" w:rsidRDefault="00BC3212" w:rsidP="00BC3212">
      <w:pPr>
        <w:pStyle w:val="p3"/>
        <w:jc w:val="both"/>
      </w:pPr>
      <w:r>
        <w:t>Cada criterio será evaluado utilizando una escala cuantitativa estandarizada, y contará con una ponderación específica, determinada con base en su relevancia relativa dentro de su respectiva perspectiva. Asimismo, cada perspectiva tendrá una ponderación global diferenciada, en función de su importancia estratégica, su impacto en la continuidad operativa, su relevancia en el cumplimiento institucional y su contribución a la sostenibilidad tecnológica de largo plazo.</w:t>
      </w:r>
    </w:p>
    <w:p w14:paraId="6959D90D" w14:textId="77777777" w:rsidR="00BC3212" w:rsidRDefault="00BC3212" w:rsidP="00BC3212">
      <w:pPr>
        <w:pStyle w:val="p3"/>
        <w:jc w:val="both"/>
      </w:pPr>
      <w:r>
        <w:t>Las plataformas tecnológicas sujetas a evaluación incluyen, de manera enunciativa mas no limitativa:</w:t>
      </w:r>
    </w:p>
    <w:p w14:paraId="36E8BFE9" w14:textId="77777777" w:rsidR="00BC3212" w:rsidRDefault="00BC3212" w:rsidP="00BC3212">
      <w:pPr>
        <w:pStyle w:val="p1"/>
        <w:numPr>
          <w:ilvl w:val="0"/>
          <w:numId w:val="3"/>
        </w:numPr>
        <w:jc w:val="both"/>
      </w:pPr>
      <w:r>
        <w:t>SAS Viya 3.5</w:t>
      </w:r>
    </w:p>
    <w:p w14:paraId="1A170E9C" w14:textId="77777777" w:rsidR="00BC3212" w:rsidRDefault="00BC3212" w:rsidP="00BC3212">
      <w:pPr>
        <w:pStyle w:val="p1"/>
        <w:numPr>
          <w:ilvl w:val="0"/>
          <w:numId w:val="3"/>
        </w:numPr>
        <w:jc w:val="both"/>
      </w:pPr>
      <w:r>
        <w:t>SAS Viya 4</w:t>
      </w:r>
    </w:p>
    <w:p w14:paraId="01983CA9" w14:textId="77777777" w:rsidR="00BC3212" w:rsidRDefault="00BC3212" w:rsidP="00BC3212">
      <w:pPr>
        <w:pStyle w:val="p1"/>
        <w:numPr>
          <w:ilvl w:val="0"/>
          <w:numId w:val="3"/>
        </w:numPr>
        <w:jc w:val="both"/>
      </w:pPr>
      <w:r>
        <w:t>Alternativas basadas en tecnologías Open Source, en una o varias configuraciones técnicamente viables</w:t>
      </w:r>
    </w:p>
    <w:p w14:paraId="485BC588" w14:textId="77777777" w:rsidR="00BC3212" w:rsidRDefault="00BC3212" w:rsidP="00BC3212">
      <w:pPr>
        <w:pStyle w:val="p1"/>
        <w:numPr>
          <w:ilvl w:val="0"/>
          <w:numId w:val="3"/>
        </w:numPr>
        <w:jc w:val="both"/>
      </w:pPr>
      <w:r>
        <w:t>Cualquier otra plataforma que cumpla con los requisitos técnicos, operativos y estratégicos institucionales</w:t>
      </w:r>
    </w:p>
    <w:p w14:paraId="03B5DDB5" w14:textId="77777777" w:rsidR="00BC3212" w:rsidRDefault="00BC3212" w:rsidP="00BC3212">
      <w:pPr>
        <w:pStyle w:val="p2"/>
        <w:jc w:val="both"/>
      </w:pPr>
    </w:p>
    <w:p w14:paraId="752B9A13" w14:textId="36393E41" w:rsidR="00BC3212" w:rsidRDefault="00BC3212" w:rsidP="00BC3212">
      <w:pPr>
        <w:pStyle w:val="p3"/>
        <w:jc w:val="both"/>
      </w:pPr>
      <w:r>
        <w:t>El resultado final de la evaluación será determinado mediante un modelo de puntuación ponderada, en el cual las calificaciones obtenidas por cada plataforma en cada criterio serán ajustadas conforme a su peso específico y agregadas para obtener una puntuación total consolidada. La plataforma que obtenga la mayor puntuación total representará la alternativa con el mejor balance integral entre costo, riesgo, viabilidad operativa, sostenibilidad tecnológica, capacidad funcional y alineación estratégica institucional.</w:t>
      </w:r>
    </w:p>
    <w:p w14:paraId="24C2B96C" w14:textId="77777777" w:rsidR="00BC3212" w:rsidRDefault="00BC3212" w:rsidP="00BC3212">
      <w:pPr>
        <w:pStyle w:val="p3"/>
        <w:jc w:val="both"/>
      </w:pPr>
      <w:r>
        <w:t>Este modelo metodológico asegura que la decisión resultante esté basada en un proceso técnico formal, estructurado, transparente y trazable, alineado con las mejores prácticas internacionales de arquitectura empresarial, gobierno de tecnología y evaluación de plataformas analíticas, y orientado a garantizar la continuidad operativa, la sostenibilidad tecnológica y el cumplimiento de los objetivos estratégicos del INFONAVIT.</w:t>
      </w:r>
    </w:p>
    <w:p w14:paraId="5D503B13" w14:textId="77777777" w:rsidR="00BC3212" w:rsidRDefault="0028089D" w:rsidP="00BC3212">
      <w:pPr>
        <w:rPr>
          <w:rStyle w:val="s1"/>
        </w:rPr>
      </w:pPr>
      <w:r>
        <w:rPr>
          <w:noProof/>
        </w:rPr>
      </w:r>
      <w:r>
        <w:pict w14:anchorId="73C58A81">
          <v:rect id="Horizontal Line 1" o:spid="_x0000_s1026" style="width:700.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I9O4MDbAAAACAEAAA8AAAAAAAAAAAAAAAAAtAQAAGRycy9kb3ducmV2Lnht&#13;&#10;bFBLBQYAAAAABAAEAPMAAAC8BQAAAAA=&#13;&#10;" filled="f">
            <o:lock v:ext="edit" rotation="t" aspectratio="t" verticies="t" text="t" shapetype="t"/>
            <w10:anchorlock/>
          </v:rect>
        </w:pict>
      </w:r>
    </w:p>
    <w:sectPr w:rsidR="00BC3212" w:rsidSect="00EF6269">
      <w:headerReference w:type="default" r:id="rId7"/>
      <w:pgSz w:w="16838" w:h="11906" w:orient="landscape"/>
      <w:pgMar w:top="1701" w:right="1417" w:bottom="1701" w:left="1417" w:header="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52B3" w14:textId="77777777" w:rsidR="0028089D" w:rsidRDefault="0028089D" w:rsidP="00EF6269">
      <w:pPr>
        <w:spacing w:after="0" w:line="240" w:lineRule="auto"/>
      </w:pPr>
      <w:r>
        <w:separator/>
      </w:r>
    </w:p>
  </w:endnote>
  <w:endnote w:type="continuationSeparator" w:id="0">
    <w:p w14:paraId="374A9E47" w14:textId="77777777" w:rsidR="0028089D" w:rsidRDefault="0028089D" w:rsidP="00EF6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7721" w14:textId="77777777" w:rsidR="0028089D" w:rsidRDefault="0028089D" w:rsidP="00EF6269">
      <w:pPr>
        <w:spacing w:after="0" w:line="240" w:lineRule="auto"/>
      </w:pPr>
      <w:r>
        <w:separator/>
      </w:r>
    </w:p>
  </w:footnote>
  <w:footnote w:type="continuationSeparator" w:id="0">
    <w:p w14:paraId="1EB01EC2" w14:textId="77777777" w:rsidR="0028089D" w:rsidRDefault="0028089D" w:rsidP="00EF6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C540" w14:textId="77777777" w:rsidR="00EF6269" w:rsidRDefault="00EF6269">
    <w:pPr>
      <w:pStyle w:val="Encabezado"/>
    </w:pPr>
  </w:p>
  <w:p w14:paraId="75C8071C" w14:textId="5CB6AE3C" w:rsidR="00EF6269" w:rsidRDefault="00EF6269">
    <w:pPr>
      <w:pStyle w:val="Encabezado"/>
    </w:pPr>
    <w:r w:rsidRPr="00EF6269">
      <w:rPr>
        <w:noProof/>
      </w:rPr>
      <w:drawing>
        <wp:inline distT="0" distB="0" distL="0" distR="0" wp14:anchorId="1EA550E5" wp14:editId="6AE6F55C">
          <wp:extent cx="2920621" cy="745262"/>
          <wp:effectExtent l="0" t="0" r="635" b="4445"/>
          <wp:docPr id="16880147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4788" name="Imagen 1" descr="Texto&#10;&#10;El contenido generado por IA puede ser incorrecto."/>
                  <pic:cNvPicPr/>
                </pic:nvPicPr>
                <pic:blipFill>
                  <a:blip r:embed="rId1"/>
                  <a:stretch>
                    <a:fillRect/>
                  </a:stretch>
                </pic:blipFill>
                <pic:spPr>
                  <a:xfrm>
                    <a:off x="0" y="0"/>
                    <a:ext cx="2967980" cy="757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5C28"/>
    <w:multiLevelType w:val="multilevel"/>
    <w:tmpl w:val="664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12178"/>
    <w:multiLevelType w:val="multilevel"/>
    <w:tmpl w:val="3F7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73A6F"/>
    <w:multiLevelType w:val="multilevel"/>
    <w:tmpl w:val="F2F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432884">
    <w:abstractNumId w:val="1"/>
  </w:num>
  <w:num w:numId="2" w16cid:durableId="1323778100">
    <w:abstractNumId w:val="0"/>
  </w:num>
  <w:num w:numId="3" w16cid:durableId="101719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95"/>
    <w:rsid w:val="0028089D"/>
    <w:rsid w:val="002B6395"/>
    <w:rsid w:val="002F047A"/>
    <w:rsid w:val="0037002B"/>
    <w:rsid w:val="008E24EC"/>
    <w:rsid w:val="00A760DB"/>
    <w:rsid w:val="00B404F6"/>
    <w:rsid w:val="00BC3212"/>
    <w:rsid w:val="00D84320"/>
    <w:rsid w:val="00DE799C"/>
    <w:rsid w:val="00EF6269"/>
    <w:rsid w:val="00FC16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2BDE0A"/>
  <w15:chartTrackingRefBased/>
  <w15:docId w15:val="{81C1E729-4DFE-9042-A141-0829F60A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1">
    <w:name w:val="heading 1"/>
    <w:basedOn w:val="Normal"/>
    <w:next w:val="Normal"/>
    <w:link w:val="Ttulo1Car"/>
    <w:uiPriority w:val="9"/>
    <w:qFormat/>
    <w:rsid w:val="002B6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6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3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3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3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3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3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3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3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3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3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3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3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3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3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3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3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395"/>
    <w:rPr>
      <w:rFonts w:eastAsiaTheme="majorEastAsia" w:cstheme="majorBidi"/>
      <w:color w:val="272727" w:themeColor="text1" w:themeTint="D8"/>
    </w:rPr>
  </w:style>
  <w:style w:type="paragraph" w:styleId="Ttulo">
    <w:name w:val="Title"/>
    <w:basedOn w:val="Normal"/>
    <w:next w:val="Normal"/>
    <w:link w:val="TtuloCar"/>
    <w:uiPriority w:val="10"/>
    <w:qFormat/>
    <w:rsid w:val="002B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3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3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3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395"/>
    <w:pPr>
      <w:spacing w:before="160"/>
      <w:jc w:val="center"/>
    </w:pPr>
    <w:rPr>
      <w:i/>
      <w:iCs/>
      <w:color w:val="404040" w:themeColor="text1" w:themeTint="BF"/>
    </w:rPr>
  </w:style>
  <w:style w:type="character" w:customStyle="1" w:styleId="CitaCar">
    <w:name w:val="Cita Car"/>
    <w:basedOn w:val="Fuentedeprrafopredeter"/>
    <w:link w:val="Cita"/>
    <w:uiPriority w:val="29"/>
    <w:rsid w:val="002B6395"/>
    <w:rPr>
      <w:i/>
      <w:iCs/>
      <w:color w:val="404040" w:themeColor="text1" w:themeTint="BF"/>
    </w:rPr>
  </w:style>
  <w:style w:type="paragraph" w:styleId="Prrafodelista">
    <w:name w:val="List Paragraph"/>
    <w:basedOn w:val="Normal"/>
    <w:uiPriority w:val="34"/>
    <w:qFormat/>
    <w:rsid w:val="002B6395"/>
    <w:pPr>
      <w:ind w:left="720"/>
      <w:contextualSpacing/>
    </w:pPr>
  </w:style>
  <w:style w:type="character" w:styleId="nfasisintenso">
    <w:name w:val="Intense Emphasis"/>
    <w:basedOn w:val="Fuentedeprrafopredeter"/>
    <w:uiPriority w:val="21"/>
    <w:qFormat/>
    <w:rsid w:val="002B6395"/>
    <w:rPr>
      <w:i/>
      <w:iCs/>
      <w:color w:val="0F4761" w:themeColor="accent1" w:themeShade="BF"/>
    </w:rPr>
  </w:style>
  <w:style w:type="paragraph" w:styleId="Citadestacada">
    <w:name w:val="Intense Quote"/>
    <w:basedOn w:val="Normal"/>
    <w:next w:val="Normal"/>
    <w:link w:val="CitadestacadaCar"/>
    <w:uiPriority w:val="30"/>
    <w:qFormat/>
    <w:rsid w:val="002B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395"/>
    <w:rPr>
      <w:i/>
      <w:iCs/>
      <w:color w:val="0F4761" w:themeColor="accent1" w:themeShade="BF"/>
    </w:rPr>
  </w:style>
  <w:style w:type="character" w:styleId="Referenciaintensa">
    <w:name w:val="Intense Reference"/>
    <w:basedOn w:val="Fuentedeprrafopredeter"/>
    <w:uiPriority w:val="32"/>
    <w:qFormat/>
    <w:rsid w:val="002B6395"/>
    <w:rPr>
      <w:b/>
      <w:bCs/>
      <w:smallCaps/>
      <w:color w:val="0F4761" w:themeColor="accent1" w:themeShade="BF"/>
      <w:spacing w:val="5"/>
    </w:rPr>
  </w:style>
  <w:style w:type="paragraph" w:styleId="Encabezado">
    <w:name w:val="header"/>
    <w:basedOn w:val="Normal"/>
    <w:link w:val="EncabezadoCar"/>
    <w:uiPriority w:val="99"/>
    <w:unhideWhenUsed/>
    <w:rsid w:val="00EF62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6269"/>
    <w:rPr>
      <w:rFonts w:eastAsiaTheme="minorEastAsia"/>
    </w:rPr>
  </w:style>
  <w:style w:type="paragraph" w:styleId="Piedepgina">
    <w:name w:val="footer"/>
    <w:basedOn w:val="Normal"/>
    <w:link w:val="PiedepginaCar"/>
    <w:uiPriority w:val="99"/>
    <w:unhideWhenUsed/>
    <w:rsid w:val="00EF62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6269"/>
    <w:rPr>
      <w:rFonts w:eastAsiaTheme="minorEastAsia"/>
    </w:rPr>
  </w:style>
  <w:style w:type="paragraph" w:customStyle="1" w:styleId="p1">
    <w:name w:val="p1"/>
    <w:basedOn w:val="Normal"/>
    <w:rsid w:val="00FC1629"/>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p2">
    <w:name w:val="p2"/>
    <w:basedOn w:val="Normal"/>
    <w:rsid w:val="00FC1629"/>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p3">
    <w:name w:val="p3"/>
    <w:basedOn w:val="Normal"/>
    <w:rsid w:val="00FC1629"/>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1">
    <w:name w:val="s1"/>
    <w:basedOn w:val="Fuentedeprrafopredeter"/>
    <w:rsid w:val="00BC3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2349</Words>
  <Characters>14942</Characters>
  <Application>Microsoft Office Word</Application>
  <DocSecurity>0</DocSecurity>
  <Lines>482</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Francisco Vázquez López</dc:creator>
  <cp:keywords/>
  <dc:description/>
  <cp:lastModifiedBy>Víctor Francisco Vázquez López</cp:lastModifiedBy>
  <cp:revision>3</cp:revision>
  <dcterms:created xsi:type="dcterms:W3CDTF">2026-02-27T21:39:00Z</dcterms:created>
  <dcterms:modified xsi:type="dcterms:W3CDTF">2026-04-01T23:57:00Z</dcterms:modified>
</cp:coreProperties>
</file>