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0E0570">
      <w:pPr>
        <w:spacing w:line="360" w:lineRule="auto"/>
        <w:jc w:val="both"/>
        <w:rPr>
          <w:lang w:val="es-ES_tradnl"/>
        </w:rPr>
      </w:pPr>
    </w:p>
    <w:p w14:paraId="05731099" w14:textId="77777777" w:rsidR="00110BC0" w:rsidRPr="00825AAE" w:rsidRDefault="00110BC0" w:rsidP="000E0570">
      <w:pPr>
        <w:spacing w:line="360" w:lineRule="auto"/>
        <w:jc w:val="both"/>
        <w:rPr>
          <w:lang w:val="es-ES_tradnl"/>
        </w:rPr>
      </w:pPr>
    </w:p>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36E1FC03" w14:textId="77777777" w:rsidR="00110BC0" w:rsidRPr="00825AAE"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168DD676" w14:textId="77777777" w:rsidR="00110BC0" w:rsidRPr="00825AAE" w:rsidRDefault="00110BC0" w:rsidP="000E0570">
      <w:pPr>
        <w:spacing w:line="360" w:lineRule="auto"/>
        <w:jc w:val="both"/>
        <w:rPr>
          <w:b/>
          <w:bCs/>
          <w:lang w:val="en-US"/>
        </w:rPr>
      </w:pPr>
      <w:r w:rsidRPr="00825AAE">
        <w:rPr>
          <w:b/>
          <w:bCs/>
          <w:lang w:val="en-US"/>
        </w:rPr>
        <w:t>Main objective</w:t>
      </w:r>
    </w:p>
    <w:p w14:paraId="5A691866" w14:textId="77777777" w:rsidR="00110BC0" w:rsidRPr="00825AAE" w:rsidRDefault="00110BC0" w:rsidP="000E0570">
      <w:pPr>
        <w:spacing w:line="360" w:lineRule="auto"/>
        <w:jc w:val="both"/>
        <w:rPr>
          <w:lang w:val="en-US"/>
        </w:rPr>
      </w:pPr>
      <w:r w:rsidRPr="00825AAE">
        <w:rPr>
          <w:lang w:val="en-US"/>
        </w:rPr>
        <w:t>This paper aims to</w:t>
      </w:r>
    </w:p>
    <w:p w14:paraId="0CD9EF5A" w14:textId="77777777" w:rsidR="00110BC0" w:rsidRPr="00825AAE" w:rsidRDefault="00110BC0" w:rsidP="000E0570">
      <w:pPr>
        <w:spacing w:line="360" w:lineRule="auto"/>
        <w:jc w:val="both"/>
        <w:rPr>
          <w:lang w:val="en-US"/>
        </w:rPr>
      </w:pPr>
    </w:p>
    <w:p w14:paraId="1FC0118F" w14:textId="77777777" w:rsidR="00110BC0" w:rsidRPr="00825AAE" w:rsidRDefault="00110BC0" w:rsidP="000E0570">
      <w:pPr>
        <w:spacing w:line="360" w:lineRule="auto"/>
        <w:jc w:val="both"/>
        <w:rPr>
          <w:lang w:val="en-US"/>
        </w:rPr>
      </w:pPr>
    </w:p>
    <w:p w14:paraId="266E67D4" w14:textId="77777777" w:rsidR="00110BC0" w:rsidRPr="00825AAE" w:rsidRDefault="00110BC0" w:rsidP="000E0570">
      <w:pPr>
        <w:spacing w:line="360" w:lineRule="auto"/>
        <w:jc w:val="both"/>
        <w:rPr>
          <w:lang w:val="en-US"/>
        </w:rPr>
      </w:pPr>
    </w:p>
    <w:p w14:paraId="7491F16D" w14:textId="77777777" w:rsidR="00110BC0" w:rsidRPr="00825AAE" w:rsidRDefault="00110BC0" w:rsidP="000E0570">
      <w:pPr>
        <w:spacing w:line="360" w:lineRule="auto"/>
        <w:jc w:val="both"/>
        <w:rPr>
          <w:lang w:val="en-US"/>
        </w:rPr>
      </w:pPr>
    </w:p>
    <w:p w14:paraId="1DE7D265" w14:textId="77777777" w:rsidR="00110BC0" w:rsidRPr="00825AAE" w:rsidRDefault="00110BC0" w:rsidP="000E0570">
      <w:pPr>
        <w:spacing w:line="360" w:lineRule="auto"/>
        <w:jc w:val="both"/>
        <w:rPr>
          <w:lang w:val="en-US"/>
        </w:rPr>
      </w:pPr>
    </w:p>
    <w:p w14:paraId="617F2077" w14:textId="77777777" w:rsidR="00110BC0" w:rsidRPr="00825AAE" w:rsidRDefault="00110BC0" w:rsidP="000E0570">
      <w:pPr>
        <w:spacing w:line="360" w:lineRule="auto"/>
        <w:jc w:val="both"/>
        <w:rPr>
          <w:lang w:val="en-US"/>
        </w:rPr>
      </w:pPr>
    </w:p>
    <w:p w14:paraId="650D62C6" w14:textId="77777777" w:rsidR="00110BC0" w:rsidRDefault="00110BC0" w:rsidP="000E0570">
      <w:pPr>
        <w:spacing w:line="360" w:lineRule="auto"/>
        <w:jc w:val="both"/>
        <w:rPr>
          <w:lang w:val="en-US"/>
        </w:rPr>
      </w:pPr>
    </w:p>
    <w:p w14:paraId="4D933533" w14:textId="77777777" w:rsidR="00110BC0" w:rsidRDefault="00110BC0" w:rsidP="000E0570">
      <w:pPr>
        <w:spacing w:line="360" w:lineRule="auto"/>
        <w:jc w:val="both"/>
        <w:rPr>
          <w:lang w:val="en-US"/>
        </w:rPr>
      </w:pPr>
    </w:p>
    <w:p w14:paraId="236CB541" w14:textId="77777777" w:rsidR="00110BC0" w:rsidRDefault="00110BC0" w:rsidP="000E0570">
      <w:pPr>
        <w:spacing w:line="360" w:lineRule="auto"/>
        <w:jc w:val="both"/>
        <w:rPr>
          <w:lang w:val="en-US"/>
        </w:rPr>
      </w:pPr>
    </w:p>
    <w:p w14:paraId="1C723C48" w14:textId="77777777" w:rsidR="00110BC0" w:rsidRDefault="00110BC0" w:rsidP="000E0570">
      <w:pPr>
        <w:spacing w:line="360" w:lineRule="auto"/>
        <w:jc w:val="both"/>
        <w:rPr>
          <w:lang w:val="en-US"/>
        </w:rPr>
      </w:pPr>
    </w:p>
    <w:p w14:paraId="657F5C70" w14:textId="77777777" w:rsidR="00110BC0" w:rsidRDefault="00110BC0" w:rsidP="000E0570">
      <w:pPr>
        <w:spacing w:line="360" w:lineRule="auto"/>
        <w:jc w:val="both"/>
        <w:rPr>
          <w:lang w:val="en-US"/>
        </w:rPr>
      </w:pPr>
    </w:p>
    <w:p w14:paraId="620A1D10" w14:textId="77777777" w:rsidR="00110BC0" w:rsidRDefault="00110BC0" w:rsidP="000E0570">
      <w:pPr>
        <w:spacing w:line="360" w:lineRule="auto"/>
        <w:jc w:val="both"/>
        <w:rPr>
          <w:lang w:val="en-US"/>
        </w:rPr>
      </w:pPr>
    </w:p>
    <w:p w14:paraId="3909C9A0" w14:textId="77777777" w:rsidR="00110BC0" w:rsidRDefault="00110BC0" w:rsidP="000E0570">
      <w:pPr>
        <w:spacing w:line="360" w:lineRule="auto"/>
        <w:jc w:val="both"/>
        <w:rPr>
          <w:lang w:val="en-US"/>
        </w:rPr>
      </w:pPr>
    </w:p>
    <w:p w14:paraId="4788DEA9" w14:textId="77777777" w:rsidR="00110BC0" w:rsidRDefault="00110BC0" w:rsidP="000E0570">
      <w:pPr>
        <w:spacing w:line="360" w:lineRule="auto"/>
        <w:jc w:val="both"/>
        <w:rPr>
          <w:lang w:val="en-US"/>
        </w:rPr>
      </w:pPr>
    </w:p>
    <w:p w14:paraId="68D2C392" w14:textId="77777777" w:rsidR="00110BC0" w:rsidRPr="00825AAE" w:rsidRDefault="00110BC0" w:rsidP="000E0570">
      <w:pPr>
        <w:spacing w:line="360" w:lineRule="auto"/>
        <w:jc w:val="both"/>
        <w:rPr>
          <w:lang w:val="en-US"/>
        </w:rPr>
      </w:pPr>
    </w:p>
    <w:p w14:paraId="4075E2C1" w14:textId="66F33ADF" w:rsidR="00591F63" w:rsidRPr="002B1A32" w:rsidRDefault="00110BC0" w:rsidP="000E0570">
      <w:pPr>
        <w:spacing w:line="360" w:lineRule="auto"/>
        <w:jc w:val="both"/>
        <w:rPr>
          <w:b/>
          <w:bCs/>
          <w:lang w:val="en-US"/>
        </w:rPr>
      </w:pPr>
      <w:r w:rsidRPr="00825AAE">
        <w:rPr>
          <w:b/>
          <w:bCs/>
          <w:lang w:val="en-US"/>
        </w:rPr>
        <w:lastRenderedPageBreak/>
        <w:t xml:space="preserve">INTRODUCTION: </w:t>
      </w:r>
    </w:p>
    <w:p w14:paraId="0E33F8A5" w14:textId="586A765C"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has not effectively deterred the high levels of personal theft and the growing perception of insecurity that have affected the daily lives of citizens in recent years \parencite{CCB2026}. This continued prevalence suggests that additional urban dynamics may shape patterns of criminal activity in Bogotá</w:t>
      </w:r>
      <w:r>
        <w:t>,</w:t>
      </w:r>
      <w:r w:rsidRPr="00C70867">
        <w:t xml:space="preserve"> and that alternative approaches</w:t>
      </w:r>
      <w:r>
        <w:t xml:space="preserve"> and other possible factors</w:t>
      </w:r>
      <w:r w:rsidRPr="00C70867">
        <w:t xml:space="preserve"> to understanding crime in the city may still need to be explored.</w:t>
      </w:r>
      <w:r>
        <w:t>\\</w:t>
      </w:r>
    </w:p>
    <w:p w14:paraId="4BF7956E" w14:textId="77777777" w:rsidR="00C13F1C" w:rsidRPr="00C13F1C" w:rsidRDefault="00C13F1C" w:rsidP="000E0570">
      <w:pPr>
        <w:spacing w:line="360" w:lineRule="auto"/>
        <w:jc w:val="both"/>
      </w:pPr>
    </w:p>
    <w:p w14:paraId="4E5B1B53" w14:textId="038CE841"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1F442A">
        <w:t>can be a case study for studying this phenomenon in the city</w:t>
      </w:r>
      <w:r w:rsidRPr="00D27DAF">
        <w:t xml:space="preserve"> \parencite{godoy2025}.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 \</w:t>
      </w:r>
      <w:proofErr w:type="spellStart"/>
      <w:r w:rsidR="00D6239C" w:rsidRPr="00D6239C">
        <w:rPr>
          <w:lang w:val="en-US"/>
        </w:rPr>
        <w:t>parencite</w:t>
      </w:r>
      <w:proofErr w:type="spellEnd"/>
      <w:r w:rsidR="00D6239C" w:rsidRPr="00D6239C">
        <w:rPr>
          <w:lang w:val="en-US"/>
        </w:rPr>
        <w:t>{</w:t>
      </w:r>
      <w:r w:rsidR="00BD38CE" w:rsidRPr="00BD38CE">
        <w:t>marcos2022</w:t>
      </w:r>
      <w:r w:rsidR="00D6239C" w:rsidRPr="00D6239C">
        <w:rPr>
          <w:lang w:val="en-US"/>
        </w:rPr>
        <w:t>}</w:t>
      </w:r>
      <w:r w:rsidRPr="00D27DAF">
        <w:t>, availability of basic goods, and constant customer flows throughout the day and night,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77777777" w:rsidR="00C91C04" w:rsidRDefault="00C91C04" w:rsidP="00C91C04">
      <w:pPr>
        <w:spacing w:line="360" w:lineRule="auto"/>
        <w:jc w:val="both"/>
      </w:pPr>
      <w:r w:rsidRPr="00D27DAF">
        <w:t xml:space="preserve">In fact, there is a duality in the </w:t>
      </w:r>
      <w:r>
        <w:t xml:space="preserve">crime </w:t>
      </w:r>
      <w:r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“eyes on the street” through extended operating hours and improved lighting. These two lines of reasoning highlight the importance of analysing the role of convenience stores within the surrounding criminal environment, particularly because, as \textcite{Dugato2026} argue, addressing the urban </w:t>
      </w:r>
      <w:r w:rsidRPr="00D27DAF">
        <w:lastRenderedPageBreak/>
        <w:t>conditions that facilitate criminal behavior may be more effective for long-term crime reduction than traditional repressive approaches.</w:t>
      </w:r>
      <w:r>
        <w:t>\\</w:t>
      </w:r>
    </w:p>
    <w:p w14:paraId="6A6342DC" w14:textId="77777777" w:rsidR="00D27DAF" w:rsidRPr="00832C7A" w:rsidRDefault="00D27DAF" w:rsidP="00832C7A">
      <w:pPr>
        <w:spacing w:line="360" w:lineRule="auto"/>
        <w:jc w:val="both"/>
      </w:pPr>
    </w:p>
    <w:p w14:paraId="38A70DEC" w14:textId="56DF8D7A" w:rsidR="00832C7A" w:rsidRDefault="00832C7A" w:rsidP="00832C7A">
      <w:pPr>
        <w:spacing w:line="360" w:lineRule="auto"/>
        <w:jc w:val="both"/>
      </w:pPr>
      <w:r w:rsidRPr="00832C7A">
        <w:t>OXXO</w:t>
      </w:r>
      <w:r w:rsidR="00C70867">
        <w:t xml:space="preserve">’s </w:t>
      </w:r>
      <w:r w:rsidRPr="00832C7A">
        <w:t xml:space="preserve">footprint in </w:t>
      </w:r>
      <w:r w:rsidR="00C70867" w:rsidRPr="00C70867">
        <w:t xml:space="preserve">Bogotá </w:t>
      </w:r>
      <w:r w:rsidRPr="00832C7A">
        <w:t>is strikingly centralized, with over 300 of the more than 500 stores in the country concentrated the</w:t>
      </w:r>
      <w:r w:rsidR="00C70867">
        <w:t xml:space="preserve">re </w:t>
      </w:r>
      <w:r w:rsidRPr="00832C7A">
        <w:t>\parencite{godoy2025}.</w:t>
      </w:r>
      <w:r w:rsidR="00C70867">
        <w:t xml:space="preserve"> </w:t>
      </w:r>
      <w:r w:rsidRPr="00832C7A">
        <w:t>This high density within a single metropolitan area provides a</w:t>
      </w:r>
      <w:r w:rsidR="00BD38CE">
        <w:t>n</w:t>
      </w:r>
      <w:r w:rsidRPr="00832C7A">
        <w:t>"urban laboratory" to conduct a granular, interurban crime analysis. By exploiting the staggered arrival of these establishments across Bogotá’s Zonal Planning Units (UPZs), this thesis evaluates the causal impact of OXXO openings on local criminal activity. Specifically, I examine how these effects vary by crime category, and whether the impact intensifies or dissipates over time following the store's inauguration.</w:t>
      </w:r>
      <w:r w:rsidR="00C13F1C">
        <w:t>\\</w:t>
      </w:r>
    </w:p>
    <w:p w14:paraId="7BCDF392" w14:textId="77777777" w:rsidR="00832C7A" w:rsidRPr="00832C7A" w:rsidRDefault="00832C7A" w:rsidP="00832C7A">
      <w:pPr>
        <w:spacing w:line="360" w:lineRule="auto"/>
        <w:jc w:val="both"/>
      </w:pPr>
    </w:p>
    <w:p w14:paraId="52731E3C" w14:textId="77777777" w:rsidR="00936F3F" w:rsidRDefault="006939DF" w:rsidP="00936F3F">
      <w:pPr>
        <w:spacing w:line="360" w:lineRule="auto"/>
        <w:jc w:val="both"/>
      </w:pPr>
      <w:r w:rsidRPr="006939DF">
        <w:t xml:space="preserve">To estimate this impact, I constructed a quarterly panel dataset covering the period from 2015 to 2022, aggregated at the level of the UPZs, Bogotá’s sub-district administrative divisions. The </w:t>
      </w:r>
      <w:r>
        <w:t>panel</w:t>
      </w:r>
      <w:r w:rsidRPr="006939DF">
        <w:t xml:space="preserve"> combines Colombia’s public georeferenced crime records from the National Police’s Statistical, Criminal, Contraventional, and Operational Information System (SIEDCO) with a geolocated 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078080EA" w:rsidR="00936F3F" w:rsidRPr="00936F3F" w:rsidRDefault="00936F3F" w:rsidP="00936F3F">
      <w:pPr>
        <w:spacing w:line="360" w:lineRule="auto"/>
        <w:jc w:val="both"/>
      </w:pPr>
      <w:r w:rsidRPr="00936F3F">
        <w:t>Additionally, I employed Two-Way Fixed Effects (TWFE) and the Callaway and Sant’Anna (C</w:t>
      </w:r>
      <w:r>
        <w:t>\</w:t>
      </w:r>
      <w:r w:rsidRPr="00936F3F">
        <w:t>&amp;S) estimator, along with their corresponding event-study specifications, as the main empirical strategies of this investigation. The TWFE model was useful for estimating the average relationship between the expansion of OXXO stores and crime rates across UPZs over time. However, because staggered treatment adoption may generate bias under treatment-effect heterogeneity, the C</w:t>
      </w:r>
      <w:r>
        <w:t>\</w:t>
      </w:r>
      <w:r w:rsidRPr="00936F3F">
        <w:t>&amp;S estimator was also implemented to obtain more robust estimates and assess 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3EA42DE8" w14:textId="00A517F6" w:rsidR="003674D2" w:rsidRPr="003674D2" w:rsidRDefault="00936F3F" w:rsidP="003674D2">
      <w:pPr>
        <w:spacing w:line="360" w:lineRule="auto"/>
        <w:jc w:val="both"/>
      </w:pPr>
      <w:r>
        <w:t xml:space="preserve">At the end, </w:t>
      </w:r>
      <w:r w:rsidR="00832C7A" w:rsidRPr="00832C7A">
        <w:t xml:space="preserve">I found </w:t>
      </w:r>
      <w:r w:rsidR="003674D2" w:rsidRPr="003674D2">
        <w:t xml:space="preserve">that the staggered entry of OXXO stores had no statistically significant effect on criminal activity across Bogotá. Using both aggregated specifications through the TWFE model </w:t>
      </w:r>
      <w:r w:rsidR="003674D2" w:rsidRPr="003674D2">
        <w:lastRenderedPageBreak/>
        <w:t>and dynamic specifications through event-study analyses, I found no evidence that the expansion of OXXO affected different types of crime in the city. Additionally, after controlling for the presence of other similar commercial establishments located near OXXO stores, such as hard-discount retailers, which have also been associated with changes in criminal activity in Bogotá, the estimated effects remained statistically insignificant. These findings suggest that, both in the short and long run, OXXO stores do not appear to significantly alter Bogotá’s security dynamics.</w:t>
      </w:r>
    </w:p>
    <w:p w14:paraId="5DFA143A" w14:textId="02A05DCB" w:rsidR="003674D2" w:rsidRDefault="00832C7A" w:rsidP="00832C7A">
      <w:pPr>
        <w:spacing w:line="360" w:lineRule="auto"/>
        <w:jc w:val="both"/>
      </w:pPr>
      <w:r w:rsidRPr="00832C7A">
        <w:t xml:space="preserve">This may be because </w:t>
      </w:r>
      <w:r w:rsidR="003674D2">
        <w:t>\hl{</w:t>
      </w:r>
      <w:r w:rsidR="00930F56">
        <w:t>ANOTHER EXPLANATION</w:t>
      </w:r>
      <w:r w:rsidR="003674D2">
        <w:t>}</w:t>
      </w:r>
      <w:r w:rsidRPr="00832C7A">
        <w:t>.\\</w:t>
      </w:r>
    </w:p>
    <w:p w14:paraId="61BA1D79" w14:textId="77777777" w:rsidR="00C13F1C" w:rsidRPr="00832C7A" w:rsidRDefault="00C13F1C" w:rsidP="00832C7A">
      <w:pPr>
        <w:spacing w:line="360" w:lineRule="auto"/>
        <w:jc w:val="both"/>
      </w:pPr>
    </w:p>
    <w:p w14:paraId="6D95690B" w14:textId="40E174CF"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Existing </w:t>
      </w:r>
      <w:r w:rsidR="003674D2">
        <w:t>investigations have</w:t>
      </w:r>
      <w:r w:rsidRPr="00832C7A">
        <w:t xml:space="preserve"> 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3674D2" w:rsidRPr="00832C7A">
        <w:t>Tiendas D1</w:t>
      </w:r>
      <w:r w:rsidR="003674D2">
        <w:t xml:space="preserve"> </w:t>
      </w:r>
      <w:r w:rsidRPr="00832C7A">
        <w:t>hard-discount stores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17EBB206" w14:textId="77777777" w:rsidR="00832C7A" w:rsidRPr="00832C7A" w:rsidRDefault="00832C7A" w:rsidP="00832C7A">
      <w:pPr>
        <w:spacing w:line="360" w:lineRule="auto"/>
        <w:jc w:val="both"/>
      </w:pPr>
    </w:p>
    <w:p w14:paraId="5535714C" w14:textId="6E5F5B11" w:rsidR="00110BC0" w:rsidRPr="002B1A32" w:rsidRDefault="00832C7A" w:rsidP="000E0570">
      <w:pPr>
        <w:spacing w:line="360" w:lineRule="auto"/>
        <w:jc w:val="both"/>
      </w:pPr>
      <w:r w:rsidRPr="00832C7A">
        <w:t xml:space="preserve">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7E48480C" w14:textId="77777777" w:rsidR="00110BC0" w:rsidRDefault="00110BC0" w:rsidP="000E0570">
      <w:pPr>
        <w:spacing w:line="360" w:lineRule="auto"/>
        <w:jc w:val="both"/>
        <w:rPr>
          <w:lang w:val="en-US"/>
        </w:rPr>
      </w:pPr>
    </w:p>
    <w:p w14:paraId="3600F397" w14:textId="77777777" w:rsidR="00110BC0" w:rsidRDefault="00110BC0" w:rsidP="000E0570">
      <w:pPr>
        <w:spacing w:line="360" w:lineRule="auto"/>
        <w:jc w:val="both"/>
        <w:rPr>
          <w:lang w:val="en-US"/>
        </w:rPr>
      </w:pPr>
    </w:p>
    <w:p w14:paraId="5D8DABAA" w14:textId="77777777" w:rsidR="00110BC0" w:rsidRDefault="00110BC0" w:rsidP="000E0570">
      <w:pPr>
        <w:spacing w:line="360" w:lineRule="auto"/>
        <w:jc w:val="both"/>
        <w:rPr>
          <w:lang w:val="en-US"/>
        </w:rPr>
      </w:pPr>
    </w:p>
    <w:p w14:paraId="4762284D" w14:textId="77777777" w:rsidR="00110BC0" w:rsidRDefault="00110BC0" w:rsidP="000E0570">
      <w:pPr>
        <w:spacing w:line="360" w:lineRule="auto"/>
        <w:jc w:val="both"/>
        <w:rPr>
          <w:lang w:val="en-US"/>
        </w:rPr>
      </w:pPr>
    </w:p>
    <w:p w14:paraId="1BB0E538" w14:textId="77777777" w:rsidR="00110BC0" w:rsidRDefault="00110BC0" w:rsidP="000E0570">
      <w:pPr>
        <w:spacing w:line="360" w:lineRule="auto"/>
        <w:jc w:val="both"/>
        <w:rPr>
          <w:lang w:val="en-US"/>
        </w:rPr>
      </w:pPr>
    </w:p>
    <w:p w14:paraId="1310C4E6" w14:textId="77777777" w:rsidR="00110BC0" w:rsidRDefault="00110BC0" w:rsidP="000E0570">
      <w:pPr>
        <w:spacing w:line="360" w:lineRule="auto"/>
        <w:jc w:val="both"/>
        <w:rPr>
          <w:lang w:val="en-US"/>
        </w:rPr>
      </w:pPr>
    </w:p>
    <w:p w14:paraId="314DE887" w14:textId="2BA12765" w:rsidR="00190367" w:rsidRPr="00B665F8" w:rsidRDefault="00110BC0" w:rsidP="000E0570">
      <w:pPr>
        <w:spacing w:line="360" w:lineRule="auto"/>
        <w:jc w:val="both"/>
        <w:rPr>
          <w:b/>
          <w:bCs/>
          <w:lang w:val="en-US"/>
        </w:rPr>
      </w:pPr>
      <w:r w:rsidRPr="00825AAE">
        <w:rPr>
          <w:b/>
          <w:bCs/>
          <w:lang w:val="en-US"/>
        </w:rPr>
        <w:t xml:space="preserve">BACKGROUND: </w:t>
      </w:r>
    </w:p>
    <w:p w14:paraId="0FD26EB2" w14:textId="77777777" w:rsidR="00110BC0" w:rsidRPr="00B665F8" w:rsidRDefault="00110BC0" w:rsidP="000E0570">
      <w:pPr>
        <w:spacing w:line="360" w:lineRule="auto"/>
        <w:jc w:val="both"/>
        <w:rPr>
          <w:b/>
          <w:bCs/>
          <w:lang w:val="en-US"/>
        </w:rPr>
      </w:pPr>
      <w:r w:rsidRPr="00B665F8">
        <w:rPr>
          <w:b/>
          <w:bCs/>
          <w:lang w:val="en-US"/>
        </w:rPr>
        <w:t>a. OXXO</w:t>
      </w:r>
    </w:p>
    <w:p w14:paraId="70C3FE84" w14:textId="4DFE2BFC"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 xml:space="preserve">Figure~\ref{fig:EVOLUTION_OXXO}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02396D" w:rsidRPr="00825AAE">
        <w:rPr>
          <w:rFonts w:eastAsiaTheme="majorEastAsia"/>
        </w:rPr>
        <w:t>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4BBBE0D3"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Figure~\ref{fig:fourpanelOXXO_evolution_UPZ} illustrates this evolution, showing that OXXO is now present in nearly 70</w:t>
      </w:r>
      <w:r w:rsidR="00943FBD">
        <w:t>\</w:t>
      </w:r>
      <w:r w:rsidRPr="00F00921">
        <w:t>% of the city’s Zonal Planning Units (UPZ</w:t>
      </w:r>
      <w:r w:rsidR="00B665F8">
        <w:t>)</w:t>
      </w:r>
      <w:r w:rsidR="00943FBD" w:rsidRPr="00943FBD">
        <w:rPr>
          <w:rFonts w:ascii="-webkit-standard" w:hAnsi="-webkit-standard"/>
          <w:color w:val="000000"/>
          <w:sz w:val="27"/>
          <w:szCs w:val="27"/>
        </w:rPr>
        <w:t xml:space="preserve"> </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6B9F7053" w:rsidR="0002396D" w:rsidRDefault="00F00921" w:rsidP="00B665F8">
      <w:pPr>
        <w:spacing w:line="360" w:lineRule="auto"/>
        <w:ind w:firstLine="720"/>
        <w:jc w:val="both"/>
      </w:pPr>
      <w:r w:rsidRPr="00F00921">
        <w:t xml:space="preserve">This expansion </w:t>
      </w:r>
      <w:r w:rsidR="00FD06B1">
        <w:t xml:space="preserve">across the years </w:t>
      </w:r>
      <w:r w:rsidRPr="00F00921">
        <w:t xml:space="preserve">positively </w:t>
      </w:r>
      <w:r w:rsidR="00B665F8" w:rsidRPr="00F00921">
        <w:t xml:space="preserve">correlates </w:t>
      </w:r>
      <w:r w:rsidRPr="00F00921">
        <w:t>with the inherent characteristics of northeastern Bogotá, where high traffic, spatial accessibility, and high-income residential clusters provide an ideal environment for the convenience store model \hl{(citation)}. Figure~\ref{fig:oxxo_transmilenio_vias}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w:t>
      </w:r>
      <w:r w:rsidRPr="00F00921">
        <w:lastRenderedPageBreak/>
        <w:t xml:space="preserve">demonstrates that by 2025, OXXO locations tended to cluster along these major transport corridors. Furthermore, Section~\ref{sec:Statistics} provides a statistical analysis confirming the positive correlation between these variables and store locations. </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6CC8DD47" w14:textId="5F4161E0" w:rsidR="00385DB0" w:rsidRPr="00385DB0" w:rsidRDefault="00385DB0" w:rsidP="00385DB0">
      <w:pPr>
        <w:spacing w:line="360" w:lineRule="auto"/>
        <w:ind w:firstLine="720"/>
        <w:jc w:val="both"/>
      </w:pPr>
      <w:r w:rsidRPr="00385DB0">
        <w:t>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OXXO entry responds to time-varying local trends correlated with the outcome. For example, FEMSA may prioritize expansion into UPZs experiencing increases in commercial activity, population density, household income, pedestrian flows, or improvements in public security, all of which could independently influence the dependent variable. In such cases, TWFE estimates could partly capture these underlying trends rather than the causal effect of OXXO entry alone.</w:t>
      </w:r>
    </w:p>
    <w:p w14:paraId="31316F0F" w14:textId="77777777" w:rsidR="00110BC0" w:rsidRDefault="00110BC0" w:rsidP="00805CD5">
      <w:pPr>
        <w:spacing w:line="360" w:lineRule="auto"/>
        <w:jc w:val="both"/>
      </w:pPr>
    </w:p>
    <w:p w14:paraId="1F5DC778" w14:textId="77777777" w:rsidR="00233DD7" w:rsidRDefault="00233DD7" w:rsidP="00805CD5">
      <w:pPr>
        <w:spacing w:line="360" w:lineRule="auto"/>
        <w:jc w:val="both"/>
      </w:pPr>
    </w:p>
    <w:p w14:paraId="59427022" w14:textId="77777777" w:rsidR="00233DD7" w:rsidRDefault="00233DD7" w:rsidP="00805CD5">
      <w:pPr>
        <w:spacing w:line="360" w:lineRule="auto"/>
        <w:jc w:val="both"/>
      </w:pPr>
    </w:p>
    <w:p w14:paraId="4C08C75A" w14:textId="77777777" w:rsidR="00233DD7" w:rsidRDefault="00233DD7" w:rsidP="00805CD5">
      <w:pPr>
        <w:spacing w:line="360" w:lineRule="auto"/>
        <w:jc w:val="both"/>
      </w:pPr>
    </w:p>
    <w:p w14:paraId="047C487A" w14:textId="77777777" w:rsidR="00233DD7" w:rsidRDefault="00233DD7" w:rsidP="00805CD5">
      <w:pPr>
        <w:spacing w:line="360" w:lineRule="auto"/>
        <w:jc w:val="both"/>
      </w:pPr>
    </w:p>
    <w:p w14:paraId="0FA4412E" w14:textId="77777777" w:rsidR="00233DD7" w:rsidRDefault="00233DD7" w:rsidP="00805CD5">
      <w:pPr>
        <w:spacing w:line="360" w:lineRule="auto"/>
        <w:jc w:val="both"/>
      </w:pPr>
    </w:p>
    <w:p w14:paraId="631856BB" w14:textId="77777777" w:rsidR="00233DD7" w:rsidRDefault="00233DD7" w:rsidP="00805CD5">
      <w:pPr>
        <w:spacing w:line="360" w:lineRule="auto"/>
        <w:jc w:val="both"/>
      </w:pPr>
    </w:p>
    <w:p w14:paraId="7C57A856" w14:textId="77777777" w:rsidR="00233DD7" w:rsidRDefault="00233DD7" w:rsidP="00805CD5">
      <w:pPr>
        <w:spacing w:line="360" w:lineRule="auto"/>
        <w:jc w:val="both"/>
      </w:pPr>
    </w:p>
    <w:p w14:paraId="7A37CFFD" w14:textId="77777777" w:rsidR="00233DD7" w:rsidRDefault="00233DD7" w:rsidP="00805CD5">
      <w:pPr>
        <w:spacing w:line="360" w:lineRule="auto"/>
        <w:jc w:val="both"/>
      </w:pPr>
    </w:p>
    <w:p w14:paraId="221C7F4F" w14:textId="77777777" w:rsidR="00233DD7" w:rsidRDefault="00233DD7" w:rsidP="00805CD5">
      <w:pPr>
        <w:spacing w:line="360" w:lineRule="auto"/>
        <w:jc w:val="both"/>
      </w:pPr>
    </w:p>
    <w:p w14:paraId="2E2BA006" w14:textId="77777777" w:rsidR="00233DD7" w:rsidRPr="00825AAE" w:rsidRDefault="00233DD7" w:rsidP="00805CD5">
      <w:pPr>
        <w:spacing w:line="360" w:lineRule="auto"/>
        <w:jc w:val="both"/>
      </w:pPr>
    </w:p>
    <w:p w14:paraId="507E5E47" w14:textId="77777777" w:rsidR="00110BC0" w:rsidRPr="00825AAE" w:rsidRDefault="00110BC0" w:rsidP="000E0570">
      <w:pPr>
        <w:spacing w:line="360" w:lineRule="auto"/>
        <w:jc w:val="both"/>
        <w:rPr>
          <w:b/>
          <w:bCs/>
          <w:lang w:val="en-US"/>
        </w:rPr>
      </w:pPr>
      <w:r w:rsidRPr="00825AAE">
        <w:rPr>
          <w:b/>
          <w:bCs/>
          <w:lang w:val="en-US"/>
        </w:rPr>
        <w:lastRenderedPageBreak/>
        <w:t>2. criminal activity in Bogotá over the years</w:t>
      </w:r>
    </w:p>
    <w:p w14:paraId="691EB232" w14:textId="56DB55D9"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majors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4BFDD2AE" w:rsidR="00022252" w:rsidRDefault="00110BC0" w:rsidP="000E0570">
      <w:pPr>
        <w:spacing w:line="360" w:lineRule="auto"/>
        <w:ind w:firstLine="720"/>
        <w:jc w:val="both"/>
      </w:pPr>
      <w:r w:rsidRPr="00825AAE">
        <w:t>Figure~\ref{fig: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(Appendix</w:t>
      </w:r>
      <w:r w:rsidR="0058432E" w:rsidRPr="00F00921">
        <w:t>~\ref{sec:</w:t>
      </w:r>
      <w:r w:rsidR="0058432E">
        <w:t>othercrimemaps</w:t>
      </w:r>
      <w:r w:rsidR="0058432E" w:rsidRPr="00F00921">
        <w:t xml:space="preserve">} </w:t>
      </w:r>
      <w:r w:rsidR="00AC33E5">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 xml:space="preserve">high pedestrian </w:t>
      </w:r>
      <w:r w:rsidR="00022252" w:rsidRPr="00022252">
        <w:lastRenderedPageBreak/>
        <w:t>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3691181C" w14:textId="35930031" w:rsidR="00110BC0" w:rsidRPr="00905271" w:rsidRDefault="00905271" w:rsidP="000E0570">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756C668" w14:textId="77777777" w:rsidR="00110BC0" w:rsidRDefault="00110BC0" w:rsidP="000E0570">
      <w:pPr>
        <w:spacing w:line="360" w:lineRule="auto"/>
        <w:jc w:val="both"/>
      </w:pPr>
    </w:p>
    <w:p w14:paraId="5706749F" w14:textId="77777777" w:rsidR="00110BC0" w:rsidRDefault="00110BC0" w:rsidP="000E0570">
      <w:pPr>
        <w:spacing w:line="360" w:lineRule="auto"/>
        <w:jc w:val="both"/>
      </w:pPr>
    </w:p>
    <w:p w14:paraId="2DB4E6BB" w14:textId="77777777" w:rsidR="00110BC0" w:rsidRDefault="00110BC0" w:rsidP="000E0570">
      <w:pPr>
        <w:spacing w:line="360" w:lineRule="auto"/>
        <w:jc w:val="both"/>
      </w:pPr>
    </w:p>
    <w:p w14:paraId="10046E27" w14:textId="77777777" w:rsidR="00110BC0" w:rsidRDefault="00110BC0" w:rsidP="000E0570">
      <w:pPr>
        <w:spacing w:line="360" w:lineRule="auto"/>
        <w:jc w:val="both"/>
      </w:pPr>
    </w:p>
    <w:p w14:paraId="4F94A64F" w14:textId="77777777" w:rsidR="00905271" w:rsidRDefault="00905271" w:rsidP="000E0570">
      <w:pPr>
        <w:spacing w:line="360" w:lineRule="auto"/>
        <w:jc w:val="both"/>
      </w:pPr>
    </w:p>
    <w:p w14:paraId="308C50AB" w14:textId="77777777" w:rsidR="00905271" w:rsidRDefault="00905271" w:rsidP="000E0570">
      <w:pPr>
        <w:spacing w:line="360" w:lineRule="auto"/>
        <w:jc w:val="both"/>
      </w:pPr>
    </w:p>
    <w:p w14:paraId="136DB344" w14:textId="77777777" w:rsidR="00905271" w:rsidRDefault="00905271" w:rsidP="000E0570">
      <w:pPr>
        <w:spacing w:line="360" w:lineRule="auto"/>
        <w:jc w:val="both"/>
      </w:pPr>
    </w:p>
    <w:p w14:paraId="7A3BACFF" w14:textId="77777777" w:rsidR="00022252" w:rsidRDefault="00022252" w:rsidP="000E0570">
      <w:pPr>
        <w:spacing w:line="360" w:lineRule="auto"/>
        <w:jc w:val="both"/>
      </w:pPr>
    </w:p>
    <w:p w14:paraId="6EB65579" w14:textId="1D388580" w:rsidR="00022252" w:rsidRDefault="00022252" w:rsidP="000E0570">
      <w:pPr>
        <w:spacing w:line="360" w:lineRule="auto"/>
        <w:jc w:val="both"/>
      </w:pPr>
    </w:p>
    <w:p w14:paraId="18C9C678" w14:textId="77777777" w:rsidR="00A275A7" w:rsidRDefault="00A275A7" w:rsidP="000E0570">
      <w:pPr>
        <w:spacing w:line="360" w:lineRule="auto"/>
        <w:jc w:val="both"/>
      </w:pPr>
    </w:p>
    <w:p w14:paraId="2AC6AD58" w14:textId="77777777" w:rsidR="00A275A7" w:rsidRDefault="00A275A7" w:rsidP="000E0570">
      <w:pPr>
        <w:spacing w:line="360" w:lineRule="auto"/>
        <w:jc w:val="both"/>
      </w:pPr>
    </w:p>
    <w:p w14:paraId="227B0CC0" w14:textId="77777777" w:rsidR="00A275A7" w:rsidRDefault="00A275A7" w:rsidP="000E0570">
      <w:pPr>
        <w:spacing w:line="360" w:lineRule="auto"/>
        <w:jc w:val="both"/>
      </w:pPr>
    </w:p>
    <w:p w14:paraId="03BF53C4" w14:textId="77777777" w:rsidR="00A275A7" w:rsidRDefault="00A275A7" w:rsidP="000E0570">
      <w:pPr>
        <w:spacing w:line="360" w:lineRule="auto"/>
        <w:jc w:val="both"/>
      </w:pPr>
    </w:p>
    <w:p w14:paraId="5760F0F5" w14:textId="77777777" w:rsidR="00A275A7" w:rsidRDefault="00A275A7" w:rsidP="000E0570">
      <w:pPr>
        <w:spacing w:line="360" w:lineRule="auto"/>
        <w:jc w:val="both"/>
      </w:pPr>
    </w:p>
    <w:p w14:paraId="172AE9FE" w14:textId="77777777" w:rsidR="00A275A7" w:rsidRDefault="00A275A7" w:rsidP="000E0570">
      <w:pPr>
        <w:spacing w:line="360" w:lineRule="auto"/>
        <w:jc w:val="both"/>
      </w:pPr>
    </w:p>
    <w:p w14:paraId="4E8E15C1" w14:textId="77777777" w:rsidR="00233DD7" w:rsidRDefault="00233DD7" w:rsidP="000E0570">
      <w:pPr>
        <w:spacing w:line="360" w:lineRule="auto"/>
        <w:jc w:val="both"/>
      </w:pPr>
    </w:p>
    <w:p w14:paraId="6DBC2D01" w14:textId="77777777" w:rsidR="00233DD7" w:rsidRDefault="00233DD7" w:rsidP="000E0570">
      <w:pPr>
        <w:spacing w:line="360" w:lineRule="auto"/>
        <w:jc w:val="both"/>
      </w:pPr>
    </w:p>
    <w:p w14:paraId="099465BA" w14:textId="77777777" w:rsidR="00233DD7" w:rsidRDefault="00233DD7" w:rsidP="000E0570">
      <w:pPr>
        <w:spacing w:line="360" w:lineRule="auto"/>
        <w:jc w:val="both"/>
      </w:pPr>
    </w:p>
    <w:p w14:paraId="6B3CCE5A" w14:textId="77777777" w:rsidR="00233DD7" w:rsidRDefault="00233DD7" w:rsidP="000E0570">
      <w:pPr>
        <w:spacing w:line="360" w:lineRule="auto"/>
        <w:jc w:val="both"/>
      </w:pPr>
    </w:p>
    <w:p w14:paraId="283E536E" w14:textId="77777777" w:rsidR="00233DD7" w:rsidRDefault="00233DD7" w:rsidP="000E0570">
      <w:pPr>
        <w:spacing w:line="360" w:lineRule="auto"/>
        <w:jc w:val="both"/>
      </w:pPr>
    </w:p>
    <w:p w14:paraId="5723879A" w14:textId="77777777" w:rsidR="00233DD7" w:rsidRDefault="00233DD7" w:rsidP="000E0570">
      <w:pPr>
        <w:spacing w:line="360" w:lineRule="auto"/>
        <w:jc w:val="both"/>
      </w:pPr>
    </w:p>
    <w:p w14:paraId="2DCA681A" w14:textId="77777777" w:rsidR="00233DD7" w:rsidRDefault="00233DD7" w:rsidP="000E0570">
      <w:pPr>
        <w:spacing w:line="360" w:lineRule="auto"/>
        <w:jc w:val="both"/>
      </w:pPr>
    </w:p>
    <w:p w14:paraId="66C2129F" w14:textId="77777777" w:rsidR="00233DD7" w:rsidRDefault="00233DD7" w:rsidP="000E0570">
      <w:pPr>
        <w:spacing w:line="360" w:lineRule="auto"/>
        <w:jc w:val="both"/>
      </w:pPr>
    </w:p>
    <w:p w14:paraId="71133F32" w14:textId="77777777" w:rsidR="00F7487D" w:rsidRPr="00825AAE" w:rsidRDefault="00F7487D" w:rsidP="000E0570">
      <w:pPr>
        <w:spacing w:line="360" w:lineRule="auto"/>
        <w:jc w:val="both"/>
      </w:pPr>
    </w:p>
    <w:p w14:paraId="150275F5" w14:textId="77777777" w:rsidR="00110BC0" w:rsidRPr="00825AAE" w:rsidRDefault="00110BC0" w:rsidP="000E0570">
      <w:pPr>
        <w:spacing w:line="360" w:lineRule="auto"/>
        <w:jc w:val="both"/>
        <w:rPr>
          <w:b/>
          <w:bCs/>
          <w:lang w:val="en-US"/>
        </w:rPr>
      </w:pPr>
      <w:r w:rsidRPr="00825AAE">
        <w:rPr>
          <w:b/>
          <w:bCs/>
          <w:lang w:val="en-US"/>
        </w:rPr>
        <w:t xml:space="preserve">LITERATURE REVIEW: </w:t>
      </w:r>
    </w:p>
    <w:p w14:paraId="1A73FCCA" w14:textId="63C9FFB1" w:rsidR="00110BC0" w:rsidRPr="00D63E77" w:rsidRDefault="00110BC0" w:rsidP="000E0570">
      <w:pPr>
        <w:spacing w:line="360" w:lineRule="auto"/>
        <w:ind w:firstLine="720"/>
        <w:jc w:val="both"/>
        <w:rPr>
          <w:lang w:val="en-US"/>
        </w:rPr>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6EB5A17B" w14:textId="77777777" w:rsidR="00110BC0" w:rsidRPr="00825AAE" w:rsidRDefault="00110BC0" w:rsidP="000E057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 xml:space="preserve">While some of these studies do not focus exclusively </w:t>
      </w:r>
      <w:r w:rsidRPr="00825AAE">
        <w:lastRenderedPageBreak/>
        <w:t>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55B68ED2" w:rsidR="00110BC0" w:rsidRPr="00825AAE" w:rsidRDefault="00110BC0" w:rsidP="000E0570">
      <w:pPr>
        <w:spacing w:line="360" w:lineRule="auto"/>
        <w:ind w:firstLine="720"/>
        <w:jc w:val="both"/>
        <w:rPr>
          <w:lang w:val="en-US"/>
        </w:rPr>
      </w:pPr>
      <w:r w:rsidRPr="00825AAE">
        <w:t xml:space="preserve">Another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0CB8615B" w14:textId="77777777" w:rsidR="00110BC0" w:rsidRPr="00825AAE" w:rsidRDefault="00110BC0" w:rsidP="000E057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 xml:space="preserve">labor market indicators \parencite{delgado2024, marcos2022}. However, despite this growing interest in labor dynamics, </w:t>
      </w:r>
      <w:r w:rsidRPr="00825AAE">
        <w:lastRenderedPageBreak/>
        <w:t>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B195AEF" w14:textId="51D39357" w:rsidR="00110BC0" w:rsidRPr="00825AAE"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0E057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0E0570">
      <w:pPr>
        <w:spacing w:line="360" w:lineRule="auto"/>
        <w:ind w:firstLine="720"/>
        <w:jc w:val="both"/>
      </w:pPr>
    </w:p>
    <w:p w14:paraId="6567D98D" w14:textId="77777777" w:rsidR="00110BC0" w:rsidRPr="00825AAE" w:rsidRDefault="00110BC0" w:rsidP="000E0570">
      <w:pPr>
        <w:spacing w:line="360" w:lineRule="auto"/>
        <w:ind w:firstLine="720"/>
        <w:jc w:val="both"/>
      </w:pPr>
    </w:p>
    <w:p w14:paraId="5C11F1B4" w14:textId="77777777" w:rsidR="00110BC0" w:rsidRPr="00825AAE" w:rsidRDefault="00110BC0" w:rsidP="000E0570">
      <w:pPr>
        <w:spacing w:line="360" w:lineRule="auto"/>
        <w:jc w:val="both"/>
        <w:rPr>
          <w:lang w:val="en-US"/>
        </w:rPr>
      </w:pPr>
    </w:p>
    <w:p w14:paraId="37726D6B" w14:textId="77777777" w:rsidR="00110BC0" w:rsidRPr="00825AAE" w:rsidRDefault="00110BC0" w:rsidP="000E0570">
      <w:pPr>
        <w:spacing w:line="360" w:lineRule="auto"/>
        <w:jc w:val="both"/>
        <w:rPr>
          <w:lang w:val="en-US"/>
        </w:rPr>
      </w:pPr>
    </w:p>
    <w:p w14:paraId="3BDC7258" w14:textId="77777777" w:rsidR="00110BC0" w:rsidRPr="00825AAE" w:rsidRDefault="00110BC0" w:rsidP="000E0570">
      <w:pPr>
        <w:spacing w:line="360" w:lineRule="auto"/>
        <w:jc w:val="both"/>
        <w:rPr>
          <w:lang w:val="en-US"/>
        </w:rPr>
      </w:pPr>
    </w:p>
    <w:p w14:paraId="131B76F5" w14:textId="77777777" w:rsidR="00110BC0" w:rsidRDefault="00110BC0" w:rsidP="000E0570">
      <w:pPr>
        <w:spacing w:line="360" w:lineRule="auto"/>
        <w:jc w:val="both"/>
        <w:rPr>
          <w:lang w:val="en-US"/>
        </w:rPr>
      </w:pPr>
    </w:p>
    <w:p w14:paraId="1FAF5871" w14:textId="77777777" w:rsidR="00110BC0" w:rsidRDefault="00110BC0" w:rsidP="000E0570">
      <w:pPr>
        <w:spacing w:line="360" w:lineRule="auto"/>
        <w:jc w:val="both"/>
        <w:rPr>
          <w:lang w:val="en-US"/>
        </w:rPr>
      </w:pPr>
    </w:p>
    <w:p w14:paraId="24E0ACD0" w14:textId="77777777" w:rsidR="00110BC0" w:rsidRPr="00825AAE" w:rsidRDefault="00110BC0" w:rsidP="000E0570">
      <w:pPr>
        <w:spacing w:line="360" w:lineRule="auto"/>
        <w:jc w:val="both"/>
        <w:rPr>
          <w:lang w:val="en-US"/>
        </w:rPr>
      </w:pPr>
    </w:p>
    <w:p w14:paraId="5A525F28" w14:textId="77777777" w:rsidR="00110BC0" w:rsidRPr="00825AAE" w:rsidRDefault="00110BC0" w:rsidP="000E0570">
      <w:pPr>
        <w:spacing w:line="360" w:lineRule="auto"/>
        <w:jc w:val="both"/>
        <w:rPr>
          <w:lang w:val="en-US"/>
        </w:rPr>
      </w:pPr>
    </w:p>
    <w:p w14:paraId="6F39F51D" w14:textId="77777777" w:rsidR="00110BC0" w:rsidRPr="00825AAE" w:rsidRDefault="00110BC0" w:rsidP="000E0570">
      <w:pPr>
        <w:spacing w:line="360" w:lineRule="auto"/>
        <w:jc w:val="both"/>
        <w:rPr>
          <w:lang w:val="en-US"/>
        </w:rPr>
      </w:pPr>
    </w:p>
    <w:p w14:paraId="1D7D54B8" w14:textId="77777777" w:rsidR="00110BC0" w:rsidRPr="00825AAE" w:rsidRDefault="00110BC0" w:rsidP="000E0570">
      <w:pPr>
        <w:spacing w:line="360" w:lineRule="auto"/>
        <w:jc w:val="both"/>
        <w:rPr>
          <w:b/>
          <w:bCs/>
          <w:lang w:val="en-US"/>
        </w:rPr>
      </w:pPr>
      <w:r w:rsidRPr="00825AAE">
        <w:rPr>
          <w:b/>
          <w:bCs/>
          <w:lang w:val="en-US"/>
        </w:rPr>
        <w:lastRenderedPageBreak/>
        <w:t xml:space="preserve">DATA SOURCES AND UNIT OF ANALYSIS </w:t>
      </w:r>
    </w:p>
    <w:p w14:paraId="71E932DE" w14:textId="04CCF7B6" w:rsidR="00797D31" w:rsidRDefault="00797D31" w:rsidP="000E0570">
      <w:pPr>
        <w:spacing w:line="360" w:lineRule="auto"/>
        <w:ind w:firstLine="720"/>
        <w:jc w:val="both"/>
      </w:pPr>
      <w:r w:rsidRPr="00797D31">
        <w:t>UPZs are used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\hl{(cita)}. Additionally, UPZs preserve a certain degree of urbanistic and socioeconomic homogeneity by grouping neighborhoods with similar characteristics, while also providing an intermediate level of aggregation between localities and street blocks (\textit{manzanas}).</w:t>
      </w:r>
      <w:r>
        <w:t xml:space="preserve">\\ </w:t>
      </w:r>
    </w:p>
    <w:p w14:paraId="463E9008" w14:textId="77777777" w:rsidR="00797D31" w:rsidRPr="00825AAE" w:rsidRDefault="00797D31" w:rsidP="000E0570">
      <w:pPr>
        <w:spacing w:line="360" w:lineRule="auto"/>
        <w:ind w:firstLine="720"/>
        <w:jc w:val="both"/>
      </w:pPr>
    </w:p>
    <w:p w14:paraId="5115D498" w14:textId="1688143C" w:rsidR="00110BC0" w:rsidRPr="00A87B35" w:rsidRDefault="00797D31" w:rsidP="000E0570">
      <w:pPr>
        <w:spacing w:line="360" w:lineRule="auto"/>
        <w:jc w:val="both"/>
      </w:pPr>
      <w:r>
        <w:t xml:space="preserve">For </w:t>
      </w:r>
      <w:r w:rsidR="00110BC0" w:rsidRPr="00825AAE">
        <w:t xml:space="preserve">the results of this study employ </w:t>
      </w:r>
      <w:r w:rsidR="00110BC0" w:rsidRPr="00825AAE">
        <w:rPr>
          <w:lang w:val="en-US"/>
        </w:rPr>
        <w:t xml:space="preserve">four main data sources </w:t>
      </w:r>
      <w:r w:rsidR="00110BC0" w:rsidRPr="00034B71">
        <w:t>(see appendix~\ref{sec:variables_descripcion_detallada})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robbery,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UPZ-year level, categorizing incidents by offense type.</w:t>
      </w:r>
      <w:r w:rsidR="00110BC0" w:rsidRPr="00A87B35">
        <w:t xml:space="preserve"> To ensure comparability across years and Units, I normalized </w:t>
      </w:r>
      <w:r w:rsidR="00110BC0" w:rsidRPr="00034B71">
        <w:t>these counts using annual population estimates for each UPZ.</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71B927E4" w:rsidR="00E9445B" w:rsidRDefault="00797D31" w:rsidP="000E0570">
      <w:pPr>
        <w:spacing w:line="360" w:lineRule="auto"/>
        <w:ind w:firstLine="720"/>
        <w:jc w:val="both"/>
      </w:pPr>
      <w:r>
        <w:rPr>
          <w:highlight w:val="magenta"/>
        </w:rPr>
        <w:t>R</w:t>
      </w:r>
      <w:r w:rsidR="00E9445B" w:rsidRPr="00797D31">
        <w:rPr>
          <w:highlight w:val="magenta"/>
        </w:rPr>
        <w:t xml:space="preserve">ates </w:t>
      </w:r>
      <w:r>
        <w:rPr>
          <w:highlight w:val="magenta"/>
        </w:rPr>
        <w:t xml:space="preserve">then </w:t>
      </w:r>
      <w:r w:rsidR="00E9445B" w:rsidRPr="00797D31">
        <w:rPr>
          <w:highlight w:val="magenta"/>
        </w:rPr>
        <w:t>were smoothed using an Empirical Bayes technique to reduce the influence of extreme values in UPZs with small populations, where rates tend to be more unstable; for example, UPZs like El Mochuelo and El Dorado had th</w:t>
      </w:r>
      <w:r>
        <w:rPr>
          <w:highlight w:val="magenta"/>
        </w:rPr>
        <w:t>ese</w:t>
      </w:r>
      <w:r w:rsidR="00E9445B" w:rsidRPr="00797D31">
        <w:rPr>
          <w:highlight w:val="magenta"/>
        </w:rPr>
        <w:t xml:space="preserve"> particulatiries.</w:t>
      </w:r>
      <w:r w:rsidR="00E9445B">
        <w:t xml:space="preserve"> </w:t>
      </w:r>
    </w:p>
    <w:p w14:paraId="657116B7" w14:textId="73993923" w:rsidR="00E9445B" w:rsidRPr="00825AAE" w:rsidRDefault="00E9445B" w:rsidP="000E0570">
      <w:pPr>
        <w:spacing w:line="360" w:lineRule="auto"/>
        <w:ind w:firstLine="720"/>
        <w:jc w:val="both"/>
      </w:pPr>
      <w:r w:rsidRPr="00E9445B">
        <w:t>The period from 2015 to 2022 is appropriate for this analysis, as it encompasses the years during which OXXO</w:t>
      </w:r>
      <w:r w:rsidR="00797D31">
        <w:t xml:space="preserve"> </w:t>
      </w:r>
      <w:r w:rsidRPr="00E9445B">
        <w:t xml:space="preserve">experienced its most significant expansion across Bogotá. This timeframe provides sufficient temporal and spatial variation, as a larger number of UPZs enter treatment </w:t>
      </w:r>
      <w:r w:rsidRPr="00E9445B">
        <w:lastRenderedPageBreak/>
        <w:t>during the study period rather than being treated prior to 2015.</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 </w:t>
      </w:r>
    </w:p>
    <w:p w14:paraId="320F3905" w14:textId="7B21B108" w:rsidR="00E9445B" w:rsidRPr="00825AAE" w:rsidRDefault="00E9445B" w:rsidP="000E0570">
      <w:pPr>
        <w:spacing w:line="360" w:lineRule="auto"/>
        <w:ind w:firstLine="720"/>
        <w:jc w:val="both"/>
      </w:pPr>
      <w:r w:rsidRPr="00E9445B">
        <w:t xml:space="preserve">Additionally, using data from the </w:t>
      </w:r>
      <w:r w:rsidR="00797D31" w:rsidRPr="00797D31">
        <w:t xml:space="preserve">Unified Business and Social Registry </w:t>
      </w:r>
      <w:r w:rsidRPr="00E9445B">
        <w:t>(RUES)\footnote{Access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2FC87D5" w14:textId="261C6A34" w:rsidR="00110BC0" w:rsidRPr="00825AAE" w:rsidRDefault="00110BC0" w:rsidP="000E0570">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often share similar spatial locations with OXXO outlets; in fact, retailers tend to cluster in certain areas to take advantage of agglomeration benefits \parencite{Konishi2005, Seong2022}. </w:t>
      </w:r>
      <w:r w:rsidR="00E9445B">
        <w:t xml:space="preserve">Also, </w:t>
      </w:r>
      <w:r w:rsidRPr="00825AAE">
        <w:t>Given that prior research suggests these establishments may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their inclusion as control variables is important to evaluate the validity of the results.\\</w:t>
      </w:r>
    </w:p>
    <w:p w14:paraId="12033506" w14:textId="360BBF8A" w:rsidR="00110BC0" w:rsidRPr="00825AAE" w:rsidRDefault="00C56504" w:rsidP="000E0570">
      <w:pPr>
        <w:spacing w:line="360" w:lineRule="auto"/>
        <w:ind w:firstLine="720"/>
        <w:jc w:val="both"/>
      </w:pPr>
      <w:r w:rsidRPr="00C56504">
        <w:t>Finally, I used the Quality of Life Survey of Bogotá (2007)\footnote{Access at \url{https://www.dane.gov.co/index.php/estadisticas-por-tema/salud/calidad-de-vida-ecv/encuesta-nacional-de-calidad-de-vida-2007-bogota}} to characterize the baseline socioeconomic conditions of treated and never-treated UPZs prior to the arrival of OXXO in 2009. Additionally, data from Mapas Bogotá were used to construct time-invariant socioeconomic and environmental controls at the UPZ level. These variables are included for descriptive purposes to assess the non-random spatial distribution of OXXO stores, although they are absorbed by the two-way fixed effects (TWFE) specification.</w:t>
      </w:r>
    </w:p>
    <w:p w14:paraId="2015DA48" w14:textId="77777777" w:rsidR="00110BC0" w:rsidRPr="00825AAE" w:rsidRDefault="00110BC0"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D633153" w14:textId="77777777" w:rsidR="00110BC0" w:rsidRPr="00825AAE" w:rsidRDefault="00110BC0" w:rsidP="000E0570">
      <w:pPr>
        <w:spacing w:line="360" w:lineRule="auto"/>
        <w:ind w:firstLine="720"/>
        <w:jc w:val="both"/>
      </w:pPr>
    </w:p>
    <w:p w14:paraId="11682FDF" w14:textId="77777777" w:rsidR="00110BC0" w:rsidRPr="00825AAE" w:rsidRDefault="00110BC0" w:rsidP="000E0570">
      <w:pPr>
        <w:spacing w:line="360" w:lineRule="auto"/>
        <w:ind w:firstLine="720"/>
        <w:jc w:val="both"/>
      </w:pPr>
    </w:p>
    <w:p w14:paraId="65014079" w14:textId="77777777" w:rsidR="00110BC0" w:rsidRDefault="00110BC0" w:rsidP="000E0570">
      <w:pPr>
        <w:spacing w:line="360" w:lineRule="auto"/>
        <w:ind w:firstLine="720"/>
        <w:jc w:val="both"/>
      </w:pPr>
    </w:p>
    <w:p w14:paraId="4C2D5F77" w14:textId="3876332E" w:rsidR="00BF40EB" w:rsidRDefault="00BF40EB" w:rsidP="000E0570">
      <w:pPr>
        <w:spacing w:line="360" w:lineRule="auto"/>
        <w:jc w:val="both"/>
        <w:rPr>
          <w:b/>
          <w:bCs/>
          <w:lang w:val="en-US"/>
        </w:rPr>
      </w:pPr>
    </w:p>
    <w:p w14:paraId="1DFB2696" w14:textId="134BDBB5" w:rsidR="00110BC0" w:rsidRPr="007270EA" w:rsidRDefault="00110BC0" w:rsidP="000E0570">
      <w:pPr>
        <w:spacing w:line="360" w:lineRule="auto"/>
        <w:jc w:val="both"/>
        <w:rPr>
          <w:b/>
          <w:bCs/>
          <w:lang w:val="en-US"/>
        </w:rPr>
      </w:pPr>
      <w:r w:rsidRPr="00825AAE">
        <w:rPr>
          <w:b/>
          <w:bCs/>
          <w:lang w:val="en-US"/>
        </w:rPr>
        <w:lastRenderedPageBreak/>
        <w:t xml:space="preserve">STATISTICS  </w:t>
      </w:r>
    </w:p>
    <w:p w14:paraId="5549A8EF" w14:textId="3C3C436A" w:rsidR="00B14C2B" w:rsidRPr="00D503A7" w:rsidRDefault="00797D31" w:rsidP="000E0570">
      <w:pPr>
        <w:spacing w:line="360" w:lineRule="auto"/>
        <w:jc w:val="both"/>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the panel was constructed quarterly, the arrival of locations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0F376372" w14:textId="3A005256" w:rsidR="000E0570" w:rsidRDefault="00452CDD" w:rsidP="00440A32">
      <w:pPr>
        <w:spacing w:line="360" w:lineRule="auto"/>
        <w:ind w:firstLine="720"/>
        <w:jc w:val="both"/>
      </w:pPr>
      <w:r>
        <w:t xml:space="preserve">This variation shown may not be as drastic as OXXO´s stores growth depicted in </w:t>
      </w:r>
      <w:r w:rsidR="000E0570">
        <w:t>figure</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Although Figure~\ref{fig:Treatment_intensity}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9B6C5E4" w14:textId="047187D1" w:rsidR="003764A5" w:rsidRDefault="004523D7" w:rsidP="00B02CBC">
      <w:pPr>
        <w:spacing w:line="360" w:lineRule="auto"/>
        <w:ind w:firstLine="720"/>
        <w:jc w:val="both"/>
      </w:pPr>
      <w:r w:rsidRPr="004523D7">
        <w:t>On the other hand, Figure~\ref{fig:</w:t>
      </w:r>
      <w:r w:rsidR="00B02CBC" w:rsidRPr="00B02CBC">
        <w:t>Treatment_intensity</w:t>
      </w:r>
      <w:r w:rsidR="007B4D1B">
        <w:t>}</w:t>
      </w:r>
      <w:r w:rsidRPr="004523D7">
        <w:t xml:space="preserve"> present</w:t>
      </w:r>
      <w:r w:rsidR="007B4D1B">
        <w:t>s</w:t>
      </w:r>
      <w:r w:rsidRPr="004523D7">
        <w:t xml:space="preserve"> preliminary evidence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For instance, Panel~\ref{fig:diff_people}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186AE9F7" w14:textId="6A6E50FC" w:rsidR="004523D7" w:rsidRDefault="003764A5" w:rsidP="003764A5">
      <w:pPr>
        <w:spacing w:line="360" w:lineRule="auto"/>
        <w:ind w:firstLine="720"/>
        <w:jc w:val="both"/>
      </w:pPr>
      <w:commentRangeStart w:id="0"/>
      <w:r w:rsidRPr="003764A5">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w:t>
      </w:r>
      <w:r w:rsidRPr="003764A5">
        <w:lastRenderedPageBreak/>
        <w:t xml:space="preserve">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72F26368" w14:textId="29964F11" w:rsidR="00307F61" w:rsidRPr="00307F61" w:rsidRDefault="003764A5" w:rsidP="00307F61">
      <w:pPr>
        <w:spacing w:line="360" w:lineRule="auto"/>
        <w:ind w:firstLine="720"/>
        <w:jc w:val="both"/>
        <w:rPr>
          <w:lang w:val="en-US"/>
        </w:rPr>
      </w:pPr>
      <w:r>
        <w:t>Table</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 xml:space="preserve">but rather by indicators of economic activity and consumption capacity. </w:t>
      </w:r>
      <w:r w:rsidR="00307F61" w:rsidRPr="00307F61">
        <w:rPr>
          <w:highlight w:val="yellow"/>
        </w:rPr>
        <w:t>Since OXXO's product mix consists primarily of non-essential daily goods and convenience items rather than vital necessities, th</w:t>
      </w:r>
      <w:r w:rsidR="007B4D1B">
        <w:rPr>
          <w:highlight w:val="yellow"/>
        </w:rPr>
        <w:t>is retail chain</w:t>
      </w:r>
      <w:r w:rsidR="00C03D24">
        <w:rPr>
          <w:highlight w:val="yellow"/>
        </w:rPr>
        <w:t xml:space="preserve"> </w:t>
      </w:r>
      <w:r w:rsidR="00307F61" w:rsidRPr="00307F61">
        <w:rPr>
          <w:highlight w:val="yellow"/>
        </w:rPr>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484C5D89" w14:textId="5D382C1F"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w:t>
      </w:r>
      <w:r w:rsidR="00110314" w:rsidRPr="009076DB">
        <w:lastRenderedPageBreak/>
        <w:t xml:space="preserve">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Default="00F12B49" w:rsidP="000E0570">
      <w:pPr>
        <w:jc w:val="both"/>
        <w:rPr>
          <w:b/>
          <w:bCs/>
          <w:lang w:val="en-US"/>
        </w:rPr>
      </w:pPr>
    </w:p>
    <w:p w14:paraId="1C97E3E6" w14:textId="77777777" w:rsidR="00B63870" w:rsidRDefault="00B63870" w:rsidP="000E0570">
      <w:pPr>
        <w:jc w:val="both"/>
        <w:rPr>
          <w:b/>
          <w:bCs/>
          <w:lang w:val="en-US"/>
        </w:rPr>
      </w:pPr>
    </w:p>
    <w:p w14:paraId="7327E800" w14:textId="77777777" w:rsidR="00B63870" w:rsidRDefault="00B63870" w:rsidP="000E0570">
      <w:pPr>
        <w:jc w:val="both"/>
        <w:rPr>
          <w:b/>
          <w:bCs/>
          <w:lang w:val="en-US"/>
        </w:rPr>
      </w:pPr>
    </w:p>
    <w:p w14:paraId="5370DB66" w14:textId="77777777" w:rsidR="00B63870" w:rsidRDefault="00B63870" w:rsidP="000E0570">
      <w:pPr>
        <w:jc w:val="both"/>
        <w:rPr>
          <w:b/>
          <w:bCs/>
          <w:lang w:val="en-US"/>
        </w:rPr>
      </w:pPr>
    </w:p>
    <w:p w14:paraId="5C2E8AD1" w14:textId="77777777" w:rsidR="00B63870" w:rsidRDefault="00B63870" w:rsidP="000E0570">
      <w:pPr>
        <w:jc w:val="both"/>
        <w:rPr>
          <w:b/>
          <w:bCs/>
          <w:lang w:val="en-US"/>
        </w:rPr>
      </w:pPr>
    </w:p>
    <w:p w14:paraId="3F9BD4FB" w14:textId="77777777" w:rsidR="00B63870" w:rsidRDefault="00B63870" w:rsidP="000E0570">
      <w:pPr>
        <w:jc w:val="both"/>
        <w:rPr>
          <w:b/>
          <w:bCs/>
          <w:lang w:val="en-US"/>
        </w:rPr>
      </w:pPr>
    </w:p>
    <w:p w14:paraId="23380ED3" w14:textId="77777777" w:rsidR="00B63870" w:rsidRDefault="00B63870" w:rsidP="000E0570">
      <w:pPr>
        <w:jc w:val="both"/>
        <w:rPr>
          <w:b/>
          <w:bCs/>
          <w:lang w:val="en-US"/>
        </w:rPr>
      </w:pPr>
    </w:p>
    <w:p w14:paraId="0EBE1178" w14:textId="77777777" w:rsidR="00B63870" w:rsidRDefault="00B63870" w:rsidP="000E0570">
      <w:pPr>
        <w:jc w:val="both"/>
        <w:rPr>
          <w:b/>
          <w:bCs/>
          <w:lang w:val="en-US"/>
        </w:rPr>
      </w:pPr>
    </w:p>
    <w:p w14:paraId="15F2077E" w14:textId="77777777" w:rsidR="00B63870" w:rsidRDefault="00B63870" w:rsidP="000E0570">
      <w:pPr>
        <w:jc w:val="both"/>
        <w:rPr>
          <w:b/>
          <w:bCs/>
          <w:lang w:val="en-US"/>
        </w:rPr>
      </w:pPr>
    </w:p>
    <w:p w14:paraId="4ABD3374" w14:textId="77777777" w:rsidR="00B63870" w:rsidRDefault="00B63870" w:rsidP="000E0570">
      <w:pPr>
        <w:jc w:val="both"/>
        <w:rPr>
          <w:b/>
          <w:bCs/>
          <w:lang w:val="en-US"/>
        </w:rPr>
      </w:pPr>
    </w:p>
    <w:p w14:paraId="5D09E9F9" w14:textId="77777777" w:rsidR="00B63870" w:rsidRDefault="00B63870" w:rsidP="000E0570">
      <w:pPr>
        <w:jc w:val="both"/>
        <w:rPr>
          <w:b/>
          <w:bCs/>
          <w:lang w:val="en-US"/>
        </w:rPr>
      </w:pPr>
    </w:p>
    <w:p w14:paraId="246B7BFF" w14:textId="77777777" w:rsidR="00B63870" w:rsidRDefault="00B63870" w:rsidP="000E0570">
      <w:pPr>
        <w:jc w:val="both"/>
        <w:rPr>
          <w:b/>
          <w:bCs/>
          <w:lang w:val="en-US"/>
        </w:rPr>
      </w:pPr>
    </w:p>
    <w:p w14:paraId="46FF6B59" w14:textId="77777777" w:rsidR="00B63870" w:rsidRDefault="00B63870" w:rsidP="000E0570">
      <w:pPr>
        <w:jc w:val="both"/>
        <w:rPr>
          <w:b/>
          <w:bCs/>
          <w:lang w:val="en-US"/>
        </w:rPr>
      </w:pPr>
    </w:p>
    <w:p w14:paraId="7BBF8279" w14:textId="77777777" w:rsidR="00B63870" w:rsidRDefault="00B63870" w:rsidP="000E0570">
      <w:pPr>
        <w:jc w:val="both"/>
        <w:rPr>
          <w:b/>
          <w:bCs/>
          <w:lang w:val="en-US"/>
        </w:rPr>
      </w:pPr>
    </w:p>
    <w:p w14:paraId="1DBFCE56" w14:textId="77777777" w:rsidR="00B63870" w:rsidRDefault="00B63870" w:rsidP="000E0570">
      <w:pPr>
        <w:jc w:val="both"/>
        <w:rPr>
          <w:b/>
          <w:bCs/>
          <w:lang w:val="en-US"/>
        </w:rPr>
      </w:pPr>
    </w:p>
    <w:p w14:paraId="6CCD6DD1" w14:textId="77777777" w:rsidR="00B63870" w:rsidRDefault="00B63870" w:rsidP="000E0570">
      <w:pPr>
        <w:jc w:val="both"/>
        <w:rPr>
          <w:b/>
          <w:bCs/>
          <w:lang w:val="en-US"/>
        </w:rPr>
      </w:pPr>
    </w:p>
    <w:p w14:paraId="7768EAC0" w14:textId="77777777" w:rsidR="00B63870" w:rsidRDefault="00B63870" w:rsidP="000E0570">
      <w:pPr>
        <w:jc w:val="both"/>
        <w:rPr>
          <w:b/>
          <w:bCs/>
          <w:lang w:val="en-US"/>
        </w:rPr>
      </w:pPr>
    </w:p>
    <w:p w14:paraId="77C39890" w14:textId="77777777" w:rsidR="00B63870" w:rsidRDefault="00B63870" w:rsidP="000E0570">
      <w:pPr>
        <w:jc w:val="both"/>
        <w:rPr>
          <w:b/>
          <w:bCs/>
          <w:lang w:val="en-US"/>
        </w:rPr>
      </w:pPr>
    </w:p>
    <w:p w14:paraId="6C9E81B9" w14:textId="77777777" w:rsidR="00B63870" w:rsidRDefault="00B63870" w:rsidP="000E0570">
      <w:pPr>
        <w:jc w:val="both"/>
        <w:rPr>
          <w:b/>
          <w:bCs/>
          <w:lang w:val="en-US"/>
        </w:rPr>
      </w:pPr>
    </w:p>
    <w:p w14:paraId="0EDD850A" w14:textId="77777777" w:rsidR="00B63870" w:rsidRDefault="00B63870" w:rsidP="000E0570">
      <w:pPr>
        <w:jc w:val="both"/>
        <w:rPr>
          <w:b/>
          <w:bCs/>
          <w:lang w:val="en-US"/>
        </w:rPr>
      </w:pPr>
    </w:p>
    <w:p w14:paraId="7C8B1C1C" w14:textId="77777777" w:rsidR="00B63870" w:rsidRDefault="00B63870" w:rsidP="000E0570">
      <w:pPr>
        <w:jc w:val="both"/>
        <w:rPr>
          <w:b/>
          <w:bCs/>
          <w:lang w:val="en-US"/>
        </w:rPr>
      </w:pPr>
    </w:p>
    <w:p w14:paraId="5BFC5974" w14:textId="77777777" w:rsidR="00B63870" w:rsidRDefault="00B63870" w:rsidP="000E0570">
      <w:pPr>
        <w:jc w:val="both"/>
        <w:rPr>
          <w:b/>
          <w:bCs/>
          <w:lang w:val="en-US"/>
        </w:rPr>
      </w:pPr>
    </w:p>
    <w:p w14:paraId="639812E2" w14:textId="77777777" w:rsidR="00B63870" w:rsidRDefault="00B63870" w:rsidP="000E0570">
      <w:pPr>
        <w:jc w:val="both"/>
        <w:rPr>
          <w:b/>
          <w:bCs/>
          <w:lang w:val="en-US"/>
        </w:rPr>
      </w:pPr>
    </w:p>
    <w:p w14:paraId="52AFAD71" w14:textId="77777777" w:rsidR="00B63870" w:rsidRDefault="00B63870" w:rsidP="000E0570">
      <w:pPr>
        <w:jc w:val="both"/>
        <w:rPr>
          <w:b/>
          <w:bCs/>
          <w:lang w:val="en-US"/>
        </w:rPr>
      </w:pPr>
    </w:p>
    <w:p w14:paraId="14C55D92" w14:textId="77777777" w:rsidR="00B63870" w:rsidRDefault="00B63870" w:rsidP="000E0570">
      <w:pPr>
        <w:jc w:val="both"/>
        <w:rPr>
          <w:b/>
          <w:bCs/>
          <w:lang w:val="en-US"/>
        </w:rPr>
      </w:pPr>
    </w:p>
    <w:p w14:paraId="7F0B30D9" w14:textId="77777777" w:rsidR="00B63870" w:rsidRDefault="00B63870" w:rsidP="000E0570">
      <w:pPr>
        <w:jc w:val="both"/>
        <w:rPr>
          <w:b/>
          <w:bCs/>
          <w:lang w:val="en-US"/>
        </w:rPr>
      </w:pPr>
    </w:p>
    <w:p w14:paraId="0D6EB8F4" w14:textId="77777777" w:rsidR="00B63870" w:rsidRDefault="00B63870" w:rsidP="000E0570">
      <w:pPr>
        <w:jc w:val="both"/>
        <w:rPr>
          <w:b/>
          <w:bCs/>
          <w:lang w:val="en-US"/>
        </w:rPr>
      </w:pPr>
    </w:p>
    <w:p w14:paraId="5D570242" w14:textId="77777777" w:rsidR="00B63870" w:rsidRDefault="00B63870" w:rsidP="000E0570">
      <w:pPr>
        <w:jc w:val="both"/>
        <w:rPr>
          <w:b/>
          <w:bCs/>
          <w:lang w:val="en-US"/>
        </w:rPr>
      </w:pPr>
    </w:p>
    <w:p w14:paraId="41CD058A" w14:textId="77777777" w:rsidR="00797C44" w:rsidRDefault="00797C44" w:rsidP="000E0570">
      <w:pPr>
        <w:jc w:val="both"/>
        <w:rPr>
          <w:b/>
          <w:bCs/>
          <w:lang w:val="en-US"/>
        </w:rPr>
      </w:pPr>
    </w:p>
    <w:p w14:paraId="30A14AD0" w14:textId="77777777" w:rsidR="00797C44" w:rsidRDefault="00797C44" w:rsidP="000E0570">
      <w:pPr>
        <w:jc w:val="both"/>
        <w:rPr>
          <w:b/>
          <w:bCs/>
          <w:lang w:val="en-US"/>
        </w:rPr>
      </w:pPr>
    </w:p>
    <w:p w14:paraId="7A3CF62D" w14:textId="77777777" w:rsidR="00797C44" w:rsidRPr="00110314" w:rsidRDefault="00797C44"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825AAE">
        <w:rPr>
          <w:b/>
          <w:bCs/>
        </w:rPr>
        <w:lastRenderedPageBreak/>
        <w:t>EMPIRICAL STRATEGY</w:t>
      </w:r>
    </w:p>
    <w:p w14:paraId="099F7E57" w14:textId="77777777" w:rsidR="00110BC0" w:rsidRPr="00461212" w:rsidRDefault="00110BC0" w:rsidP="000E0570">
      <w:pPr>
        <w:jc w:val="both"/>
      </w:pPr>
    </w:p>
    <w:p w14:paraId="46BE7751" w14:textId="19B87734" w:rsidR="00110BC0" w:rsidRPr="00825AAE" w:rsidRDefault="00110BC0" w:rsidP="000E0570">
      <w:pPr>
        <w:spacing w:line="360" w:lineRule="auto"/>
        <w:jc w:val="both"/>
      </w:pPr>
      <w:r w:rsidRPr="00461212">
        <w:t xml:space="preserve">This research </w:t>
      </w:r>
      <w:r w:rsidRPr="00825AAE">
        <w:t xml:space="preserve">explores with two main econometric models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Pr="00825AAE">
        <w:t xml:space="preserve">. The first one I used is TWFE. This econometric strategy takes into account that the </w:t>
      </w:r>
      <w:r w:rsidRPr="00461212">
        <w:t xml:space="preserve">the arrival of </w:t>
      </w:r>
      <w:r w:rsidRPr="00825AAE">
        <w:t>OXXO’s</w:t>
      </w:r>
      <w:r w:rsidRPr="00461212">
        <w:t xml:space="preserve"> occurs in a staggered manner.</w:t>
      </w:r>
      <w:r w:rsidRPr="00825AAE">
        <w:t xml:space="preserve"> Additionally, it inherently controls for fixed effects for unit (UPZ) and time.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0E75C33" w14:textId="77777777" w:rsidR="00110BC0" w:rsidRPr="00825AAE" w:rsidRDefault="00110BC0" w:rsidP="000E0570">
      <w:pPr>
        <w:spacing w:line="360" w:lineRule="auto"/>
        <w:jc w:val="both"/>
      </w:pPr>
      <w:r w:rsidRPr="00825AAE">
        <w:t xml:space="preserve">Where $ </w:t>
      </w:r>
      <w:r w:rsidRPr="00461212">
        <w:t xml:space="preserve">Y_{i,t} </w:t>
      </w:r>
      <w:r w:rsidRPr="00825AAE">
        <w:t>$ represents the crime rate for UPZ $i$ in </w:t>
      </w:r>
      <w:r w:rsidRPr="00825AAE">
        <w:rPr>
          <w:b/>
          <w:bCs/>
        </w:rPr>
        <w:t>quarter</w:t>
      </w:r>
      <w:r w:rsidRPr="00825AAE">
        <w:t xml:space="preserve"> $t$. This rate corresponds to either a specific crime category or the aggregate of all crimes analyzed in this study. </w:t>
      </w:r>
      <w:r w:rsidRPr="00461212">
        <w:t>$D_{</w:t>
      </w:r>
      <w:r w:rsidRPr="00825AAE">
        <w:t>i,t</w:t>
      </w:r>
      <w:r w:rsidRPr="00461212">
        <w:t xml:space="preserve">}$ </w:t>
      </w:r>
      <w:r w:rsidRPr="00825AAE">
        <w:t>is a binary indicator that equals one if UPZ $i$  has at least one OXXO store in quarter $t$ , and zero otherwise. Furthermore, as Figure</w:t>
      </w:r>
      <w:r>
        <w:t xml:space="preserve"> \hl{</w:t>
      </w:r>
      <w:r w:rsidRPr="00825AAE">
        <w:t>XXXX</w:t>
      </w:r>
      <w:r>
        <w:t>}</w:t>
      </w:r>
      <w:r w:rsidRPr="00825AAE">
        <w:t xml:space="preserve"> 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56C8FE5F" w14:textId="77777777" w:rsidR="00110BC0" w:rsidRPr="00825AAE" w:rsidRDefault="00110BC0" w:rsidP="000E0570">
      <w:pPr>
        <w:spacing w:line="360" w:lineRule="auto"/>
        <w:jc w:val="both"/>
      </w:pPr>
    </w:p>
    <w:p w14:paraId="77D3674A" w14:textId="77777777"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based on UPZs’ characteristics or if the impact of an OXXO opening on crime evolves as the store becomes established in the area. Consequently, to diagnose the potential bias arising from these </w:t>
      </w:r>
      <w:r w:rsidRPr="00825AAE">
        <w:lastRenderedPageBreak/>
        <w:t>heterogeneities,</w:t>
      </w:r>
      <w:r>
        <w:t xml:space="preserve"> </w:t>
      </w:r>
      <w:r w:rsidRPr="00825AAE">
        <w:t>I</w:t>
      </w:r>
      <w:r>
        <w:t xml:space="preserve"> </w:t>
      </w:r>
      <w:r w:rsidRPr="00825AAE">
        <w:t>employ the Goodman-Bacon 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 xml:space="preserve">the estimator </w:t>
      </w:r>
      <w:r>
        <w:t>may be</w:t>
      </w:r>
      <w:r w:rsidRPr="00825AAE">
        <w:t xml:space="preserve"> bias</w:t>
      </w:r>
      <w:r>
        <w:t xml:space="preserve">ed </w:t>
      </w:r>
      <w:r w:rsidRPr="00825AAE">
        <w:t>from heterogeneous treatment effects</w:t>
      </w:r>
      <w:r>
        <w:t xml:space="preserve"> </w:t>
      </w:r>
      <w:r w:rsidRPr="00825AAE">
        <w:t>\parencite{GoodmanBacon2021}.\\</w:t>
      </w:r>
    </w:p>
    <w:p w14:paraId="042E677D" w14:textId="77777777" w:rsidR="00110BC0" w:rsidRPr="00825AAE" w:rsidRDefault="00110BC0" w:rsidP="000E0570">
      <w:pPr>
        <w:spacing w:line="360" w:lineRule="auto"/>
        <w:jc w:val="both"/>
      </w:pPr>
    </w:p>
    <w:p w14:paraId="0344E594" w14:textId="77777777"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20EA17E7" w14:textId="77777777" w:rsidR="00110BC0" w:rsidRPr="00461212" w:rsidRDefault="00110BC0" w:rsidP="000E0570">
      <w:pPr>
        <w:spacing w:line="360" w:lineRule="auto"/>
        <w:jc w:val="both"/>
      </w:pPr>
      <w:r w:rsidRPr="00825AAE">
        <w:t>Equation \eqref{eq:eventstudy}allows</w:t>
      </w:r>
      <w:r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Pr="00461212">
        <w:t>dynamics of the impact after the treatment.\\</w:t>
      </w:r>
    </w:p>
    <w:p w14:paraId="4FA3B3A9" w14:textId="77777777" w:rsidR="00110BC0" w:rsidRPr="00461212" w:rsidRDefault="00110BC0" w:rsidP="000E0570">
      <w:pPr>
        <w:spacing w:line="360" w:lineRule="auto"/>
        <w:jc w:val="both"/>
      </w:pPr>
    </w:p>
    <w:p w14:paraId="563043D1" w14:textId="77777777" w:rsidR="00110BC0" w:rsidRPr="00825AAE" w:rsidRDefault="00110BC0" w:rsidP="000E0570">
      <w:pPr>
        <w:spacing w:line="360" w:lineRule="auto"/>
        <w:jc w:val="both"/>
      </w:pPr>
      <w:r w:rsidRPr="00461212">
        <w:t xml:space="preserve">Finally, for robustness purposes, </w:t>
      </w:r>
      <w:r w:rsidRPr="00825AAE">
        <w:t xml:space="preserve">I will also estimate </w:t>
      </w:r>
      <w:r w:rsidRPr="00461212">
        <w:t xml:space="preserve">the Callaway \&amp; Sant’Anna (CS) </w:t>
      </w:r>
      <w:r w:rsidRPr="00825AAE">
        <w:t xml:space="preserve">model. This approach accounts for treatment effect heterogeneity by estimating ATTs by cohort and period, </w:t>
      </w:r>
      <w:r w:rsidRPr="00825AAE">
        <w:lastRenderedPageBreak/>
        <w:t xml:space="preserve">subsequently combining these effects through a weighted average </w:t>
      </w:r>
      <w:r w:rsidRPr="00461212">
        <w:t xml:space="preserve">\parencite{RiosAvila_Callaway_SantAnna_2021_csdid_slides,Callaway_SantAnna_2021}. </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7777777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3501023C" w14:textId="77777777" w:rsidR="00110BC0" w:rsidRPr="00825AAE" w:rsidRDefault="00110BC0" w:rsidP="000E0570">
      <w:pPr>
        <w:spacing w:line="360" w:lineRule="auto"/>
        <w:jc w:val="both"/>
      </w:pPr>
      <w:r w:rsidRPr="00825AAE">
        <w:t>Where $t$ is a particular time period, $ G_g$ Gis a binary indicator for whether an observation belongs to cohort $g$, $ D_t $ treatment status at time t</w:t>
      </w:r>
      <w:r>
        <w:t xml:space="preserve">, and </w:t>
      </w:r>
      <w:r w:rsidRPr="00825AAE">
        <w:t> </w:t>
      </w:r>
      <w:r w:rsidRPr="00CE704B">
        <w:t>$(1 - D_t)$</w:t>
      </w:r>
      <w:r w:rsidRPr="00825AAE">
        <w:t xml:space="preserve">identifies observations that have not yet been treated, serving as the control group. </w:t>
      </w:r>
      <w:r>
        <w:t xml:space="preserve">Additionally, the approach I chose uses </w:t>
      </w:r>
      <w:r w:rsidRPr="00825AAE">
        <w:t xml:space="preserve">Inverse Probability Weighting (IPW) to assign greater weight to control observations that more closely resemble the treated cohort $G_g$. </w:t>
      </w:r>
    </w:p>
    <w:p w14:paraId="02BF7A56" w14:textId="77777777" w:rsidR="00110BC0" w:rsidRDefault="00110BC0" w:rsidP="000E0570">
      <w:pPr>
        <w:spacing w:line="360" w:lineRule="auto"/>
        <w:jc w:val="both"/>
      </w:pPr>
    </w:p>
    <w:p w14:paraId="06C4F41C" w14:textId="77777777" w:rsidR="00110BC0" w:rsidRDefault="00110BC0" w:rsidP="000E0570">
      <w:pPr>
        <w:spacing w:line="360" w:lineRule="auto"/>
        <w:jc w:val="both"/>
      </w:pPr>
      <w:r w:rsidRPr="00825AAE">
        <w:t>Subsequently, to aggregate all ATT(g,t)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77777777"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19167DA5" w14:textId="77777777" w:rsidR="00110BC0" w:rsidRDefault="00110BC0" w:rsidP="000E0570">
      <w:pPr>
        <w:spacing w:line="360" w:lineRule="auto"/>
        <w:jc w:val="both"/>
      </w:pPr>
      <w:r w:rsidRPr="00825AAE">
        <w:t>Where </w:t>
      </w:r>
      <w:r>
        <w:t>$</w:t>
      </w:r>
      <w:r w:rsidRPr="00825AAE">
        <w:t>w(g,t)</w:t>
      </w:r>
      <w:r>
        <w:t>$</w:t>
      </w:r>
      <w:r w:rsidRPr="00825AAE">
        <w:t xml:space="preserve"> represents the weights determined by the researcher. In this analysis, I employ a simple averaging scheme </w:t>
      </w:r>
      <w:r>
        <w:t>m</w:t>
      </w:r>
      <w:r w:rsidRPr="00825AAE">
        <w:t>where w(g,t)</w:t>
      </w:r>
      <w:r>
        <w:t xml:space="preserve"> is the same</w:t>
      </w:r>
      <w:r w:rsidRPr="00825AAE">
        <w:t xml:space="preserve"> for all treated periods. The objective of this comparison is to determine if the Callaway </w:t>
      </w:r>
      <w:r>
        <w:t>\</w:t>
      </w:r>
      <w:r w:rsidRPr="00825AAE">
        <w:t xml:space="preserve">&amp; Sant’Anna (CS) estimates </w:t>
      </w:r>
      <w:r>
        <w:t xml:space="preserve">an Events Studies </w:t>
      </w:r>
      <w:r w:rsidRPr="00825AAE">
        <w:t>align with the Two-Way Fixed Effects (TWFE) results. A similar behavior between the two models would reinforce the validity of the TWFE estimates and suggest that</w:t>
      </w:r>
      <w:r>
        <w:t xml:space="preserve"> the possible bias of heterogeneous effects is not a preoccupation</w:t>
      </w:r>
    </w:p>
    <w:p w14:paraId="69D35CDD" w14:textId="6DFE933D" w:rsidR="004523D7" w:rsidRPr="00B63870" w:rsidRDefault="00110BC0" w:rsidP="00B63870">
      <w:pPr>
        <w:spacing w:line="360" w:lineRule="auto"/>
        <w:jc w:val="both"/>
      </w:pPr>
      <w:r w:rsidRPr="00825AAE">
        <w:t>\parencite{RiosAvila_Callaway_SantAnna_2021_csdid_slides,Callaway_SantAnna_2021}.</w:t>
      </w:r>
    </w:p>
    <w:p w14:paraId="184FDBF7" w14:textId="6B6914C6" w:rsidR="00110BC0" w:rsidRDefault="00110BC0" w:rsidP="00D63E77">
      <w:pPr>
        <w:jc w:val="both"/>
        <w:rPr>
          <w:b/>
          <w:bCs/>
        </w:rPr>
      </w:pPr>
      <w:r>
        <w:rPr>
          <w:b/>
          <w:bCs/>
        </w:rPr>
        <w:lastRenderedPageBreak/>
        <w:t>RESULTS</w:t>
      </w:r>
    </w:p>
    <w:p w14:paraId="1648F4F3" w14:textId="77777777" w:rsidR="00D63E77" w:rsidRDefault="00D63E77" w:rsidP="00D63E77">
      <w:pPr>
        <w:jc w:val="both"/>
        <w:rPr>
          <w:b/>
          <w:bCs/>
        </w:rPr>
      </w:pPr>
    </w:p>
    <w:p w14:paraId="2BBC9874" w14:textId="77777777" w:rsidR="00797C44" w:rsidRDefault="00D63E77" w:rsidP="00142B68">
      <w:pPr>
        <w:spacing w:line="360" w:lineRule="auto"/>
        <w:jc w:val="both"/>
      </w:pPr>
      <w:r w:rsidRPr="00D63E77">
        <w:t>Table</w:t>
      </w:r>
      <w:r w:rsidR="005E3B96" w:rsidRPr="00825AAE">
        <w:t>~\ref{</w:t>
      </w:r>
      <w:r w:rsidR="005E3B96" w:rsidRPr="005E3B96">
        <w:t>tab:resultados_regresion</w:t>
      </w:r>
      <w:r w:rsidR="005E3B96" w:rsidRPr="00825AAE">
        <w:t>}</w:t>
      </w:r>
      <w:r w:rsidR="005E3B96">
        <w:t xml:space="preserve"> </w:t>
      </w:r>
      <w:r w:rsidR="00142B68">
        <w:t>presents</w:t>
      </w:r>
      <w:r w:rsidR="005E3B96">
        <w:t xml:space="preserve"> </w:t>
      </w:r>
      <w:r w:rsidR="00ED6E43">
        <w:t xml:space="preserve">the estimates for the equation </w:t>
      </w:r>
      <w:r w:rsidR="00ED6E43" w:rsidRPr="00825AAE">
        <w:t>~\ref{</w:t>
      </w:r>
      <w:r w:rsidR="00ED6E43" w:rsidRPr="00461212">
        <w:t>eq:twfe</w:t>
      </w:r>
      <w:r w:rsidR="00ED6E43" w:rsidRPr="00825AAE">
        <w:t>}</w:t>
      </w:r>
      <w:r w:rsidR="00ED6E43">
        <w:t xml:space="preserve"> for each type of crime. </w:t>
      </w:r>
      <w:r w:rsidR="00142B68">
        <w:t>All estimates, except the one of Homicide, show that OXXO presence in an UPZ reduces crime activity. Nonetheless, these results, including sexual offences, thefts to motorbike and vehicle crimes, are statistically insignificant, suggesting that OXXO presence does not affect crime activity at the UPZ level.\\</w:t>
      </w:r>
    </w:p>
    <w:p w14:paraId="6D15D789" w14:textId="77777777" w:rsidR="00797C44" w:rsidRDefault="00797C44" w:rsidP="00142B68">
      <w:pPr>
        <w:spacing w:line="360" w:lineRule="auto"/>
        <w:jc w:val="both"/>
      </w:pPr>
    </w:p>
    <w:p w14:paraId="4705FEF8" w14:textId="7D317301" w:rsidR="00142B68" w:rsidRPr="00142B68" w:rsidRDefault="00797C44" w:rsidP="00142B68">
      <w:pPr>
        <w:spacing w:line="360" w:lineRule="auto"/>
        <w:jc w:val="both"/>
      </w:pPr>
      <w:r w:rsidRPr="00797C44">
        <w:t>Homicide is the only crime category for which the estimated effect is statistically significant. The results suggest that the arrival of an OXXO store in a UPZ increases the homicide rate by 0.0699 homicides per 10,000 inhabitants relative to a UPZ without an OXXO store.</w:t>
      </w:r>
      <w:r>
        <w:t xml:space="preserve"> </w:t>
      </w:r>
      <w:r w:rsidR="00142B68">
        <w:t>Comparing with the mean of the never treated group, this represents a relative increment of</w:t>
      </w:r>
      <w:r>
        <w:t xml:space="preserve"> </w:t>
      </w:r>
      <w:r w:rsidR="00142B68">
        <w:t xml:space="preserve"> 9,68\%. </w:t>
      </w:r>
      <w:r w:rsidR="00142B68" w:rsidRPr="00142B68">
        <w:t xml:space="preserve">The effect for this crime runs counter to </w:t>
      </w:r>
      <w:r w:rsidR="00142B68">
        <w:t xml:space="preserve">my </w:t>
      </w:r>
      <w:r w:rsidR="00142B68" w:rsidRPr="00142B68">
        <w:t xml:space="preserve">expectations, as </w:t>
      </w:r>
      <w:r w:rsidR="00142B68">
        <w:t xml:space="preserve">I </w:t>
      </w:r>
      <w:r w:rsidR="00142B68" w:rsidRPr="00142B68">
        <w:t xml:space="preserve">expected </w:t>
      </w:r>
      <w:r w:rsidR="00142B68">
        <w:t xml:space="preserve"> t</w:t>
      </w:r>
      <w:r w:rsidR="00142B68" w:rsidRPr="00142B68">
        <w:t>heft</w:t>
      </w:r>
      <w:r w:rsidR="00142B68">
        <w:t xml:space="preserve"> to people</w:t>
      </w:r>
      <w:r w:rsidR="00142B68" w:rsidRPr="00142B68">
        <w:t xml:space="preserve"> crime</w:t>
      </w:r>
      <w:r w:rsidR="00142B68">
        <w:t xml:space="preserve"> </w:t>
      </w:r>
      <w:r w:rsidR="00142B68" w:rsidRPr="00142B68">
        <w:t xml:space="preserve">to exhibit </w:t>
      </w:r>
      <w:r w:rsidR="00142B68">
        <w:t xml:space="preserve">a </w:t>
      </w:r>
      <w:r w:rsidR="00142B68" w:rsidRPr="00142B68">
        <w:t>statistically significant coefficient</w:t>
      </w:r>
      <w:r w:rsidR="00142B68">
        <w:t xml:space="preserve"> </w:t>
      </w:r>
      <w:r w:rsidR="00142B68" w:rsidRPr="00142B68">
        <w:t xml:space="preserve">and, if homicide </w:t>
      </w:r>
      <w:r w:rsidR="00142B68">
        <w:t>was</w:t>
      </w:r>
      <w:r w:rsidR="00142B68" w:rsidRPr="00142B68">
        <w:t xml:space="preserve"> also significant, </w:t>
      </w:r>
      <w:r w:rsidR="00142B68">
        <w:t xml:space="preserve">I expected both </w:t>
      </w:r>
      <w:r w:rsidR="00142B68" w:rsidRPr="00142B68">
        <w:t>effects to move in the same direction.</w:t>
      </w:r>
      <w:r w:rsidR="00142B68">
        <w:t>\\</w:t>
      </w:r>
    </w:p>
    <w:p w14:paraId="5DE2824E" w14:textId="4C135971" w:rsidR="00142B68" w:rsidRDefault="00142B68" w:rsidP="00142B68">
      <w:pPr>
        <w:spacing w:line="360" w:lineRule="auto"/>
        <w:jc w:val="both"/>
      </w:pPr>
    </w:p>
    <w:p w14:paraId="67F89CBC" w14:textId="7EFC4F4A" w:rsidR="00142B68" w:rsidRDefault="00142B68" w:rsidP="00142B68">
      <w:pPr>
        <w:spacing w:line="360" w:lineRule="auto"/>
        <w:jc w:val="both"/>
      </w:pPr>
      <w:r>
        <w:t>Figure</w:t>
      </w:r>
      <w:r w:rsidRPr="00825AAE">
        <w:t>~\ref{</w:t>
      </w:r>
      <w:r w:rsidRPr="00142B68">
        <w:t>fig:fourpanelESFE</w:t>
      </w:r>
      <w:r w:rsidRPr="00825AAE">
        <w:t>}</w:t>
      </w:r>
      <w:r>
        <w:t xml:space="preserve"> shows the events stud</w:t>
      </w:r>
      <w:r w:rsidR="00797C44">
        <w:t xml:space="preserve">y </w:t>
      </w:r>
      <w:r>
        <w:t>(ES) of each crime type for the TWFE approach. In terms of parallel trends assumption, it can be observed that both theft to people and sexual offences violate the condition near period -1, meaning that their estimates are not correctly identified with this empirical strategy. Other, crimes do not show this problem, and after the first OXXO arrival they maintain statatistically insignificant dynamic effects, which allign with the coefficients’</w:t>
      </w:r>
      <w:r w:rsidR="00797C44">
        <w:t xml:space="preserve"> </w:t>
      </w:r>
      <w:r>
        <w:t>of Table</w:t>
      </w:r>
      <w:r w:rsidRPr="00825AAE">
        <w:t>~\ref{</w:t>
      </w:r>
      <w:r w:rsidRPr="005E3B96">
        <w:t>tab:resultados_regresion</w:t>
      </w:r>
      <w:r w:rsidRPr="00825AAE">
        <w:t>}</w:t>
      </w:r>
      <w:r>
        <w:t>.\\</w:t>
      </w:r>
    </w:p>
    <w:p w14:paraId="5650E553" w14:textId="77777777" w:rsidR="00142B68" w:rsidRDefault="00142B68" w:rsidP="00142B68">
      <w:pPr>
        <w:spacing w:line="360" w:lineRule="auto"/>
        <w:jc w:val="both"/>
      </w:pPr>
    </w:p>
    <w:p w14:paraId="6C75552C" w14:textId="770F7A05" w:rsidR="00142B68" w:rsidRPr="00142B68" w:rsidRDefault="00142B68" w:rsidP="00142B68">
      <w:pPr>
        <w:spacing w:line="360" w:lineRule="auto"/>
        <w:jc w:val="both"/>
      </w:pPr>
      <w:r w:rsidRPr="00142B68">
        <w:t xml:space="preserve">Theft to people exhibits a counterintuitive pattern in terms of dynamic effects. </w:t>
      </w:r>
      <w:r w:rsidR="00797C44">
        <w:t>It</w:t>
      </w:r>
      <w:r w:rsidRPr="00142B68">
        <w:t xml:space="preserve"> suggests that, following the opening of the first OXXO store, theft tends to increase over time. This tendency contrasts with the coefficient previously reported in Table ~\ref{tab:resultados_regresion}, where the overall effect is negative and statistically insignificant. While this pattern could suggest that OXXO increases theft activity in the medium and long term, such an interpretation would only hold if the parallel trends were satisfied</w:t>
      </w:r>
      <w:r>
        <w:t xml:space="preserve"> and if the estimator </w:t>
      </w:r>
      <w:r w:rsidR="00797C44">
        <w:t>of Table</w:t>
      </w:r>
      <w:r w:rsidR="00797C44" w:rsidRPr="00825AAE">
        <w:t>~\ref{</w:t>
      </w:r>
      <w:r w:rsidR="00797C44" w:rsidRPr="005E3B96">
        <w:t>tab:resultados_regresion</w:t>
      </w:r>
      <w:r w:rsidR="00797C44" w:rsidRPr="00825AAE">
        <w:t>}</w:t>
      </w:r>
      <w:r w:rsidR="00797C44">
        <w:t xml:space="preserve"> </w:t>
      </w:r>
      <w:r>
        <w:t xml:space="preserve">had the </w:t>
      </w:r>
      <w:r w:rsidR="00797C44">
        <w:t>same sign</w:t>
      </w:r>
      <w:r>
        <w:t xml:space="preserve"> as the </w:t>
      </w:r>
      <w:r w:rsidR="00797C44">
        <w:t xml:space="preserve">ES </w:t>
      </w:r>
      <w:r>
        <w:t>tendency</w:t>
      </w:r>
      <w:r w:rsidRPr="00142B68">
        <w:t>. Since th</w:t>
      </w:r>
      <w:r>
        <w:t>ese conditions are</w:t>
      </w:r>
      <w:r w:rsidRPr="00142B68">
        <w:t xml:space="preserve"> </w:t>
      </w:r>
      <w:r>
        <w:t>not met</w:t>
      </w:r>
      <w:r w:rsidRPr="00142B68">
        <w:t>, it is more likely that the TWFE coefficient is biased and incorrectly identified.</w:t>
      </w:r>
      <w:r>
        <w:t>\\</w:t>
      </w:r>
    </w:p>
    <w:p w14:paraId="62CF28F2" w14:textId="77777777" w:rsidR="00142B68" w:rsidRDefault="00142B68" w:rsidP="00142B68">
      <w:pPr>
        <w:spacing w:line="360" w:lineRule="auto"/>
        <w:jc w:val="both"/>
      </w:pPr>
    </w:p>
    <w:p w14:paraId="0E368324" w14:textId="282B8242" w:rsidR="00142B68" w:rsidRDefault="00797C44" w:rsidP="00142B68">
      <w:pPr>
        <w:spacing w:line="360" w:lineRule="auto"/>
        <w:jc w:val="both"/>
      </w:pPr>
      <w:r>
        <w:lastRenderedPageBreak/>
        <w:t>T</w:t>
      </w:r>
      <w:r w:rsidR="00142B68" w:rsidRPr="00142B68">
        <w:t xml:space="preserve">he CS </w:t>
      </w:r>
      <w:r w:rsidR="00142B68">
        <w:t>approach</w:t>
      </w:r>
      <w:r w:rsidR="00142B68" w:rsidRPr="00142B68">
        <w:t xml:space="preserve"> </w:t>
      </w:r>
      <w:r>
        <w:t xml:space="preserve">will be useful </w:t>
      </w:r>
      <w:r w:rsidR="00142B68" w:rsidRPr="00142B68">
        <w:t>to examine this hypothesis and assess the possibility of heterogeneous</w:t>
      </w:r>
      <w:r w:rsidR="00142B68">
        <w:t xml:space="preserve"> </w:t>
      </w:r>
      <w:r w:rsidR="00142B68" w:rsidRPr="00142B68">
        <w:t xml:space="preserve">effects in the TWFE results. Although I applied the Goodman-Bacon decomposition to each regression and obtained positive weights, the CS estimator serves as an additional robustness check to verify the absence of bias if both approaches </w:t>
      </w:r>
      <w:r w:rsidR="00142B68">
        <w:t xml:space="preserve">(TWFE and </w:t>
      </w:r>
      <w:r w:rsidR="00142B68" w:rsidRPr="00142B68">
        <w:t>CS</w:t>
      </w:r>
      <w:r w:rsidR="00142B68">
        <w:t xml:space="preserve">) </w:t>
      </w:r>
      <w:r w:rsidR="00142B68" w:rsidRPr="00142B68">
        <w:t>display similar patterns.</w:t>
      </w:r>
      <w:r w:rsidR="00142B68">
        <w:t xml:space="preserve"> Table</w:t>
      </w:r>
      <w:r w:rsidR="00142B68" w:rsidRPr="00142B68">
        <w:t>~\ref{tab:resultados_ES}</w:t>
      </w:r>
      <w:r w:rsidR="00142B68">
        <w:t xml:space="preserve"> shows the ATT comparison </w:t>
      </w:r>
      <w:r w:rsidR="00142B68" w:rsidRPr="00142B68">
        <w:t xml:space="preserve"> between TWFE and CS</w:t>
      </w:r>
      <w:r w:rsidR="00142B68">
        <w:t>. Despite coefficients are not exactly the same, most of them present the same direction and a similar magnitude, and most maintain statistically insignificant, suggesting absense of bias.</w:t>
      </w:r>
      <w:r>
        <w:t>\\</w:t>
      </w:r>
      <w:r w:rsidR="00142B68">
        <w:t xml:space="preserve"> </w:t>
      </w:r>
    </w:p>
    <w:p w14:paraId="6EC14433" w14:textId="77777777" w:rsidR="00142B68" w:rsidRDefault="00142B68" w:rsidP="00142B68">
      <w:pPr>
        <w:spacing w:line="360" w:lineRule="auto"/>
        <w:jc w:val="both"/>
      </w:pPr>
    </w:p>
    <w:p w14:paraId="13E439E6" w14:textId="3C34ED33" w:rsidR="00797C44" w:rsidRPr="00797C44" w:rsidRDefault="00797C44" w:rsidP="00797C44">
      <w:pPr>
        <w:spacing w:line="360" w:lineRule="auto"/>
        <w:jc w:val="both"/>
        <w:rPr>
          <w:lang w:val="en-US"/>
        </w:rPr>
      </w:pPr>
      <w:commentRangeStart w:id="1"/>
      <w:r w:rsidRPr="00797C44">
        <w:t>Homicide requires further examination, as both estimators produce coefficients of similar magnitude and direction, yet the estimate becomes statistically insignificant under the CS specification. Given the consistency of the estimated effects across approaches, the difference appears to stem primarily from a loss of statistical precision rather than from a substantive change in the estimated impact. Therefore, I place greater emphasis on the TWFE estimate when interpreting the effect of OXXO presence on homicide rates.</w:t>
      </w:r>
      <w:r>
        <w:rPr>
          <w:lang w:val="en-US"/>
        </w:rPr>
        <w:t>\\</w:t>
      </w:r>
      <w:commentRangeEnd w:id="1"/>
      <w:r>
        <w:rPr>
          <w:rStyle w:val="CommentReference"/>
        </w:rPr>
        <w:commentReference w:id="1"/>
      </w:r>
    </w:p>
    <w:p w14:paraId="1D6FD00F" w14:textId="77777777" w:rsidR="00142B68" w:rsidRPr="00142B68" w:rsidRDefault="00142B68" w:rsidP="00142B68">
      <w:pPr>
        <w:spacing w:line="360" w:lineRule="auto"/>
        <w:jc w:val="both"/>
      </w:pPr>
    </w:p>
    <w:p w14:paraId="3CDA29F0" w14:textId="53C331CC" w:rsidR="00142B68" w:rsidRDefault="00142B68" w:rsidP="00142B68">
      <w:pPr>
        <w:spacing w:line="360" w:lineRule="auto"/>
        <w:jc w:val="both"/>
      </w:pPr>
      <w:r w:rsidRPr="00142B68">
        <w:t>Apart from contrasting the ATTs, Figure</w:t>
      </w:r>
      <w:r w:rsidRPr="00142B68">
        <w:t>~\ref{</w:t>
      </w:r>
      <w:r w:rsidRPr="00142B68">
        <w:t>f</w:t>
      </w:r>
      <w:r w:rsidRPr="00142B68">
        <w:t>ig:fourpanelESCompared</w:t>
      </w:r>
      <w:r w:rsidRPr="00142B68">
        <w:t xml:space="preserve">} compares how the CS and TWFE ES behave in each crime type. These graphs reveal that both have a similar evolution in most crimes, which again indicate that there is no bias in the TWFE specification. Additionally, </w:t>
      </w:r>
      <w:r w:rsidRPr="00142B68">
        <w:t>CS</w:t>
      </w:r>
      <w:r w:rsidRPr="00142B68">
        <w:t xml:space="preserve"> ES present more robust results as all crimes satisfy the parallel trends assumption, this indicates that Sexual Offenses and Theft to People CS estimates are more reliable.</w:t>
      </w:r>
      <w:r w:rsidR="00797C44">
        <w:t>\\</w:t>
      </w:r>
    </w:p>
    <w:p w14:paraId="26BE5A7B" w14:textId="77777777" w:rsidR="00142B68" w:rsidRDefault="00142B68" w:rsidP="00142B68">
      <w:pPr>
        <w:spacing w:line="360" w:lineRule="auto"/>
        <w:jc w:val="both"/>
      </w:pPr>
    </w:p>
    <w:p w14:paraId="10F2F7D1" w14:textId="6785887B" w:rsidR="00797C44" w:rsidRDefault="00797C44" w:rsidP="00797C44">
      <w:pPr>
        <w:spacing w:line="360" w:lineRule="auto"/>
        <w:jc w:val="both"/>
      </w:pPr>
      <w:r w:rsidRPr="00797C44">
        <w:t>Theft to people is the only crime category that exhibits a clear temporal trend in both the TWFE and CS event studies after the opening of the first OXXO store; however, the estimated trends differ in direction across the two specifications. These differences can be explained by the nature of each event</w:t>
      </w:r>
      <w:r>
        <w:t xml:space="preserve"> </w:t>
      </w:r>
      <w:r w:rsidRPr="00797C44">
        <w:t>study approach.</w:t>
      </w:r>
      <w:r w:rsidR="00142B68">
        <w:t xml:space="preserve"> </w:t>
      </w:r>
      <w:r w:rsidRPr="00797C44">
        <w:t xml:space="preserve">The TWFE specification only considers treated units and includes always-treated observations. </w:t>
      </w:r>
      <w:r>
        <w:t>I</w:t>
      </w:r>
      <w:r w:rsidR="00142B68">
        <w:t>n fact, during this perio</w:t>
      </w:r>
      <w:r>
        <w:t>d</w:t>
      </w:r>
      <w:r w:rsidR="00142B68">
        <w:t xml:space="preserve"> </w:t>
      </w:r>
      <w:r w:rsidR="00142B68">
        <w:t>(</w:t>
      </w:r>
      <w:r w:rsidR="00142B68">
        <w:t xml:space="preserve">from </w:t>
      </w:r>
      <w:r w:rsidR="00142B68">
        <w:t>2015 to 2018</w:t>
      </w:r>
      <w:r>
        <w:t>)</w:t>
      </w:r>
      <w:r w:rsidRPr="00797C44">
        <w:t>, 65</w:t>
      </w:r>
      <w:r>
        <w:t>\</w:t>
      </w:r>
      <w:r w:rsidRPr="00797C44">
        <w:t>% of the 2</w:t>
      </w:r>
      <w:r>
        <w:t>6</w:t>
      </w:r>
      <w:r w:rsidRPr="00797C44">
        <w:t xml:space="preserve"> treated UPZs were already treated at the beginning of the sample, leaving only nine UPZs that received treatment after 2015-Q1. In contrast, the CS excludes always-treated units and compares only these nine newly treated UPZs with not-yet-treated </w:t>
      </w:r>
      <w:r>
        <w:t>ones</w:t>
      </w:r>
      <w:r w:rsidRPr="00797C44">
        <w:t>.</w:t>
      </w:r>
      <w:r>
        <w:t xml:space="preserve"> </w:t>
      </w:r>
      <w:r w:rsidRPr="00797C44">
        <w:t xml:space="preserve">This indicates that the positive trend observed in the TWFE specification is largely driven by the always-treated UPZs, whereas the control units </w:t>
      </w:r>
      <w:r>
        <w:lastRenderedPageBreak/>
        <w:t xml:space="preserve">in the CS one </w:t>
      </w:r>
      <w:r w:rsidRPr="00797C44">
        <w:t>offset these differences by providing a more appropriate counterfactual.</w:t>
      </w:r>
      <w:r>
        <w:t xml:space="preserve"> </w:t>
      </w:r>
      <w:r w:rsidRPr="00797C44">
        <w:t>Overall, this evidence reinforces the interpretation that the TWFE coefficient for theft to people is biased and does not accurately identify the causal effect of OXXO entry.</w:t>
      </w:r>
      <w:r>
        <w:t>\\</w:t>
      </w:r>
    </w:p>
    <w:p w14:paraId="6FB892FD" w14:textId="77777777" w:rsidR="00797C44" w:rsidRDefault="00797C44" w:rsidP="00797C44">
      <w:pPr>
        <w:spacing w:line="360" w:lineRule="auto"/>
        <w:jc w:val="both"/>
      </w:pPr>
    </w:p>
    <w:p w14:paraId="54F9E629" w14:textId="6C10AF30" w:rsidR="00797C44" w:rsidRDefault="00797C44" w:rsidP="00797C44">
      <w:pPr>
        <w:spacing w:line="360" w:lineRule="auto"/>
        <w:jc w:val="both"/>
      </w:pPr>
      <w:r w:rsidRPr="00797C44">
        <w:t>Finally, Table~\ref{tab:resultados_regresion_intensity} presents the TWFE estimates using treatment intensity. The results differ substantially from those reported in Table~\ref{tab:resultados_regresion}. In particular, theft to people becomes positive and statistically significant, a finding that is consistent with the hypothesis that OXXO stores may act as crime attractors.</w:t>
      </w:r>
      <w:r w:rsidRPr="00797C44">
        <w:rPr>
          <w:color w:val="000000"/>
        </w:rPr>
        <w:t xml:space="preserve"> </w:t>
      </w:r>
      <w:r w:rsidRPr="00797C44">
        <w:t>However, the estimated magnitude is considerably large and raises concerns about the robustness of the result, particularly given the substantial variation in the estimated effect for theft to people across specifications. Theft to motorbike also becomes statistically significant while retaining a negative coefficient.</w:t>
      </w:r>
    </w:p>
    <w:p w14:paraId="16F7353E" w14:textId="77777777" w:rsidR="00797C44" w:rsidRDefault="00797C44" w:rsidP="00797C44">
      <w:pPr>
        <w:spacing w:line="360" w:lineRule="auto"/>
        <w:jc w:val="both"/>
      </w:pPr>
    </w:p>
    <w:p w14:paraId="70E7DB82" w14:textId="77777777" w:rsidR="00797C44" w:rsidRDefault="00797C44" w:rsidP="00797C44">
      <w:pPr>
        <w:spacing w:line="360" w:lineRule="auto"/>
        <w:jc w:val="both"/>
        <w:rPr>
          <w:lang w:val="en-US"/>
        </w:rPr>
      </w:pPr>
      <w:r w:rsidRPr="00797C44">
        <w:t xml:space="preserve">Incorporating treatment intensity constitutes a relevant extension of the baseline analysis, given the heterogeneous evolution in the number of OXXO stores across treatment cohorts illustrated in Figure~\ref{fig:Treatment_intensity}. The intensity specification may better capture differences in exposure to OXXO presence that are not reflected by a binary treatment indicator. Since the Callaway and Sant’Anna estimator is not defined for continuous treatment intensity, these estimates cannot be directly validated using </w:t>
      </w:r>
      <w:r>
        <w:t>this approach</w:t>
      </w:r>
      <w:r w:rsidRPr="00797C44">
        <w:t>.</w:t>
      </w:r>
      <w:r>
        <w:rPr>
          <w:lang w:val="en-US"/>
        </w:rPr>
        <w:t>\\</w:t>
      </w:r>
    </w:p>
    <w:p w14:paraId="7D81AB2D" w14:textId="77777777" w:rsidR="00797C44" w:rsidRDefault="00797C44" w:rsidP="00797C44">
      <w:pPr>
        <w:spacing w:line="360" w:lineRule="auto"/>
        <w:jc w:val="both"/>
        <w:rPr>
          <w:lang w:val="en-US"/>
        </w:rPr>
      </w:pPr>
    </w:p>
    <w:p w14:paraId="4AB64FB9" w14:textId="3F32ADD7" w:rsidR="00110BC0" w:rsidRPr="00797C44" w:rsidRDefault="00797C44" w:rsidP="000E0570">
      <w:pPr>
        <w:spacing w:line="360" w:lineRule="auto"/>
        <w:jc w:val="both"/>
      </w:pPr>
      <w:r w:rsidRPr="00797C44">
        <w:t xml:space="preserve">As an additional robustness check, I included the presence of other convenience store chains, namely Justo </w:t>
      </w:r>
      <w:r>
        <w:t>\</w:t>
      </w:r>
      <w:r w:rsidRPr="00797C44">
        <w:t>&amp; Bueno, D1, and Ara, as controls in all specifications. The inclusion of these variables did not substantially alter the main results. In general, the estimated effects became statistically insignificant across all crime categories and, in some cases, the violation of the parallel trends assumption became more pronounced. For the treatment-intensity specification, the coefficient for theft to people decreased in magnitude, although the overall pattern of results remained unchanged. The complete set of estimates is reported in Appendix~\ref{sec:otherresultstable}</w:t>
      </w:r>
      <w:r>
        <w:t>.</w:t>
      </w:r>
    </w:p>
    <w:p w14:paraId="7E5F48D8" w14:textId="77777777" w:rsidR="00797C44" w:rsidRDefault="00797C44" w:rsidP="000E0570">
      <w:pPr>
        <w:spacing w:line="360" w:lineRule="auto"/>
        <w:jc w:val="both"/>
      </w:pPr>
    </w:p>
    <w:p w14:paraId="0F633983" w14:textId="44E14B5F" w:rsidR="00797C44" w:rsidRPr="00797C44" w:rsidRDefault="00142B68" w:rsidP="00142B68">
      <w:pPr>
        <w:jc w:val="both"/>
        <w:rPr>
          <w:lang w:val="en-US"/>
        </w:rPr>
      </w:pPr>
      <w:commentRangeStart w:id="2"/>
      <w:r w:rsidRPr="00142B68">
        <w:rPr>
          <w:highlight w:val="magenta"/>
          <w:lang w:val="en-US"/>
        </w:rPr>
        <w:t xml:space="preserve">The number of UPZs used for the analysis was reduced compared to the number used in the </w:t>
      </w:r>
      <w:proofErr w:type="spellStart"/>
      <w:r w:rsidRPr="00142B68">
        <w:rPr>
          <w:highlight w:val="magenta"/>
          <w:lang w:val="en-US"/>
        </w:rPr>
        <w:t>Stadistical</w:t>
      </w:r>
      <w:proofErr w:type="spellEnd"/>
      <w:r w:rsidRPr="00142B68">
        <w:rPr>
          <w:highlight w:val="magenta"/>
          <w:lang w:val="en-US"/>
        </w:rPr>
        <w:t xml:space="preserve"> analysis section because there are some UPZs in which the number of OXXO establishments decreased over the years.</w:t>
      </w:r>
      <w:r>
        <w:rPr>
          <w:lang w:val="en-US"/>
        </w:rPr>
        <w:t xml:space="preserve"> </w:t>
      </w:r>
      <w:commentRangeEnd w:id="2"/>
      <w:r>
        <w:rPr>
          <w:rStyle w:val="CommentReference"/>
        </w:rPr>
        <w:commentReference w:id="2"/>
      </w:r>
    </w:p>
    <w:p w14:paraId="6286A16B" w14:textId="4CE885D6" w:rsidR="00142B68" w:rsidRDefault="00142B68" w:rsidP="00142B68">
      <w:pPr>
        <w:jc w:val="both"/>
        <w:rPr>
          <w:b/>
          <w:bCs/>
        </w:rPr>
      </w:pPr>
      <w:r>
        <w:rPr>
          <w:b/>
          <w:bCs/>
        </w:rPr>
        <w:lastRenderedPageBreak/>
        <w:t>ROBUSTNESS CHECKS</w:t>
      </w:r>
    </w:p>
    <w:p w14:paraId="0B4B4AF0" w14:textId="77777777" w:rsidR="00142B68" w:rsidRPr="00142B68" w:rsidRDefault="00142B68" w:rsidP="000E0570">
      <w:pPr>
        <w:spacing w:line="360" w:lineRule="auto"/>
        <w:jc w:val="both"/>
        <w:rPr>
          <w:lang w:val="en-US"/>
        </w:rPr>
      </w:pPr>
    </w:p>
    <w:p w14:paraId="5323A8E6" w14:textId="77777777" w:rsidR="003764A5" w:rsidRDefault="003764A5" w:rsidP="000E0570">
      <w:pPr>
        <w:spacing w:line="360" w:lineRule="auto"/>
        <w:jc w:val="both"/>
      </w:pPr>
    </w:p>
    <w:p w14:paraId="4F1D4080" w14:textId="77777777" w:rsidR="00110BC0" w:rsidRDefault="00110BC0" w:rsidP="000E0570">
      <w:pPr>
        <w:jc w:val="both"/>
        <w:rPr>
          <w:b/>
          <w:bCs/>
        </w:rPr>
      </w:pPr>
      <w:r>
        <w:rPr>
          <w:b/>
          <w:bCs/>
        </w:rPr>
        <w:t>DISCUSSION</w:t>
      </w:r>
    </w:p>
    <w:p w14:paraId="3040559A" w14:textId="77777777" w:rsidR="00110BC0" w:rsidRDefault="00110BC0" w:rsidP="000E0570">
      <w:pPr>
        <w:jc w:val="both"/>
        <w:rPr>
          <w:b/>
          <w:bCs/>
        </w:rPr>
      </w:pPr>
    </w:p>
    <w:p w14:paraId="5E5EE3DE" w14:textId="77777777" w:rsidR="00805CD5" w:rsidRPr="00825AAE" w:rsidRDefault="00805CD5" w:rsidP="00805CD5">
      <w:pPr>
        <w:spacing w:line="360" w:lineRule="auto"/>
        <w:ind w:firstLine="720"/>
        <w:jc w:val="both"/>
      </w:pPr>
      <w:r w:rsidRPr="00403628">
        <w:rPr>
          <w:highlight w:val="yellow"/>
        </w:rPr>
        <w:t>Their concentration in high foot-traffic areas increases the availability of potential targets for crimes such as robbery or assault</w:t>
      </w:r>
      <w:r>
        <w:rPr>
          <w:highlight w:val="yellow"/>
        </w:rPr>
        <w:t xml:space="preserve"> </w:t>
      </w:r>
      <w:r w:rsidRPr="00825AAE">
        <w:t>\parencite{Dugato2026, shin2024dollar}</w:t>
      </w:r>
      <w:r w:rsidRPr="00825AAE">
        <w:rPr>
          <w:highlight w:val="yellow"/>
        </w:rPr>
        <w:t>.</w:t>
      </w:r>
      <w:r w:rsidRPr="00825AAE">
        <w:t xml:space="preserve"> </w:t>
      </w:r>
      <w:r>
        <w:t>Moreover</w:t>
      </w:r>
      <w:r w:rsidRPr="00825AAE">
        <w:t xml:space="preserve">, due to their 24-hour format and alcohol sales during the night, OXXO locations </w:t>
      </w:r>
      <w:r>
        <w:t xml:space="preserve">may </w:t>
      </w:r>
      <w:r w:rsidRPr="00825AAE">
        <w:t xml:space="preserve">serve </w:t>
      </w:r>
      <w:r w:rsidRPr="00F51754">
        <w:t>as informal gathering point</w:t>
      </w:r>
      <w:r w:rsidRPr="00825AAE">
        <w:t xml:space="preserve">s </w:t>
      </w:r>
      <w:r w:rsidRPr="00403628">
        <w:t>which can, under certain conditions,</w:t>
      </w:r>
      <w:r>
        <w:t xml:space="preserve"> </w:t>
      </w:r>
      <w:r w:rsidRPr="00F51754">
        <w:t>escalate into conflicts or provide opportunities for illicit activities</w:t>
      </w:r>
      <w:r>
        <w:t xml:space="preserve"> \parencite</w:t>
      </w:r>
      <w:r w:rsidRPr="00825AAE">
        <w:t>{Dugato2026}</w:t>
      </w:r>
      <w:r w:rsidRPr="00F51754">
        <w:t>.</w:t>
      </w:r>
    </w:p>
    <w:p w14:paraId="29915F88" w14:textId="77777777" w:rsidR="00142B68" w:rsidRPr="00142B68" w:rsidRDefault="00142B68" w:rsidP="00142B68">
      <w:pPr>
        <w:jc w:val="both"/>
      </w:pPr>
      <w:r w:rsidRPr="00142B68">
        <w:t>First, property crimes like theft are highly sensitive to situational deterrence mechanisms. The typical business model of OXXO stores includes 24/7 bright exterior lighting, high-definition security cameras, and a continuous influx of pedestrian traffic. According to the Routine Activity Theory and Jane Jacobs' concept of "eyes on the street," this increased natural surveillance drastically reduces the window of opportunity for street-level robbers, who generally seek dark, isolated areas. This operational nature explains the negative direction of the theft coefficients.</w:t>
      </w:r>
    </w:p>
    <w:p w14:paraId="490AB22E" w14:textId="77777777" w:rsidR="00142B68" w:rsidRDefault="00142B68" w:rsidP="00142B68">
      <w:pPr>
        <w:jc w:val="both"/>
      </w:pPr>
      <w:r w:rsidRPr="00142B68">
        <w:t>Second, the contrast in statistical significance may be heavily driven by severe underreporting (</w:t>
      </w:r>
      <w:r w:rsidRPr="00142B68">
        <w:rPr>
          <w:i/>
          <w:iCs/>
        </w:rPr>
        <w:t>cifra negra</w:t>
      </w:r>
      <w:r w:rsidRPr="00142B68">
        <w:t>) in official administrative data. In Bogotá, the transaction costs and lack of institutional trust often discourage citizens from formally reporting street thefts, generating substantial measurement error and inflating standard errors (as observed in the large standard error of 7.804 in Column 1). Conversely, homicides suffer from zero underreporting; every lethal event is strictly recorded by forensic and judicial authorities. Therefore, the statistical precision found exclusively in Column (3) might reflect data reliability rather than a true absence of shifting patterns in other crimes.</w:t>
      </w:r>
    </w:p>
    <w:p w14:paraId="05B366B4" w14:textId="77777777" w:rsidR="00142B68" w:rsidRPr="00142B68" w:rsidRDefault="00142B68" w:rsidP="00142B68">
      <w:pPr>
        <w:jc w:val="both"/>
        <w:rPr>
          <w:lang w:val="en-US"/>
        </w:rPr>
      </w:pPr>
    </w:p>
    <w:p w14:paraId="3A627D61" w14:textId="77777777" w:rsidR="00142B68" w:rsidRPr="00142B68" w:rsidRDefault="00142B68" w:rsidP="00142B68">
      <w:pPr>
        <w:jc w:val="both"/>
      </w:pPr>
      <w:r w:rsidRPr="00142B68">
        <w:t>Finally, from a public order perspective, late-night convenience stores can inadvertently become focal points for nocturnal gatherings, alcohol consumption in adjacent public spaces, and minor disputes. In urban settings characterized by high baseline social friction, these dynamics can rapidly escalate into lethal altercations or gang-related territorial disputes. This phenomenon is widely documented in the "alcohol outlet density" literature, which links prolonged commercial hours with localized spikes in violent, rather than economic, crimes. Furthermore, since these estimates rely on a traditional Two-Way Fixed Effects (TWFE) framework under a staggered treatment design, part of this counterintuitive asymmetry could be exacerbated by negative weighting biases. If treatment effects vary dynamically over time, the traditional estimator might distort the true trajectory of property crime, a methodological limitation that highlights the necessity of the heterogeneous treatment robust estimators presented in the subsequent sections.</w:t>
      </w:r>
    </w:p>
    <w:p w14:paraId="184DCAD5" w14:textId="77777777" w:rsidR="00110BC0" w:rsidRPr="00142B68" w:rsidRDefault="00110BC0" w:rsidP="000E0570">
      <w:pPr>
        <w:jc w:val="both"/>
      </w:pPr>
    </w:p>
    <w:p w14:paraId="4303F94B" w14:textId="7AB56D78" w:rsidR="003764A5" w:rsidRPr="00142B68" w:rsidRDefault="00142B68" w:rsidP="00142B68">
      <w:pPr>
        <w:pStyle w:val="ListParagraph"/>
        <w:numPr>
          <w:ilvl w:val="0"/>
          <w:numId w:val="26"/>
        </w:numPr>
        <w:jc w:val="both"/>
      </w:pPr>
      <w:r w:rsidRPr="00142B68">
        <w:t>Change the unit of analysis</w:t>
      </w:r>
    </w:p>
    <w:p w14:paraId="2AE50FEE" w14:textId="310F4E77" w:rsidR="00142B68" w:rsidRDefault="00142B68" w:rsidP="00142B68">
      <w:pPr>
        <w:pStyle w:val="ListParagraph"/>
        <w:numPr>
          <w:ilvl w:val="0"/>
          <w:numId w:val="26"/>
        </w:numPr>
        <w:jc w:val="both"/>
        <w:rPr>
          <w:b/>
          <w:bCs/>
        </w:rPr>
      </w:pPr>
      <w:r w:rsidRPr="00142B68">
        <w:t>Treatment intensity plays a major role</w:t>
      </w:r>
    </w:p>
    <w:p w14:paraId="05C3C0FC" w14:textId="77777777" w:rsidR="00142B68" w:rsidRPr="00142B68" w:rsidRDefault="00142B68" w:rsidP="00142B68">
      <w:pPr>
        <w:pStyle w:val="ListParagraph"/>
        <w:numPr>
          <w:ilvl w:val="0"/>
          <w:numId w:val="26"/>
        </w:numPr>
        <w:jc w:val="both"/>
        <w:rPr>
          <w:b/>
          <w:bCs/>
        </w:rPr>
      </w:pPr>
    </w:p>
    <w:p w14:paraId="0D6E3EAB" w14:textId="77777777" w:rsidR="003764A5" w:rsidRDefault="003764A5" w:rsidP="000E0570">
      <w:pPr>
        <w:jc w:val="both"/>
        <w:rPr>
          <w:b/>
          <w:bCs/>
        </w:rPr>
      </w:pPr>
    </w:p>
    <w:p w14:paraId="7B6B1130" w14:textId="77777777" w:rsidR="00110BC0" w:rsidRPr="00142B68" w:rsidRDefault="00110BC0" w:rsidP="000E0570">
      <w:pPr>
        <w:jc w:val="both"/>
        <w:rPr>
          <w:b/>
          <w:bCs/>
        </w:rPr>
      </w:pPr>
      <w:r w:rsidRPr="00142B68">
        <w:rPr>
          <w:b/>
          <w:bCs/>
        </w:rPr>
        <w:t>CONCLUSIONS</w:t>
      </w:r>
    </w:p>
    <w:p w14:paraId="557F4709" w14:textId="77777777" w:rsidR="00110BC0" w:rsidRPr="00825AAE" w:rsidRDefault="00110BC0" w:rsidP="000E0570">
      <w:pPr>
        <w:jc w:val="both"/>
        <w:rPr>
          <w:b/>
          <w:bCs/>
        </w:rPr>
      </w:pPr>
    </w:p>
    <w:p w14:paraId="0ED513FE" w14:textId="77777777" w:rsidR="00110BC0" w:rsidRPr="00142B68" w:rsidRDefault="00110BC0" w:rsidP="000E0570">
      <w:pPr>
        <w:spacing w:line="360" w:lineRule="auto"/>
        <w:jc w:val="both"/>
        <w:rPr>
          <w:lang w:val="es-ES_tradnl"/>
        </w:rPr>
      </w:pPr>
    </w:p>
    <w:p w14:paraId="57E3940C" w14:textId="77777777" w:rsidR="003764A5" w:rsidRPr="00142B68" w:rsidRDefault="003764A5" w:rsidP="000E0570">
      <w:pPr>
        <w:spacing w:line="360" w:lineRule="auto"/>
        <w:jc w:val="both"/>
        <w:rPr>
          <w:lang w:val="es-ES_tradnl"/>
        </w:rPr>
      </w:pPr>
    </w:p>
    <w:p w14:paraId="1F6CA415" w14:textId="49B320E1" w:rsidR="00110BC0" w:rsidRPr="00142B68" w:rsidRDefault="00142B68" w:rsidP="000E0570">
      <w:pPr>
        <w:spacing w:line="360" w:lineRule="auto"/>
        <w:jc w:val="both"/>
        <w:rPr>
          <w:b/>
          <w:bCs/>
        </w:rPr>
      </w:pPr>
      <w:r w:rsidRPr="00142B68">
        <w:rPr>
          <w:b/>
          <w:bCs/>
        </w:rPr>
        <w:t>ACKNOWLEDGEMENTS</w:t>
      </w:r>
    </w:p>
    <w:p w14:paraId="6C6948DD" w14:textId="77777777" w:rsidR="00461212" w:rsidRPr="00142B68" w:rsidRDefault="00461212" w:rsidP="000E0570">
      <w:pPr>
        <w:jc w:val="both"/>
        <w:rPr>
          <w:lang w:val="es-ES_tradnl"/>
        </w:rPr>
      </w:pPr>
    </w:p>
    <w:sectPr w:rsidR="00461212" w:rsidRPr="00142B6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 w:id="1" w:author="Sophia Aristizabal Florez" w:date="2026-05-31T16:58:00Z" w:initials="SA">
    <w:p w14:paraId="6E204841" w14:textId="77777777" w:rsidR="00797C44" w:rsidRDefault="00797C44" w:rsidP="00797C44">
      <w:r>
        <w:rPr>
          <w:rStyle w:val="CommentReference"/>
        </w:rPr>
        <w:annotationRef/>
      </w:r>
      <w:r>
        <w:rPr>
          <w:strike/>
          <w:color w:val="000000"/>
          <w:sz w:val="20"/>
          <w:szCs w:val="20"/>
        </w:rPr>
        <w:t>Columns (3) and (4) show that sexual offenses constitute the second category and the only crime type for which the estimates differ substantially across specifications. The CS ATT is positive, a result that completely changes the interpretation of the effect. However, since both estimates are statistically insignificant, there is insufficient evidence to conclude that OXXO presence has any meaningful effect on this type of crime.\\</w:t>
      </w:r>
    </w:p>
    <w:p w14:paraId="557C8981" w14:textId="77777777" w:rsidR="00797C44" w:rsidRDefault="00797C44" w:rsidP="00797C44"/>
  </w:comment>
  <w:comment w:id="2" w:author="Sophia Aristizabal Florez" w:date="2026-05-28T00:00:00Z" w:initials="SA">
    <w:p w14:paraId="7A5310A8" w14:textId="52DB8443" w:rsidR="00142B68" w:rsidRDefault="00142B68" w:rsidP="00142B68">
      <w:r>
        <w:rPr>
          <w:rStyle w:val="CommentReference"/>
        </w:rPr>
        <w:annotationRef/>
      </w:r>
      <w:r>
        <w:rPr>
          <w:color w:val="000000"/>
          <w:sz w:val="20"/>
          <w:szCs w:val="20"/>
        </w:rPr>
        <w:t>FOOTNOTE</w:t>
      </w:r>
    </w:p>
    <w:p w14:paraId="6354BE00" w14:textId="77777777" w:rsidR="00142B68" w:rsidRDefault="00142B68" w:rsidP="00142B68"/>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Ex w15:paraId="557C8981" w15:done="0"/>
  <w15:commentEx w15:paraId="6354B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commentExtensible w16cex:durableId="743A4DFE" w16cex:dateUtc="2026-05-31T21:58:00Z"/>
  <w16cex:commentExtensible w16cex:durableId="709562DF" w16cex:dateUtc="2026-05-28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Id w16cid:paraId="557C8981" w16cid:durableId="743A4DFE"/>
  <w16cid:commentId w16cid:paraId="6354BE00" w16cid:durableId="709562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1"/>
  </w:num>
  <w:num w:numId="4" w16cid:durableId="2048605629">
    <w:abstractNumId w:val="20"/>
  </w:num>
  <w:num w:numId="5" w16cid:durableId="1593197863">
    <w:abstractNumId w:val="2"/>
  </w:num>
  <w:num w:numId="6" w16cid:durableId="396440588">
    <w:abstractNumId w:val="6"/>
  </w:num>
  <w:num w:numId="7" w16cid:durableId="333798383">
    <w:abstractNumId w:val="3"/>
  </w:num>
  <w:num w:numId="8" w16cid:durableId="50153963">
    <w:abstractNumId w:val="12"/>
  </w:num>
  <w:num w:numId="9" w16cid:durableId="1839999092">
    <w:abstractNumId w:val="22"/>
  </w:num>
  <w:num w:numId="10" w16cid:durableId="578178246">
    <w:abstractNumId w:val="5"/>
  </w:num>
  <w:num w:numId="11" w16cid:durableId="1794400765">
    <w:abstractNumId w:val="9"/>
  </w:num>
  <w:num w:numId="12" w16cid:durableId="840118670">
    <w:abstractNumId w:val="8"/>
  </w:num>
  <w:num w:numId="13" w16cid:durableId="608006391">
    <w:abstractNumId w:val="14"/>
  </w:num>
  <w:num w:numId="14" w16cid:durableId="485437180">
    <w:abstractNumId w:val="26"/>
  </w:num>
  <w:num w:numId="15" w16cid:durableId="1562254479">
    <w:abstractNumId w:val="10"/>
  </w:num>
  <w:num w:numId="16" w16cid:durableId="115758307">
    <w:abstractNumId w:val="15"/>
  </w:num>
  <w:num w:numId="17" w16cid:durableId="2082289489">
    <w:abstractNumId w:val="4"/>
  </w:num>
  <w:num w:numId="18" w16cid:durableId="1954047476">
    <w:abstractNumId w:val="7"/>
  </w:num>
  <w:num w:numId="19" w16cid:durableId="455103429">
    <w:abstractNumId w:val="25"/>
  </w:num>
  <w:num w:numId="20" w16cid:durableId="75129681">
    <w:abstractNumId w:val="23"/>
  </w:num>
  <w:num w:numId="21" w16cid:durableId="445084733">
    <w:abstractNumId w:val="18"/>
  </w:num>
  <w:num w:numId="22" w16cid:durableId="1110004299">
    <w:abstractNumId w:val="16"/>
  </w:num>
  <w:num w:numId="23" w16cid:durableId="1213539767">
    <w:abstractNumId w:val="17"/>
  </w:num>
  <w:num w:numId="24" w16cid:durableId="548415093">
    <w:abstractNumId w:val="24"/>
  </w:num>
  <w:num w:numId="25" w16cid:durableId="289014505">
    <w:abstractNumId w:val="19"/>
  </w:num>
  <w:num w:numId="26" w16cid:durableId="576062608">
    <w:abstractNumId w:val="13"/>
  </w:num>
  <w:num w:numId="27" w16cid:durableId="80369521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22252"/>
    <w:rsid w:val="0002396D"/>
    <w:rsid w:val="00034B71"/>
    <w:rsid w:val="000A05F5"/>
    <w:rsid w:val="000A1B8A"/>
    <w:rsid w:val="000A2859"/>
    <w:rsid w:val="000B0876"/>
    <w:rsid w:val="000B19B8"/>
    <w:rsid w:val="000C01BD"/>
    <w:rsid w:val="000E0570"/>
    <w:rsid w:val="000E6AD7"/>
    <w:rsid w:val="00110314"/>
    <w:rsid w:val="00110BC0"/>
    <w:rsid w:val="00140DED"/>
    <w:rsid w:val="00142B68"/>
    <w:rsid w:val="00150115"/>
    <w:rsid w:val="00190367"/>
    <w:rsid w:val="001F442A"/>
    <w:rsid w:val="002124F0"/>
    <w:rsid w:val="00222392"/>
    <w:rsid w:val="00224D30"/>
    <w:rsid w:val="00233DD7"/>
    <w:rsid w:val="00292195"/>
    <w:rsid w:val="002976AA"/>
    <w:rsid w:val="002B1A32"/>
    <w:rsid w:val="002B26EA"/>
    <w:rsid w:val="002D0E0C"/>
    <w:rsid w:val="0030134F"/>
    <w:rsid w:val="00307F61"/>
    <w:rsid w:val="00362E8A"/>
    <w:rsid w:val="003674D2"/>
    <w:rsid w:val="003764A5"/>
    <w:rsid w:val="00377ACC"/>
    <w:rsid w:val="00385DB0"/>
    <w:rsid w:val="003D0437"/>
    <w:rsid w:val="003D47FC"/>
    <w:rsid w:val="003E6E14"/>
    <w:rsid w:val="004026C2"/>
    <w:rsid w:val="00403628"/>
    <w:rsid w:val="00440A32"/>
    <w:rsid w:val="004523D7"/>
    <w:rsid w:val="00452CDD"/>
    <w:rsid w:val="00460973"/>
    <w:rsid w:val="00461212"/>
    <w:rsid w:val="00495227"/>
    <w:rsid w:val="004C3992"/>
    <w:rsid w:val="004D2E35"/>
    <w:rsid w:val="0058432E"/>
    <w:rsid w:val="00591F63"/>
    <w:rsid w:val="005C7DDF"/>
    <w:rsid w:val="005E3B96"/>
    <w:rsid w:val="00675C1D"/>
    <w:rsid w:val="00686573"/>
    <w:rsid w:val="0069295C"/>
    <w:rsid w:val="006939DF"/>
    <w:rsid w:val="006C43CA"/>
    <w:rsid w:val="006D38EA"/>
    <w:rsid w:val="00716C4D"/>
    <w:rsid w:val="007270EA"/>
    <w:rsid w:val="007646E9"/>
    <w:rsid w:val="007919DE"/>
    <w:rsid w:val="00797C44"/>
    <w:rsid w:val="00797D31"/>
    <w:rsid w:val="007B4D1B"/>
    <w:rsid w:val="007B58A0"/>
    <w:rsid w:val="007E2425"/>
    <w:rsid w:val="00804AE7"/>
    <w:rsid w:val="00805CD5"/>
    <w:rsid w:val="00813305"/>
    <w:rsid w:val="00825AAE"/>
    <w:rsid w:val="00832C7A"/>
    <w:rsid w:val="00847CB7"/>
    <w:rsid w:val="00877D6D"/>
    <w:rsid w:val="008977E2"/>
    <w:rsid w:val="008C0C9B"/>
    <w:rsid w:val="008C7737"/>
    <w:rsid w:val="00905271"/>
    <w:rsid w:val="009076DB"/>
    <w:rsid w:val="00930F56"/>
    <w:rsid w:val="00932B7F"/>
    <w:rsid w:val="009338BE"/>
    <w:rsid w:val="00936F3F"/>
    <w:rsid w:val="009419D5"/>
    <w:rsid w:val="00943FBD"/>
    <w:rsid w:val="00953CCC"/>
    <w:rsid w:val="00956E09"/>
    <w:rsid w:val="00975B87"/>
    <w:rsid w:val="009A3AC5"/>
    <w:rsid w:val="009B24C5"/>
    <w:rsid w:val="009B6164"/>
    <w:rsid w:val="00A275A7"/>
    <w:rsid w:val="00A402DE"/>
    <w:rsid w:val="00A4299E"/>
    <w:rsid w:val="00A556CA"/>
    <w:rsid w:val="00A951DA"/>
    <w:rsid w:val="00AC33E5"/>
    <w:rsid w:val="00AD2CCA"/>
    <w:rsid w:val="00AE6684"/>
    <w:rsid w:val="00AF71D8"/>
    <w:rsid w:val="00B02CBC"/>
    <w:rsid w:val="00B10052"/>
    <w:rsid w:val="00B14C2B"/>
    <w:rsid w:val="00B63870"/>
    <w:rsid w:val="00B665F8"/>
    <w:rsid w:val="00B7304B"/>
    <w:rsid w:val="00BC714D"/>
    <w:rsid w:val="00BD38CE"/>
    <w:rsid w:val="00BF40EB"/>
    <w:rsid w:val="00C03D24"/>
    <w:rsid w:val="00C13F1C"/>
    <w:rsid w:val="00C56504"/>
    <w:rsid w:val="00C70867"/>
    <w:rsid w:val="00C91C04"/>
    <w:rsid w:val="00C93D0D"/>
    <w:rsid w:val="00CB7A9B"/>
    <w:rsid w:val="00CE704B"/>
    <w:rsid w:val="00CF4925"/>
    <w:rsid w:val="00D17B0E"/>
    <w:rsid w:val="00D27DAF"/>
    <w:rsid w:val="00D402B4"/>
    <w:rsid w:val="00D41B6C"/>
    <w:rsid w:val="00D503A7"/>
    <w:rsid w:val="00D54378"/>
    <w:rsid w:val="00D6239C"/>
    <w:rsid w:val="00D63E77"/>
    <w:rsid w:val="00D76483"/>
    <w:rsid w:val="00DD21C1"/>
    <w:rsid w:val="00DE4CC2"/>
    <w:rsid w:val="00E146CA"/>
    <w:rsid w:val="00E871D0"/>
    <w:rsid w:val="00E9445B"/>
    <w:rsid w:val="00ED6E43"/>
    <w:rsid w:val="00EF4323"/>
    <w:rsid w:val="00F00921"/>
    <w:rsid w:val="00F12B49"/>
    <w:rsid w:val="00F41D71"/>
    <w:rsid w:val="00F51754"/>
    <w:rsid w:val="00F7487D"/>
    <w:rsid w:val="00FD06B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C4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24</Pages>
  <Words>7274</Words>
  <Characters>41465</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66</cp:revision>
  <dcterms:created xsi:type="dcterms:W3CDTF">2026-03-30T21:39:00Z</dcterms:created>
  <dcterms:modified xsi:type="dcterms:W3CDTF">2026-05-31T22:19:00Z</dcterms:modified>
</cp:coreProperties>
</file>