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slc10r78qns" w:id="0"/>
      <w:bookmarkEnd w:id="0"/>
      <w:r w:rsidDel="00000000" w:rsidR="00000000" w:rsidRPr="00000000">
        <w:rPr>
          <w:rtl w:val="0"/>
        </w:rPr>
        <w:t xml:space="preserve">LAMA PARTNERS — Fund II Thesis</w:t>
      </w:r>
    </w:p>
    <w:p w:rsidR="00000000" w:rsidDel="00000000" w:rsidP="00000000" w:rsidRDefault="00000000" w:rsidRPr="00000000" w14:paraId="00000002">
      <w:pPr>
        <w:rPr/>
      </w:pPr>
      <w:r w:rsidDel="00000000" w:rsidR="00000000" w:rsidRPr="00000000">
        <w:rPr>
          <w:b w:val="1"/>
          <w:bCs w:val="1"/>
          <w:rtl w:val="0"/>
        </w:rPr>
        <w:t xml:space="preserve">The AI-Native Fund for Agentic Labor in Cyber + IT Operations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Internal — May 2026 — v11</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hwmneemynojb" w:id="1"/>
      <w:bookmarkEnd w:id="1"/>
      <w:r w:rsidDel="00000000" w:rsidR="00000000" w:rsidRPr="00000000">
        <w:rPr>
          <w:rtl w:val="0"/>
        </w:rPr>
        <w:t xml:space="preserve">The Thesis</w:t>
      </w:r>
    </w:p>
    <w:p w:rsidR="00000000" w:rsidDel="00000000" w:rsidP="00000000" w:rsidRDefault="00000000" w:rsidRPr="00000000" w14:paraId="00000008">
      <w:pPr>
        <w:rPr/>
      </w:pPr>
      <w:r w:rsidDel="00000000" w:rsidR="00000000" w:rsidRPr="00000000">
        <w:rPr>
          <w:rtl w:val="0"/>
        </w:rPr>
        <w:t xml:space="preserve">Lama Partners Fund II backs high-agency founders building AI-native companies that solve enterprise labor pain, starting in cyber and adjacent IT operations.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market is moving from buying tools to buying outcomes — work that gets done. The buyer is no longer just the CISO; it's the CIO, CTO, and Chief AI Transformation Officer. The founder is no longer a credentialed builder; it's a high-agency operator who can deliver tasks, not just ship features. The product is not a single delivery model; it's the right mix of agents, software, and human-in-the-loop that the customer's pain demands.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the Outcomes Playbook, and we're defining it now — in the window before the category settles.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were early. Every Fund I company is on this thesis. We have the team, the portfolio proof, the operator credibility, and the buyer access to lead this playbook the way CyberStarts led the last one. Fund II is what conviction at full strength looks like.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racvdarisqup" w:id="2"/>
      <w:bookmarkEnd w:id="2"/>
      <w:r w:rsidDel="00000000" w:rsidR="00000000" w:rsidRPr="00000000">
        <w:rPr>
          <w:rtl w:val="0"/>
        </w:rPr>
        <w:t xml:space="preserve">Why Now: The Platform Shift — and Where Value Accretes</w:t>
      </w:r>
    </w:p>
    <w:p w:rsidR="00000000" w:rsidDel="00000000" w:rsidP="00000000" w:rsidRDefault="00000000" w:rsidRPr="00000000" w14:paraId="00000012">
      <w:pPr>
        <w:rPr/>
      </w:pPr>
      <w:r w:rsidDel="00000000" w:rsidR="00000000" w:rsidRPr="00000000">
        <w:rPr>
          <w:rtl w:val="0"/>
        </w:rPr>
        <w:t xml:space="preserve">Every 10–15 years, a platform shift resets which companies capture value and which become irrelevant. Mainframes gave way to PCs. PCs gave way to the web. The web gave way to mobile. Each time, the funds and founders who won were those who understood not just that the shift was happening, but where value would accrete within it. Generative AI is that shift. We are at the beginning of it — the enterprise adoption curve is still early, the playbooks are still being written, and the category names have not settled.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 not a product cycle update inside the Israeli cyber world. It is a full reset of which investors, which founders, and which go-to-market motions win. The 2020–2026 Israeli cyber playbook was built for the pre-shift world. The Outcomes Playbook is the first playbook native to the new 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Where value accretes — and why we are positioned there.</w:t>
      </w:r>
      <w:r w:rsidDel="00000000" w:rsidR="00000000" w:rsidRPr="00000000">
        <w:rPr>
          <w:rtl w:val="0"/>
        </w:rPr>
        <w:t xml:space="preserve"> The most instructive historical parallel is mobile telecommunications. Global mobile data traffic compounded at extraordinary rates for a decade — and mobile network stocks flatlined for the same period. The use-cases and value-capture were built entirely by the people above the infrastructure layer. Mobile carriers built the pipes; everyone else built the value.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LLMs are tracking the same curve. Frontier model performance is converging across all major labs, with no clear network effects at the model layer. Inference efficiency is improving 50–100x per year. Open-source models are closing the gap to proprietary ones for most enterprise use-cases. The infrastructure is becoming commodity — and that is not a risk to this thesis. It is the precondition for it. When the pipes become cheap and interchangeable, value concentrates at the application and outcomes layer. Lama is building in the application and outcomes layer. We are not the infrastructure. We are what runs on top of it — and we are investing in the companies that deliver the outcomes that infrastructure makes possible.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The deployment gap is the market.</w:t>
      </w:r>
      <w:r w:rsidDel="00000000" w:rsidR="00000000" w:rsidRPr="00000000">
        <w:rPr>
          <w:rtl w:val="0"/>
        </w:rPr>
        <w:t xml:space="preserve"> Enterprise AI adoption is moving faster than any prior technology cycle — and it is still stuck in pilot hell at scale. Across every enterprise function — software, customer service, IT, sales, operations — the pattern is consistent: roughly 60–75% of large enterprises have an AI pilot; fewer than 30–40% have reached production deployment in any given function (Bain, Q3 2025). That gap between pilot and production is not closing on its own. It requires exactly what Lama's portfolio companies provide: founders with domain depth who can close the first outcome SOW, deliver a measurable result, and build toward a product once the pattern is established. The deployment gap is the market. It is large, it is durable, and it is unserved by horizontal platforms.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The window.</w:t>
      </w:r>
      <w:r w:rsidDel="00000000" w:rsidR="00000000" w:rsidRPr="00000000">
        <w:rPr>
          <w:rtl w:val="0"/>
        </w:rPr>
        <w:t xml:space="preserve"> Based on historical platform shift timelines, the window in which a new fund can own the category narrative is approximately 18–36 months from the moment consumer adoption inflects into enterprise production. ChatGPT's enterprise inflection was roughly late 2024. That puts the naming window at 2025–2027. We are raising in the middle of it, with a portfolio that already maps to the thesis. That timing is not a coincidence — it is the result of adapting early. Fund II captures the cohort.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Israeli cyber playbook that defined 2020–2026 isn't dead — it's narrowing to the category where it has always been strongest: defined markets, established CISO buying patterns, documented GTM motions. What's forming alongside it is a new layer — the Outcomes Playbook — built for a different kind of company and a different kind of buyer. Both playbooks are operating simultaneously. The Outcomes layer is gaining share, and the fund that defines it now captures the cohort.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table below shows the factors that have historically driven early-stage fund selection, and where we see meaningful weight shifting as agentic labor companies emerge as a distinct category.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Established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Emerging Outcomes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Talent /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Credentials first (8200, second-time founders)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High agency first, credentials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Shifting — high agency increasingly decisive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Market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CISO-led, consensus-driven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Multi-modal: CISO + CTO + CIO + Chief AI Transformation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Expanding buyer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Funding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Top Israeli fund as anchor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Starts the same — evolves as buyer patterns settle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Stable for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Revenue / 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Product ARR, 9–12 months to first deal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Service-start. Existing labor + SaaS budgets. Revenue before product 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New path emerging alongside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Follow-on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Arial Unicode MS" w:cs="Arial Unicode MS" w:eastAsia="Arial Unicode MS" w:hAnsi="Arial Unicode MS"/>
                <w:rtl w:val="0"/>
              </w:rPr>
              <w:t xml:space="preserve">Tier-1 IL → US generalist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Thought leadership creates pull. Category-defining funds attract the cohort.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Shifting — thesis alignment matters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Hype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Portfolio momentum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Agentic transformation + service-provider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New signal forming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Buyers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CISO at enterprise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Same starting point — broadening to CIO/CTO/CAITO as agentic spend disperses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Expanding, not replacing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Operator / Founder 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Lama leads — historically lowest-weighted factor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Lama leads — weight rising fastest; already decisive for agentic labor founders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Rising significantly — our strongest edge</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inflection is directional, not binary. In defined markets where the GTM motion is documented and the buyer relationship is established, network access remains the dominant factor. As agentic labor companies emerge — navigating undefined buyer categories, inventing the procurement playbook, delivering outcomes rather than shipping features — founders are already choosing investors differently. Operator-founder fit, the factor that has historically ranked last, is rising fastest and is already the decisive factor for the founders building in this category.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We don't need the shift to be complete to benefit from its direction. We need to be the fund best positioned for where the weight is going — and we already lead the competitive set on the factor that is rising.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syr5xkhul9ov" w:id="3"/>
      <w:bookmarkEnd w:id="3"/>
      <w:r w:rsidDel="00000000" w:rsidR="00000000" w:rsidRPr="00000000">
        <w:rPr>
          <w:rtl w:val="0"/>
        </w:rPr>
        <w:t xml:space="preserve">We Were Already Playing the New Playbook</w:t>
      </w:r>
    </w:p>
    <w:p w:rsidR="00000000" w:rsidDel="00000000" w:rsidP="00000000" w:rsidRDefault="00000000" w:rsidRPr="00000000" w14:paraId="0000004D">
      <w:pPr>
        <w:rPr/>
      </w:pPr>
      <w:r w:rsidDel="00000000" w:rsidR="00000000" w:rsidRPr="00000000">
        <w:rPr>
          <w:rtl w:val="0"/>
        </w:rPr>
        <w:t xml:space="preserve">Sophisticated LPs will look at Fund I and ask whether Fund II is a pivot. It isn't. </w:t>
      </w:r>
      <w:r w:rsidDel="00000000" w:rsidR="00000000" w:rsidRPr="00000000">
        <w:rPr>
          <w:b w:val="1"/>
          <w:bCs w:val="1"/>
          <w:rtl w:val="0"/>
        </w:rPr>
        <w:t xml:space="preserve">Every single Fund I company is on the Outcomes Playbook thesis.</w:t>
      </w:r>
      <w:r w:rsidDel="00000000" w:rsidR="00000000" w:rsidRPr="00000000">
        <w:rPr>
          <w:rtl w:val="0"/>
        </w:rPr>
        <w:t xml:space="preserve"> We saw the inflection before the market named it, redirected mid-cycle, and have the portfolio to prove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What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How It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Terra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Agentic pen-testing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Labor replacement — pen-test consultants. Canonical Mode 1 inception.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IR newco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Agentic incident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Labor replacement — IR consultants. Service-start model in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Root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Autonomous supply chain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Labor replacement — dev/sec engineers patching CVEs at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Jit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DevSecOps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Labor replacement — AppSec engineers. Early labor-replacement before the term was crisp.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Vento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Agentic RevOps (validated, not seeded)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Labor replacement — RevOps teams. Right thesis, wrong founders — we held the discipline.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Capsule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Runtime security for AI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Enables safe agentic adoption</w:t>
            </w:r>
            <w:r w:rsidDel="00000000" w:rsidR="00000000" w:rsidRPr="00000000">
              <w:rPr>
                <w:rtl w:val="0"/>
              </w:rPr>
              <w:t xml:space="preserve"> — the infrastructure layer for the entire 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Orion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AI-native data loss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Enables data readiness for the AI era</w:t>
            </w:r>
            <w:r w:rsidDel="00000000" w:rsidR="00000000" w:rsidRPr="00000000">
              <w:rPr>
                <w:rtl w:val="0"/>
              </w:rPr>
              <w:t xml:space="preserve"> — what every enterprise needs to put data into AI pipelines safely.</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5 of 7 portfolio companies are direct labor-replacement plays. The other 2 are the infrastructure that makes labor replacement safe at enterprise scale.</w:t>
      </w:r>
      <w:r w:rsidDel="00000000" w:rsidR="00000000" w:rsidRPr="00000000">
        <w:rPr>
          <w:rtl w:val="0"/>
        </w:rPr>
        <w:t xml:space="preserve"> 100% of the portfolio is on the Outcomes Playbook thesis. There is no other Israeli fund with this concentration.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Fund I taught us that AI hit an inflection mid-cycle and the fund that adapts fastest wins. We adapted. Fund II is the concentrated, deliberate version of what adaptation already produced organically.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bn5i4tq5xp7" w:id="4"/>
      <w:bookmarkEnd w:id="4"/>
      <w:r w:rsidDel="00000000" w:rsidR="00000000" w:rsidRPr="00000000">
        <w:rPr>
          <w:rtl w:val="0"/>
        </w:rPr>
        <w:t xml:space="preserve">Why We're Set Up to Win</w:t>
      </w:r>
    </w:p>
    <w:p w:rsidR="00000000" w:rsidDel="00000000" w:rsidP="00000000" w:rsidRDefault="00000000" w:rsidRPr="00000000" w14:paraId="0000006E">
      <w:pPr>
        <w:rPr/>
      </w:pPr>
      <w:r w:rsidDel="00000000" w:rsidR="00000000" w:rsidRPr="00000000">
        <w:rPr>
          <w:rtl w:val="0"/>
        </w:rPr>
        <w:t xml:space="preserve">Six reasons, in order of weight.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1. Operator-founder fit is the fastest-rising selection factor — and in the category we back, it's already decisive.</w:t>
      </w:r>
      <w:r w:rsidDel="00000000" w:rsidR="00000000" w:rsidRPr="00000000">
        <w:rPr>
          <w:rtl w:val="0"/>
        </w:rPr>
        <w:t xml:space="preserve"> Every honest competitive analysis of Israeli early-stage funds places Lama at the top on operator credibility. In defined markets with established GTM motions, this has been a marginal advantage — network access dominated. In agentic labor companies — where founders are navigating buyers who have never procured outcomes before, inventing the pilot-to-production motion, and operating without a documented playbook — founders are already choosing investors with clear eyes about what they actually need. That's an investor who has operated in that fog before, not one who has observed it. The weight of this factor is rising structurally, and we are already leading on it.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2. We have already proven the inception model at standard economics.</w:t>
      </w:r>
      <w:r w:rsidDel="00000000" w:rsidR="00000000" w:rsidRPr="00000000">
        <w:rPr>
          <w:rtl w:val="0"/>
        </w:rPr>
        <w:t xml:space="preserve"> Terra is the canonical proof: we identified agentic pen-testing as a category before it had a name, co-built the founding team, deployed at standard seed economics, and landed a Fortune 500 customer without a CISO network. The model works. Fund II runs it ~1x/year on top of 2-3 Mode 2 redirections.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3. Our portfolio is the proof of the thesis.</w:t>
      </w:r>
      <w:r w:rsidDel="00000000" w:rsidR="00000000" w:rsidRPr="00000000">
        <w:rPr>
          <w:rtl w:val="0"/>
        </w:rPr>
        <w:t xml:space="preserve"> A new fund pitching the Outcomes Playbook has to argue conceptually. We point at our cap table. Terra, IR newco, Root, Jit, Vento, Capsule, Orion — every company maps. LPs and founders see momentum, not pivot.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4. The buyer is shifting in our direction.</w:t>
      </w:r>
      <w:r w:rsidDel="00000000" w:rsidR="00000000" w:rsidRPr="00000000">
        <w:rPr>
          <w:rtl w:val="0"/>
        </w:rPr>
        <w:t xml:space="preserve"> Traditional Israeli cyber funds are optimized for CISO relationships. The buyer for agentic labor in cyber + IT ops is increasingly the CIO, CTO, or Chief AI Transformation Officer. We have direct relationships at NHL, Sixth, Kava, BigPanda, and others — and we're building the AI Transformation Council to systematize it.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5. The follow-on path is the strongest it has ever been — and it is thesis-aligned.</w:t>
      </w:r>
      <w:r w:rsidDel="00000000" w:rsidR="00000000" w:rsidRPr="00000000">
        <w:rPr>
          <w:rtl w:val="0"/>
        </w:rPr>
        <w:t xml:space="preserve"> a16z, Sequoia, and NFX are not just circling this thesis. They have published conviction on it. a16z's "Services as Software" framework (2025) names exactly the service-start productization model we run: companies that previously delivered professional services now deliver those outcomes as a software subscription. Sequoia has been explicit that the most defensible AI companies complete multi-step tasks autonomously rather than providing AI features to existing workflows — the founding premise of every labor-replacement company in our portfolio. NFX has argued that the durable moat in AI businesses comes from proprietary workflow data and institutional learning, not from the model itself.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This is not a situation where we hope these funds will be interested at Series A. We are building exactly the category they have stated publicly they will fund. Our founders arrive at a16z, Sequoia, or NFX pre-explained — which is a fundamentally different path than the traditional Israeli fund bridge to a US generalist who needs to be convinced.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6. We are high-agency people backing high-agency founders.</w:t>
      </w:r>
      <w:r w:rsidDel="00000000" w:rsidR="00000000" w:rsidRPr="00000000">
        <w:rPr>
          <w:rtl w:val="0"/>
        </w:rPr>
        <w:t xml:space="preserve"> Mirror match. Our team's working style — creative problem-solving, leverage over headcount, no-permission-needed execution — is the founder profile that wins in agentic labor companies. The Working Genius mapping confirms it: we are wired for invention, discernment, and galvanizing. That's the founder profile we recognize because it's our own.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cv0o1ixe0lj" w:id="5"/>
      <w:bookmarkEnd w:id="5"/>
      <w:r w:rsidDel="00000000" w:rsidR="00000000" w:rsidRPr="00000000">
        <w:rPr>
          <w:rtl w:val="0"/>
        </w:rPr>
        <w:t xml:space="preserve">How We Win: Four Compounding Layers</w:t>
      </w:r>
    </w:p>
    <w:p w:rsidR="00000000" w:rsidDel="00000000" w:rsidP="00000000" w:rsidRDefault="00000000" w:rsidRPr="00000000" w14:paraId="00000080">
      <w:pPr>
        <w:pStyle w:val="Heading3"/>
        <w:rPr/>
      </w:pPr>
      <w:bookmarkStart w:colFirst="0" w:colLast="0" w:name="_g6u6manklqz9" w:id="6"/>
      <w:bookmarkEnd w:id="6"/>
      <w:r w:rsidDel="00000000" w:rsidR="00000000" w:rsidRPr="00000000">
        <w:rPr>
          <w:rtl w:val="0"/>
        </w:rPr>
        <w:t xml:space="preserve">Layer 1 — The AI Transformation Council</w:t>
      </w:r>
    </w:p>
    <w:p w:rsidR="00000000" w:rsidDel="00000000" w:rsidP="00000000" w:rsidRDefault="00000000" w:rsidRPr="00000000" w14:paraId="00000081">
      <w:pPr>
        <w:rPr/>
      </w:pPr>
      <w:r w:rsidDel="00000000" w:rsidR="00000000" w:rsidRPr="00000000">
        <w:rPr>
          <w:rtl w:val="0"/>
        </w:rPr>
        <w:t xml:space="preserve">A 30–50 person buyer-side network of CIOs, CISOs, CTOs, and Chief AI Transformation Officers actively running agentic transformation programs at mid-market and enterprise companies. Quarterly working sessions on outcome-based procurement: SOW structures, value measurement, vendor risk when products evolve weekly, integration of agentic delivery into existing operations.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Members get peer benchmarks. Portfolio companies get qualified design partners and procurement-ready buyers. Lama gets sourcing intelligence, content material, and category authority.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is the demand-side analog to CyberStarts' CISO network — but built for the buyer that is forming, not the buyer that is settled. The fund that builds it first owns the category.</w:t>
      </w:r>
    </w:p>
    <w:p w:rsidR="00000000" w:rsidDel="00000000" w:rsidP="00000000" w:rsidRDefault="00000000" w:rsidRPr="00000000" w14:paraId="00000086">
      <w:pPr>
        <w:pStyle w:val="Heading3"/>
        <w:rPr/>
      </w:pPr>
      <w:bookmarkStart w:colFirst="0" w:colLast="0" w:name="_p2qxqh24f308" w:id="7"/>
      <w:bookmarkEnd w:id="7"/>
      <w:r w:rsidDel="00000000" w:rsidR="00000000" w:rsidRPr="00000000">
        <w:rPr>
          <w:rtl w:val="0"/>
        </w:rPr>
        <w:t xml:space="preserve">Layer 2 — The Pocket-Mapping Content Engine</w:t>
      </w:r>
    </w:p>
    <w:p w:rsidR="00000000" w:rsidDel="00000000" w:rsidP="00000000" w:rsidRDefault="00000000" w:rsidRPr="00000000" w14:paraId="00000087">
      <w:pPr>
        <w:rPr/>
      </w:pPr>
      <w:r w:rsidDel="00000000" w:rsidR="00000000" w:rsidRPr="00000000">
        <w:rPr>
          <w:rtl w:val="0"/>
        </w:rPr>
        <w:t xml:space="preserve">Quarterly public publication of the agentic labor map for cyber + IT ops: which service lines are ripe, what the labor arbitrage math looks like, what buyer signals matter, what we want to see in a founder attacking each pocket.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is how we define the playbook publicly. It compounds into category authority, inbound founder flow, and LP confidence. First public pocket map publishes within 90 days.</w:t>
      </w:r>
    </w:p>
    <w:p w:rsidR="00000000" w:rsidDel="00000000" w:rsidP="00000000" w:rsidRDefault="00000000" w:rsidRPr="00000000" w14:paraId="0000008A">
      <w:pPr>
        <w:pStyle w:val="Heading3"/>
        <w:rPr/>
      </w:pPr>
      <w:bookmarkStart w:colFirst="0" w:colLast="0" w:name="_62g940jt6xs6" w:id="8"/>
      <w:bookmarkEnd w:id="8"/>
      <w:r w:rsidDel="00000000" w:rsidR="00000000" w:rsidRPr="00000000">
        <w:rPr>
          <w:rtl w:val="0"/>
        </w:rPr>
        <w:t xml:space="preserve">Layer 3 — Agent-Augmented Fund Operations</w:t>
      </w:r>
    </w:p>
    <w:p w:rsidR="00000000" w:rsidDel="00000000" w:rsidP="00000000" w:rsidRDefault="00000000" w:rsidRPr="00000000" w14:paraId="0000008B">
      <w:pPr>
        <w:rPr/>
      </w:pPr>
      <w:r w:rsidDel="00000000" w:rsidR="00000000" w:rsidRPr="00000000">
        <w:rPr>
          <w:rtl w:val="0"/>
        </w:rPr>
        <w:t xml:space="preserve">We use the labor-replacement playbook on ourselves. Council operations, content cadence, deal-flow hygiene, founder-update aggregation, intro tracking, and portfolio-support glue run through an internal agent stack.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This solves two things at once. It closes the Tenacity-and-Enablement gap on the partner team without two senior platform hires. And it gives us live proof of the thesis — when an LP, a founder, or a Council member asks how we operate, the answer is the answer we're selling.</w:t>
      </w:r>
    </w:p>
    <w:p w:rsidR="00000000" w:rsidDel="00000000" w:rsidP="00000000" w:rsidRDefault="00000000" w:rsidRPr="00000000" w14:paraId="0000008E">
      <w:pPr>
        <w:pStyle w:val="Heading3"/>
        <w:rPr/>
      </w:pPr>
      <w:bookmarkStart w:colFirst="0" w:colLast="0" w:name="_8h54654z4inu" w:id="9"/>
      <w:bookmarkEnd w:id="9"/>
      <w:r w:rsidDel="00000000" w:rsidR="00000000" w:rsidRPr="00000000">
        <w:rPr>
          <w:rtl w:val="0"/>
        </w:rPr>
        <w:t xml:space="preserve">Layer 4 — The VC Harness: Lama's Agentic Operating System</w:t>
      </w:r>
    </w:p>
    <w:p w:rsidR="00000000" w:rsidDel="00000000" w:rsidP="00000000" w:rsidRDefault="00000000" w:rsidRPr="00000000" w14:paraId="0000008F">
      <w:pPr>
        <w:rPr/>
      </w:pPr>
      <w:r w:rsidDel="00000000" w:rsidR="00000000" w:rsidRPr="00000000">
        <w:rPr>
          <w:rtl w:val="0"/>
        </w:rPr>
        <w:t xml:space="preserve">The harness is what makes the first three layers verifiable, scalable, and compounding. It is not a feature or a platform service. It is the operating system of the fund — the engine that makes the flywheel spin faster and smarter with every cycle.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flywheel: </w:t>
      </w:r>
      <w:r w:rsidDel="00000000" w:rsidR="00000000" w:rsidRPr="00000000">
        <w:rPr>
          <w:rFonts w:ascii="Arial Unicode MS" w:cs="Arial Unicode MS" w:eastAsia="Arial Unicode MS" w:hAnsi="Arial Unicode MS"/>
          <w:b w:val="1"/>
          <w:bCs w:val="1"/>
          <w:rtl w:val="0"/>
        </w:rPr>
        <w:t xml:space="preserve">Attract best founders → Reduce founder risk → Fast traction → Best follow-on investors → Strong results → Better LPs → Attract best founders.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harness makes each step faster, better-informed, and more repeatable than the last. It compounds across the fund lifecycle. After Fund II, Lama will have run 10–12 companies through the agentic labor playbook. The harness will carry the pattern recognition of every pocket validated, every failure mode encountered, and every Series A successfully seeded. That is not replicable by capital alone.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Four stages, one continuous system:</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i w:val="1"/>
          <w:iCs w:val="1"/>
          <w:rtl w:val="0"/>
        </w:rPr>
        <w:t xml:space="preserve">Deal Flow — founders arrive already known.</w:t>
      </w:r>
      <w:r w:rsidDel="00000000" w:rsidR="00000000" w:rsidRPr="00000000">
        <w:rPr>
          <w:rtl w:val="0"/>
        </w:rPr>
        <w:t xml:space="preserve"> Before a founder walks in the door, the harness has already mapped their category, tracked the competitive landscape, and scored the pocket against the thesis. The first conversation starts at peer level, not orientation. </w:t>
      </w:r>
      <w:r w:rsidDel="00000000" w:rsidR="00000000" w:rsidRPr="00000000">
        <w:rPr>
          <w:i w:val="1"/>
          <w:iCs w:val="1"/>
          <w:rtl w:val="0"/>
        </w:rPr>
        <w:t xml:space="preserve">Agents: competitive landscape monitor · pocket signal tracker · thesis match scoring</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i w:val="1"/>
          <w:iCs w:val="1"/>
          <w:rtl w:val="0"/>
        </w:rPr>
        <w:t xml:space="preserve">Onboarding — Day 1 context, not month 6.</w:t>
      </w:r>
      <w:r w:rsidDel="00000000" w:rsidR="00000000" w:rsidRPr="00000000">
        <w:rPr>
          <w:rtl w:val="0"/>
        </w:rPr>
        <w:t xml:space="preserve"> A new portfolio company gets immediate access to the full intelligence layer: pocket brief, design partner introductions from the Council, playbook orientation for their stage, and a clear model of what good looks like next. </w:t>
      </w:r>
      <w:r w:rsidDel="00000000" w:rsidR="00000000" w:rsidRPr="00000000">
        <w:rPr>
          <w:i w:val="1"/>
          <w:iCs w:val="1"/>
          <w:rtl w:val="0"/>
        </w:rPr>
        <w:t xml:space="preserve">Agents: pocket brief generator · Council intro routing · playbook orientation · stage gate briefing</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rtl w:val="0"/>
        </w:rPr>
        <w:t xml:space="preserve">Active Portfolio — continuous push, not episodic check-ins.</w:t>
      </w:r>
      <w:r w:rsidDel="00000000" w:rsidR="00000000" w:rsidRPr="00000000">
        <w:rPr>
          <w:rtl w:val="0"/>
        </w:rPr>
        <w:t xml:space="preserve"> The harness monitors each company against the playbook and pushes forward continuously. The call evaluator surfaces what the founder is missing in customer discovery. The sales coach runs pipeline reviews. The competitive scan flags market shifts before the founder sees them in a pitch. </w:t>
      </w:r>
      <w:r w:rsidDel="00000000" w:rsidR="00000000" w:rsidRPr="00000000">
        <w:rPr>
          <w:i w:val="1"/>
          <w:iCs w:val="1"/>
          <w:rtl w:val="0"/>
        </w:rPr>
        <w:t xml:space="preserve">Agents: call evaluator · sales coach · pipeline review · competitive scan · weekly market brief</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i w:val="1"/>
          <w:iCs w:val="1"/>
          <w:rtl w:val="0"/>
        </w:rPr>
        <w:t xml:space="preserve">Follow-On Ready — Series A arrives pre-seeded.</w:t>
      </w:r>
      <w:r w:rsidDel="00000000" w:rsidR="00000000" w:rsidRPr="00000000">
        <w:rPr>
          <w:rtl w:val="0"/>
        </w:rPr>
        <w:t xml:space="preserve"> When a portfolio company approaches Series A readiness, the harness has already prepared the ground. Relationships with a16z, Sequoia, and NFX have been warm for months. The narrative package — gate progression, outcome proof, pocket validation — is built continuously, not assembled under deadline. </w:t>
      </w:r>
      <w:r w:rsidDel="00000000" w:rsidR="00000000" w:rsidRPr="00000000">
        <w:rPr>
          <w:i w:val="1"/>
          <w:iCs w:val="1"/>
          <w:rtl w:val="0"/>
        </w:rPr>
        <w:t xml:space="preserve">Agents: LP signal tracker · follow-on intro routing · narrative package generator</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Why it compounds.</w:t>
      </w:r>
      <w:r w:rsidDel="00000000" w:rsidR="00000000" w:rsidRPr="00000000">
        <w:rPr>
          <w:rtl w:val="0"/>
        </w:rPr>
        <w:t xml:space="preserve"> The harness gets smarter with every company that runs through it. Each successful service-to-product transition adds to the playbook layer's model of what that inflection looks like. Each pocket validated adds to the context layer's map of where the labor arbitrage is real. Each Series A that closes with a thesis-aligned investor strengthens the follow-on relationships for the next company.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Lama as its own first proof of concept.</w:t>
      </w:r>
      <w:r w:rsidDel="00000000" w:rsidR="00000000" w:rsidRPr="00000000">
        <w:rPr>
          <w:rtl w:val="0"/>
        </w:rPr>
        <w:t xml:space="preserve"> When a founder asks "do you actually believe the agentic labor thesis?" the answer is not a slide. The answer is: watch how we operate. The fund's own operations run through the harness. Council management, content publishing, deal-flow hygiene, founder update aggregation, LP communications — all of it runs through an agent stack. We are not evangelizing a thesis we observe from the outside. We are the first company to run the playbook on ourselves.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also solves the operational gap every early-stage fund faces. The partner team's natural energy is in invention, discernment, and conviction — not in repetitive cadence work. The harness closes that gap without platform hires. The work that fits no partner's flow gets agentified. That is the thesis applied to us.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i w:val="1"/>
          <w:iCs w:val="1"/>
          <w:rtl w:val="0"/>
        </w:rPr>
        <w:t xml:space="preserve">The harness is how Lama answers the hardest LP question: what can you do that a top US fund cannot replicate in 18 months? Capital can fund any of our companies. Capital cannot manufacture the context, the playbook, or the compounding intelligence that comes from running this system deliberately across a full fund cycle.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4pwmrm53z7la" w:id="10"/>
      <w:bookmarkEnd w:id="10"/>
      <w:r w:rsidDel="00000000" w:rsidR="00000000" w:rsidRPr="00000000">
        <w:rPr>
          <w:rtl w:val="0"/>
        </w:rPr>
        <w:t xml:space="preserve">What "High Agency" Means</w:t>
      </w:r>
    </w:p>
    <w:p w:rsidR="00000000" w:rsidDel="00000000" w:rsidP="00000000" w:rsidRDefault="00000000" w:rsidRPr="00000000" w14:paraId="000000AA">
      <w:pPr>
        <w:rPr/>
      </w:pPr>
      <w:r w:rsidDel="00000000" w:rsidR="00000000" w:rsidRPr="00000000">
        <w:rPr>
          <w:rtl w:val="0"/>
        </w:rPr>
        <w:t xml:space="preserve">We use the term deliberately. Working definition: </w:t>
      </w:r>
      <w:r w:rsidDel="00000000" w:rsidR="00000000" w:rsidRPr="00000000">
        <w:rPr>
          <w:b w:val="1"/>
          <w:bCs w:val="1"/>
          <w:rtl w:val="0"/>
        </w:rPr>
        <w:t xml:space="preserve">high-agency founders are creative in delivering outcomes, get past hurdles that stop others, leverage other people more effectively than non-high-agency operators — and can invent new questions, not just solve defined problems.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That last element matters for the specific category we back. The most valuable thing agentic AI enables is not doing old tasks cheaper — it is asking questions that were previously impossible to ask. What were the top concerns across every customer call in the last six months? Which vulnerabilities in this enterprise's environment look like each other in ways no analyst would notice individually? A founder who can only automate an existing workflow is building a cost-reduction play. A founder who can redesign the question — who can see what becomes possible when a million observations are cheap to process — is building a new category. That is the founder profile Lama backs.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High agency is also the founder profile that Fund I's bad equity terms repelled. Standard economics in Fund II, premium thesis-shaping — that's how we attract them and keep them.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pStyle w:val="Heading2"/>
        <w:rPr/>
      </w:pPr>
      <w:bookmarkStart w:colFirst="0" w:colLast="0" w:name="_phsucqvyajyd" w:id="11"/>
      <w:bookmarkEnd w:id="11"/>
      <w:r w:rsidDel="00000000" w:rsidR="00000000" w:rsidRPr="00000000">
        <w:rPr>
          <w:rtl w:val="0"/>
        </w:rPr>
        <w:t xml:space="preserve">Bottom Line</w:t>
      </w:r>
    </w:p>
    <w:p w:rsidR="00000000" w:rsidDel="00000000" w:rsidP="00000000" w:rsidRDefault="00000000" w:rsidRPr="00000000" w14:paraId="000000B1">
      <w:pPr>
        <w:rPr/>
      </w:pPr>
      <w:r w:rsidDel="00000000" w:rsidR="00000000" w:rsidRPr="00000000">
        <w:rPr>
          <w:rtl w:val="0"/>
        </w:rPr>
        <w:t xml:space="preserve">The Israeli cyber playbook is intact for now. The Outcomes Playbook is forming, and the rules invert in our favor — operator-founder fit moves from the least important factor to the most important. We were early. The portfolio proves it. The team is built for it. The structural moves are designed around how each of us actually operates.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macro is on our side. The platform shift that made the prior playbook possible is now resetting which funds capture value. The model layer is commoditizing, which concentrates value exactly where we play. The enterprise deployment gap is large, documented, and unserved by horizontal tools. The follow-on funds are already writing our thesis for us.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Fund I taught us how to adapt. Fund II is what conviction looks like when adaptation has already produced proof.</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i w:val="1"/>
          <w:iCs w:val="1"/>
          <w:rtl w:val="0"/>
        </w:rPr>
        <w:t xml:space="preserve">Lama Partners — Confidential, Internal — May 2026 — v11</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pStyle w:val="Heading1"/>
        <w:rPr/>
      </w:pPr>
      <w:bookmarkStart w:colFirst="0" w:colLast="0" w:name="_hlw9ohnwh0bi" w:id="12"/>
      <w:bookmarkEnd w:id="12"/>
      <w:r w:rsidDel="00000000" w:rsidR="00000000" w:rsidRPr="00000000">
        <w:rPr>
          <w:rtl w:val="0"/>
        </w:rPr>
        <w:t xml:space="preserve">Addendum A — Operator-Founder Fit: What It Is and Why It's Now the Most Important Factor</w:t>
      </w:r>
    </w:p>
    <w:p w:rsidR="00000000" w:rsidDel="00000000" w:rsidP="00000000" w:rsidRDefault="00000000" w:rsidRPr="00000000" w14:paraId="000000BC">
      <w:pPr>
        <w:rPr/>
      </w:pPr>
      <w:r w:rsidDel="00000000" w:rsidR="00000000" w:rsidRPr="00000000">
        <w:rPr>
          <w:i w:val="1"/>
          <w:iCs w:val="1"/>
          <w:rtl w:val="0"/>
        </w:rPr>
        <w:t xml:space="preserve">This addendum is for anyone not in the original thesis conversations. It unpacks the claim that operator-founder fit is the load-bearing argument for Lama's competitive position in Fund II.</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pPr>
      <w:bookmarkStart w:colFirst="0" w:colLast="0" w:name="_1vkz59t87dob" w:id="13"/>
      <w:bookmarkEnd w:id="13"/>
      <w:r w:rsidDel="00000000" w:rsidR="00000000" w:rsidRPr="00000000">
        <w:rPr>
          <w:rtl w:val="0"/>
        </w:rPr>
        <w:t xml:space="preserve">The Plain Definition</w:t>
      </w:r>
    </w:p>
    <w:p w:rsidR="00000000" w:rsidDel="00000000" w:rsidP="00000000" w:rsidRDefault="00000000" w:rsidRPr="00000000" w14:paraId="000000C0">
      <w:pPr>
        <w:rPr/>
      </w:pPr>
      <w:r w:rsidDel="00000000" w:rsidR="00000000" w:rsidRPr="00000000">
        <w:rPr>
          <w:rtl w:val="0"/>
        </w:rPr>
        <w:t xml:space="preserve">Operator-founder fit is the degree to which an investor's lived operating experience matches the actual work the founder needs to do right now. It's not about résumés. It's about whether the conversation between investor and founder is peer-to-peer or advisory.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It operates at three levels: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Domain fit</w:t>
      </w:r>
      <w:r w:rsidDel="00000000" w:rsidR="00000000" w:rsidRPr="00000000">
        <w:rPr>
          <w:rtl w:val="0"/>
        </w:rPr>
        <w:t xml:space="preserve"> — Did you build in this market? Do you understand the buying dynamics, the technical constraints, the competitive landscape from the inside, not from a pitch deck?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Functional fit</w:t>
      </w:r>
      <w:r w:rsidDel="00000000" w:rsidR="00000000" w:rsidRPr="00000000">
        <w:rPr>
          <w:rtl w:val="0"/>
        </w:rPr>
        <w:t xml:space="preserve"> — Have you done the specific job this stage requires? A CTO-turned-investor and a CEO-turned-investor bring completely different value to a founding team depending on whether the current bottleneck is technical architecture or enterprise sales motion.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Stage fit</w:t>
      </w:r>
      <w:r w:rsidDel="00000000" w:rsidR="00000000" w:rsidRPr="00000000">
        <w:rPr>
          <w:rtl w:val="0"/>
        </w:rPr>
        <w:t xml:space="preserve"> — Have you operated at the scale this company is moving through </w:t>
      </w:r>
      <w:r w:rsidDel="00000000" w:rsidR="00000000" w:rsidRPr="00000000">
        <w:rPr>
          <w:i w:val="1"/>
          <w:iCs w:val="1"/>
          <w:rtl w:val="0"/>
        </w:rPr>
        <w:t xml:space="preserve">right now</w:t>
      </w:r>
      <w:r w:rsidDel="00000000" w:rsidR="00000000" w:rsidRPr="00000000">
        <w:rPr>
          <w:rtl w:val="0"/>
        </w:rPr>
        <w:t xml:space="preserve">? A founder navigating from $0 to $3M ARR in a service-start model needs different help than one scaling from $10M to $50M. The investor who has done exactly that transition is worth ten who have observed it.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High operator-founder fit means all three levels are engaged simultaneously. At Lama, across five partners with $1B+ in combined exits, they are.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rPr/>
      </w:pPr>
      <w:bookmarkStart w:colFirst="0" w:colLast="0" w:name="_ro6o2og8bymv" w:id="14"/>
      <w:bookmarkEnd w:id="14"/>
      <w:r w:rsidDel="00000000" w:rsidR="00000000" w:rsidRPr="00000000">
        <w:rPr>
          <w:rtl w:val="0"/>
        </w:rPr>
        <w:t xml:space="preserve">Why the Weight of This Factor Is Increasing</w:t>
      </w:r>
    </w:p>
    <w:p w:rsidR="00000000" w:rsidDel="00000000" w:rsidP="00000000" w:rsidRDefault="00000000" w:rsidRPr="00000000" w14:paraId="000000CE">
      <w:pPr>
        <w:rPr/>
      </w:pPr>
      <w:r w:rsidDel="00000000" w:rsidR="00000000" w:rsidRPr="00000000">
        <w:rPr>
          <w:rtl w:val="0"/>
        </w:rPr>
        <w:t xml:space="preserve">In the established Israeli cyber playbook, operator-founder fit has historically ranked last in how founders chose investors. That's not a failure of judgment — it reflects the economics of a defined market. When the buying pattern is consensus-driven, the GTM motion is documented, and the product category is named, founders need </w:t>
      </w:r>
      <w:r w:rsidDel="00000000" w:rsidR="00000000" w:rsidRPr="00000000">
        <w:rPr>
          <w:i w:val="1"/>
          <w:iCs w:val="1"/>
          <w:rtl w:val="0"/>
        </w:rPr>
        <w:t xml:space="preserve">access</w:t>
      </w:r>
      <w:r w:rsidDel="00000000" w:rsidR="00000000" w:rsidRPr="00000000">
        <w:rPr>
          <w:rtl w:val="0"/>
        </w:rPr>
        <w:t xml:space="preserve"> more than they need </w:t>
      </w:r>
      <w:r w:rsidDel="00000000" w:rsidR="00000000" w:rsidRPr="00000000">
        <w:rPr>
          <w:i w:val="1"/>
          <w:iCs w:val="1"/>
          <w:rtl w:val="0"/>
        </w:rPr>
        <w:t xml:space="preserve">operators</w:t>
      </w:r>
      <w:r w:rsidDel="00000000" w:rsidR="00000000" w:rsidRPr="00000000">
        <w:rPr>
          <w:rtl w:val="0"/>
        </w:rPr>
        <w:t xml:space="preserve">. The fund that opens the CISO door, signals to the Series A market, and keeps the partner available wins. CyberStarts built the best CISO network in the world and dominated accordingly. That playbook still works.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What is changing is the emergence of a distinct category alongside it. Agentic labor companies are not competing in a defined market. The buyer is fragmenting — CISO plus CIO plus CTO plus CAITO. The GTM motion is being invented. The right product mix (agents, software, human-in-the-loop) is different for every pocket. Outcome-based SOWs have never been written at scale in these categories. Founders making decisions every week face ambiguity that has no precedent in the prior playbook, and they need someone in the room who has navigated that level of ambiguity before — not someone who has watched others do it.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shift is directional, not a completed inversion. In defined cyber categories, network access remains dominant and probably always will be. But for founders building labor-replacement companies — the specific category we back — operator-founder fit is already the decisive factor in how the best founders are making their investor decisions. We don't need the broader market to complete this shift for Fund II to perform. We need the founders building agentic labor companies to keep choosing investors the way they are already starting to choose them. The evidence is in our own portfolio.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pStyle w:val="Heading2"/>
        <w:rPr/>
      </w:pPr>
      <w:bookmarkStart w:colFirst="0" w:colLast="0" w:name="_g31gqzxgdz5f" w:id="15"/>
      <w:bookmarkEnd w:id="15"/>
      <w:r w:rsidDel="00000000" w:rsidR="00000000" w:rsidRPr="00000000">
        <w:rPr>
          <w:rtl w:val="0"/>
        </w:rPr>
        <w:t xml:space="preserve">Why It Compounds</w:t>
      </w:r>
    </w:p>
    <w:p w:rsidR="00000000" w:rsidDel="00000000" w:rsidP="00000000" w:rsidRDefault="00000000" w:rsidRPr="00000000" w14:paraId="000000D5">
      <w:pPr>
        <w:rPr/>
      </w:pPr>
      <w:r w:rsidDel="00000000" w:rsidR="00000000" w:rsidRPr="00000000">
        <w:rPr>
          <w:rtl w:val="0"/>
        </w:rPr>
        <w:t xml:space="preserve">Founders talk. In any tight founder community, the single highest-signal recommendation is one founder telling another: "this investor actually helped me build the thing, not just opened doors." In the old playbook, the recommendation was "CyberStarts will open the CISO door." In the new playbook, the recommendation starts to be "Lama will help you figure out the GTM motion nobody has figured out yet."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That reputation compounds. Each Fund II portfolio company that successfully navigates pilot-to-production, service-to-product, or first enterprise outcome sale becomes a referral engine. a16z has operators on every team, but they're spread across 50+ active investments per partner. Lama has five domain-relevant operators concentrated on 10–12 companies. The density per founder is unmatched at this stage.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e7wp1fclgx5m" w:id="16"/>
      <w:bookmarkEnd w:id="16"/>
      <w:r w:rsidDel="00000000" w:rsidR="00000000" w:rsidRPr="00000000">
        <w:rPr>
          <w:rtl w:val="0"/>
        </w:rPr>
        <w:t xml:space="preserve">The Honest Limit</w:t>
      </w:r>
    </w:p>
    <w:p w:rsidR="00000000" w:rsidDel="00000000" w:rsidP="00000000" w:rsidRDefault="00000000" w:rsidRPr="00000000" w14:paraId="000000DB">
      <w:pPr>
        <w:rPr/>
      </w:pPr>
      <w:r w:rsidDel="00000000" w:rsidR="00000000" w:rsidRPr="00000000">
        <w:rPr>
          <w:rtl w:val="0"/>
        </w:rPr>
        <w:t xml:space="preserve">Operator-founder fit doesn't replace buyer access — it complements it. We are building the AI Transformation Council specifically to close the buyer-access gap against CyberStarts and Team8. The bet is not operator fit alone versus buyer access alone. The bet is operator fit </w:t>
      </w:r>
      <w:r w:rsidDel="00000000" w:rsidR="00000000" w:rsidRPr="00000000">
        <w:rPr>
          <w:i w:val="1"/>
          <w:iCs w:val="1"/>
          <w:rtl w:val="0"/>
        </w:rPr>
        <w:t xml:space="preserve">plus</w:t>
      </w:r>
      <w:r w:rsidDel="00000000" w:rsidR="00000000" w:rsidRPr="00000000">
        <w:rPr>
          <w:rtl w:val="0"/>
        </w:rPr>
        <w:t xml:space="preserve"> a serious buyer-side Council beats buyer access </w:t>
      </w:r>
      <w:r w:rsidDel="00000000" w:rsidR="00000000" w:rsidRPr="00000000">
        <w:rPr>
          <w:i w:val="1"/>
          <w:iCs w:val="1"/>
          <w:rtl w:val="0"/>
        </w:rPr>
        <w:t xml:space="preserve">minus</w:t>
      </w:r>
      <w:r w:rsidDel="00000000" w:rsidR="00000000" w:rsidRPr="00000000">
        <w:rPr>
          <w:rtl w:val="0"/>
        </w:rPr>
        <w:t xml:space="preserve"> operator depth in the new playbook. We're stacking, not trading.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