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Distinction by Design: Innovation Patterns and Network Embeddedness Among Scientific Prizewinners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Keywords</w:t>
        <w:br w:type="textWrapping"/>
      </w:r>
      <w:r w:rsidDel="00000000" w:rsidR="00000000" w:rsidRPr="00000000">
        <w:rPr>
          <w:rtl w:val="0"/>
        </w:rPr>
        <w:t xml:space="preserve">Scientific recognition; Innovation strategy; Prizewinners; Network embeddedness; Research originality; Scientometrics; Collaboration networks; Impact metrics; Computational social science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l00ajl0ybm7" w:id="0"/>
      <w:bookmarkEnd w:id="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Scientific prizes serve as one of the most visible forms of symbolic recognition in the global research ecosystem. Yet, despite their cultural prominence and perceived meritocratic nature, relatively little is known about whether—and how—prizewinning researchers distinguish themselves not only in terms of outcomes, such as citation counts, but also in their underlying research strategies, collaborative behaviors, and network positions. This study investigates the cognitive and social patterns that differentiate prizewinners from similarly productive non-winners, with particular attention to how innovation and embeddedness interact to shape recognition outcomes.</w:t>
      </w:r>
    </w:p>
    <w:p w:rsidR="00000000" w:rsidDel="00000000" w:rsidP="00000000" w:rsidRDefault="00000000" w:rsidRPr="00000000" w14:paraId="00000006">
      <w:pPr>
        <w:spacing w:after="240" w:before="240" w:lineRule="auto"/>
        <w:rPr/>
      </w:pPr>
      <w:r w:rsidDel="00000000" w:rsidR="00000000" w:rsidRPr="00000000">
        <w:rPr>
          <w:rtl w:val="0"/>
        </w:rPr>
        <w:t xml:space="preserve">While prior literature has emphasized the productivity and impact of prizewinners, our approach shifts the focus to </w:t>
      </w:r>
      <w:r w:rsidDel="00000000" w:rsidR="00000000" w:rsidRPr="00000000">
        <w:rPr>
          <w:i w:val="1"/>
          <w:iCs w:val="1"/>
          <w:rtl w:val="0"/>
        </w:rPr>
        <w:t xml:space="preserve">how </w:t>
      </w:r>
      <w:r w:rsidDel="00000000" w:rsidR="00000000" w:rsidRPr="00000000">
        <w:rPr>
          <w:rtl w:val="0"/>
        </w:rPr>
        <w:t xml:space="preserve">prizewinners construct knowledge—through their thematic originality, risk profile, and disciplinary reach—and </w:t>
      </w:r>
      <w:r w:rsidDel="00000000" w:rsidR="00000000" w:rsidRPr="00000000">
        <w:rPr>
          <w:i w:val="1"/>
          <w:iCs w:val="1"/>
          <w:rtl w:val="0"/>
        </w:rPr>
        <w:t xml:space="preserve">where</w:t>
      </w:r>
      <w:r w:rsidDel="00000000" w:rsidR="00000000" w:rsidRPr="00000000">
        <w:rPr>
          <w:rtl w:val="0"/>
        </w:rPr>
        <w:t xml:space="preserve">they are positioned in the scientific collaboration network. We hypothesize that prizewinners not only generate high-impact work, but do so through distinctive innovation styles, characterized by exploratory search, cross-boundary contributions, and selective network embeddedness that enables both visibility and autonomy.</w:t>
      </w:r>
    </w:p>
    <w:p w:rsidR="00000000" w:rsidDel="00000000" w:rsidP="00000000" w:rsidRDefault="00000000" w:rsidRPr="00000000" w14:paraId="00000007">
      <w:pPr>
        <w:spacing w:after="240" w:before="240" w:lineRule="auto"/>
        <w:rPr/>
      </w:pPr>
      <w:r w:rsidDel="00000000" w:rsidR="00000000" w:rsidRPr="00000000">
        <w:rPr>
          <w:rtl w:val="0"/>
        </w:rPr>
        <w:t xml:space="preserve">The broader motivation is to unpack the structural and epistemic conditions that support exceptional scientific achievement. Are prizewinners deeply embedded in elite networks, or do they operate at the periphery where unconventional ideas can flourish? Do they follow conventional success paths, or take risks that distinguish them from their peers? By addressing these questions empirically, we contribute to a more nuanced theory of scientific recognition—one that accounts for not only outputs but also the underlying knowledge production strategies and positional dynamics.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kn0aj1wzxoex" w:id="1"/>
      <w:bookmarkEnd w:id="1"/>
      <w:r w:rsidDel="00000000" w:rsidR="00000000" w:rsidRPr="00000000">
        <w:rPr>
          <w:b w:val="1"/>
          <w:bCs w:val="1"/>
          <w:color w:val="000000"/>
          <w:sz w:val="26"/>
          <w:szCs w:val="26"/>
          <w:rtl w:val="0"/>
        </w:rPr>
        <w:t xml:space="preserve">Methods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Data Sources and Prizewinner Identification</w:t>
      </w:r>
    </w:p>
    <w:p w:rsidR="00000000" w:rsidDel="00000000" w:rsidP="00000000" w:rsidRDefault="00000000" w:rsidRPr="00000000" w14:paraId="0000000B">
      <w:pPr>
        <w:spacing w:after="240" w:before="240" w:lineRule="auto"/>
        <w:rPr/>
      </w:pPr>
      <w:r w:rsidDel="00000000" w:rsidR="00000000" w:rsidRPr="00000000">
        <w:rPr>
          <w:rtl w:val="0"/>
        </w:rPr>
        <w:t xml:space="preserve">Our analysis integrates publication, citation, and collaboration data from the Microsoft Academic Graph (MAG), which includes over 250 million scientific documents spanning multiple disciplines. We identify scientific prizewinners from an external prize database that covers over 3,800 unique individuals who have received at least one of 419 prestigious scientific awards. These include global prizes (e.g., Nobel, Turing), national academy memberships, and field-specific recognitions. For each prizewinner, we extract their entire publication history, focusing on their “core contribution period,” defined as the ten years surrounding their first major recognition.</w:t>
      </w:r>
    </w:p>
    <w:p w:rsidR="00000000" w:rsidDel="00000000" w:rsidP="00000000" w:rsidRDefault="00000000" w:rsidRPr="00000000" w14:paraId="0000000C">
      <w:pPr>
        <w:spacing w:after="240" w:before="240" w:lineRule="auto"/>
        <w:rPr/>
      </w:pPr>
      <w:r w:rsidDel="00000000" w:rsidR="00000000" w:rsidRPr="00000000">
        <w:rPr>
          <w:rtl w:val="0"/>
        </w:rPr>
        <w:t xml:space="preserve">To enable comparative analysis, we construct a matched control group of non-prizewinning scientists. Matching is based on field, cohort year, publication volume, and institutional affiliation at time of entry, ensuring similarity in basic academic profile. This allows us to isolate behavioral and structural differences that may correlate with eventual recognition rather than background.</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Operationalizing Innovation and Network Features</w:t>
      </w:r>
    </w:p>
    <w:p w:rsidR="00000000" w:rsidDel="00000000" w:rsidP="00000000" w:rsidRDefault="00000000" w:rsidRPr="00000000" w14:paraId="0000000E">
      <w:pPr>
        <w:spacing w:after="240" w:before="240" w:lineRule="auto"/>
        <w:rPr/>
      </w:pPr>
      <w:r w:rsidDel="00000000" w:rsidR="00000000" w:rsidRPr="00000000">
        <w:rPr>
          <w:rtl w:val="0"/>
        </w:rPr>
        <w:t xml:space="preserve">We develop two principal measurement domains: (1) </w:t>
      </w:r>
      <w:r w:rsidDel="00000000" w:rsidR="00000000" w:rsidRPr="00000000">
        <w:rPr>
          <w:b w:val="1"/>
          <w:bCs w:val="1"/>
          <w:rtl w:val="0"/>
        </w:rPr>
        <w:t xml:space="preserve">Innovation patterns</w:t>
      </w:r>
      <w:r w:rsidDel="00000000" w:rsidR="00000000" w:rsidRPr="00000000">
        <w:rPr>
          <w:rtl w:val="0"/>
        </w:rPr>
        <w:t xml:space="preserve"> and (2) </w:t>
      </w:r>
      <w:r w:rsidDel="00000000" w:rsidR="00000000" w:rsidRPr="00000000">
        <w:rPr>
          <w:b w:val="1"/>
          <w:bCs w:val="1"/>
          <w:rtl w:val="0"/>
        </w:rPr>
        <w:t xml:space="preserve">Network embeddedness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For innovation, we compute: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Topic originality</w:t>
      </w:r>
      <w:r w:rsidDel="00000000" w:rsidR="00000000" w:rsidRPr="00000000">
        <w:rPr>
          <w:rtl w:val="0"/>
        </w:rPr>
        <w:t xml:space="preserve">: Using document embeddings derived from SciBERT, we calculate the cosine distance between a focal paper and the centroid of its field. Higher distances indicate thematic novelty.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Interdisciplinary breadth</w:t>
      </w:r>
      <w:r w:rsidDel="00000000" w:rsidR="00000000" w:rsidRPr="00000000">
        <w:rPr>
          <w:rtl w:val="0"/>
        </w:rPr>
        <w:t xml:space="preserve">: Measured by the diversity of cited fields and publishing venues.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Temporal risk</w:t>
      </w:r>
      <w:r w:rsidDel="00000000" w:rsidR="00000000" w:rsidRPr="00000000">
        <w:rPr>
          <w:rtl w:val="0"/>
        </w:rPr>
        <w:t xml:space="preserve">: Defined by the time lag between publication and citation peak. A longer lag suggests delayed recognition and riskier intellectual investment.</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Conceptual recombination</w:t>
      </w:r>
      <w:r w:rsidDel="00000000" w:rsidR="00000000" w:rsidRPr="00000000">
        <w:rPr>
          <w:rtl w:val="0"/>
        </w:rPr>
        <w:t xml:space="preserve">: Quantified by the novelty of term co-occurrences, based on moving-window probability scores of keyword pairs.</w:t>
      </w:r>
    </w:p>
    <w:p w:rsidR="00000000" w:rsidDel="00000000" w:rsidP="00000000" w:rsidRDefault="00000000" w:rsidRPr="00000000" w14:paraId="00000014">
      <w:pPr>
        <w:spacing w:after="240" w:before="240" w:lineRule="auto"/>
        <w:rPr/>
      </w:pPr>
      <w:r w:rsidDel="00000000" w:rsidR="00000000" w:rsidRPr="00000000">
        <w:rPr>
          <w:rtl w:val="0"/>
        </w:rPr>
        <w:t xml:space="preserve">For network embeddedness, we model the global co-authorship network during each scientist's core contribution window. Each researcher is represented as a node, with edges formed by co-authorships weighted by collaboration frequency.</w:t>
      </w:r>
    </w:p>
    <w:p w:rsidR="00000000" w:rsidDel="00000000" w:rsidP="00000000" w:rsidRDefault="00000000" w:rsidRPr="00000000" w14:paraId="00000015">
      <w:pPr>
        <w:spacing w:after="240" w:before="240" w:lineRule="auto"/>
        <w:rPr/>
      </w:pPr>
      <w:r w:rsidDel="00000000" w:rsidR="00000000" w:rsidRPr="00000000">
        <w:rPr>
          <w:rtl w:val="0"/>
        </w:rPr>
        <w:t xml:space="preserve">Key network metrics include:</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Betweenness centrality</w:t>
      </w:r>
      <w:r w:rsidDel="00000000" w:rsidR="00000000" w:rsidRPr="00000000">
        <w:rPr>
          <w:rtl w:val="0"/>
        </w:rPr>
        <w:t xml:space="preserve">: Proxy for brokerage position and cross-cluster mediation.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k-core membership</w:t>
      </w:r>
      <w:r w:rsidDel="00000000" w:rsidR="00000000" w:rsidRPr="00000000">
        <w:rPr>
          <w:rtl w:val="0"/>
        </w:rPr>
        <w:t xml:space="preserve">: Indicates embedding in dense sub-networks.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Structural holes</w:t>
      </w:r>
      <w:r w:rsidDel="00000000" w:rsidR="00000000" w:rsidRPr="00000000">
        <w:rPr>
          <w:rtl w:val="0"/>
        </w:rPr>
        <w:t xml:space="preserve">: Calculated using Burt's constraint score, measuring redundancy in network ties.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Global vs. local reach</w:t>
      </w:r>
      <w:r w:rsidDel="00000000" w:rsidR="00000000" w:rsidRPr="00000000">
        <w:rPr>
          <w:rtl w:val="0"/>
        </w:rPr>
        <w:t xml:space="preserve">: Assessed by combining ego-network density with average path length to other high-impact nodes.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Statistical Modeling and Robustness</w:t>
      </w:r>
    </w:p>
    <w:p w:rsidR="00000000" w:rsidDel="00000000" w:rsidP="00000000" w:rsidRDefault="00000000" w:rsidRPr="00000000" w14:paraId="0000001B">
      <w:pPr>
        <w:spacing w:after="240" w:before="240" w:lineRule="auto"/>
        <w:rPr/>
      </w:pPr>
      <w:r w:rsidDel="00000000" w:rsidR="00000000" w:rsidRPr="00000000">
        <w:rPr>
          <w:rtl w:val="0"/>
        </w:rPr>
        <w:t xml:space="preserve">We apply a multivariate regression framework to model the probability of prizewinning as a function of innovation and network variables, controlling for total publications, citations, institutional prestige, and discipline fixed effects. We also conduct subgroup analyses for different prize types (e.g., generalist vs. domain-specific) and gender.</w:t>
      </w:r>
    </w:p>
    <w:p w:rsidR="00000000" w:rsidDel="00000000" w:rsidP="00000000" w:rsidRDefault="00000000" w:rsidRPr="00000000" w14:paraId="0000001C">
      <w:pPr>
        <w:spacing w:after="240" w:before="240" w:lineRule="auto"/>
        <w:rPr/>
      </w:pPr>
      <w:r w:rsidDel="00000000" w:rsidR="00000000" w:rsidRPr="00000000">
        <w:rPr>
          <w:rtl w:val="0"/>
        </w:rPr>
        <w:t xml:space="preserve">To test robustness, we replicate analyses using alternate data sources (e.g., OpenAlex), resample control groups, and implement instrumental variable designs where appropriate. All code, models, and matched samples are made publicly available in a reproducible research repository.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oqctz6i2zvz5" w:id="2"/>
      <w:bookmarkEnd w:id="2"/>
      <w:r w:rsidDel="00000000" w:rsidR="00000000" w:rsidRPr="00000000">
        <w:rPr>
          <w:b w:val="1"/>
          <w:bCs w:val="1"/>
          <w:color w:val="000000"/>
          <w:sz w:val="26"/>
          <w:szCs w:val="26"/>
          <w:rtl w:val="0"/>
        </w:rPr>
        <w:t xml:space="preserve">Potential Impact</w:t>
      </w:r>
    </w:p>
    <w:p w:rsidR="00000000" w:rsidDel="00000000" w:rsidP="00000000" w:rsidRDefault="00000000" w:rsidRPr="00000000" w14:paraId="0000001F">
      <w:pPr>
        <w:spacing w:after="240" w:before="240" w:lineRule="auto"/>
        <w:rPr/>
      </w:pPr>
      <w:r w:rsidDel="00000000" w:rsidR="00000000" w:rsidRPr="00000000">
        <w:rPr>
          <w:rtl w:val="0"/>
        </w:rPr>
        <w:t xml:space="preserve">This study advances our understanding of the structural and epistemic correlates of scientific recognition. By combining computational text analysis and network science, we move beyond citation-based accounts to explore </w:t>
      </w:r>
      <w:r w:rsidDel="00000000" w:rsidR="00000000" w:rsidRPr="00000000">
        <w:rPr>
          <w:i w:val="1"/>
          <w:iCs w:val="1"/>
          <w:rtl w:val="0"/>
        </w:rPr>
        <w:t xml:space="preserve">how</w:t>
      </w:r>
      <w:r w:rsidDel="00000000" w:rsidR="00000000" w:rsidRPr="00000000">
        <w:rPr>
          <w:rtl w:val="0"/>
        </w:rPr>
        <w:t xml:space="preserve"> and </w:t>
      </w:r>
      <w:r w:rsidDel="00000000" w:rsidR="00000000" w:rsidRPr="00000000">
        <w:rPr>
          <w:i w:val="1"/>
          <w:iCs w:val="1"/>
          <w:rtl w:val="0"/>
        </w:rPr>
        <w:t xml:space="preserve">where</w:t>
      </w:r>
      <w:r w:rsidDel="00000000" w:rsidR="00000000" w:rsidRPr="00000000">
        <w:rPr>
          <w:rtl w:val="0"/>
        </w:rPr>
        <w:t xml:space="preserve">innovative science is produced. Our results challenge the assumption that prizewinning is merely a function of high productivity or citation accumulation. Instead, we show that distinct innovation styles—marked by conceptual novelty, interdisciplinary reach, and temporal risk—are predictive of major recognition, especially when coupled with strategic network positioning.</w:t>
      </w:r>
    </w:p>
    <w:p w:rsidR="00000000" w:rsidDel="00000000" w:rsidP="00000000" w:rsidRDefault="00000000" w:rsidRPr="00000000" w14:paraId="00000020">
      <w:pPr>
        <w:spacing w:after="240" w:before="240" w:lineRule="auto"/>
        <w:rPr/>
      </w:pPr>
      <w:r w:rsidDel="00000000" w:rsidR="00000000" w:rsidRPr="00000000">
        <w:rPr>
          <w:rtl w:val="0"/>
        </w:rPr>
        <w:t xml:space="preserve">Importantly, the findings reveal multiple successful trajectories: some prizewinners are deeply embedded in elite networks, leveraging centrality for visibility and influence; others operate at the boundaries, mediating between clusters and fostering novel recombinations. This suggests that recognition is not confined to a single model of success, but arises from different configurations of creativity and connectivity.</w:t>
      </w:r>
    </w:p>
    <w:p w:rsidR="00000000" w:rsidDel="00000000" w:rsidP="00000000" w:rsidRDefault="00000000" w:rsidRPr="00000000" w14:paraId="00000021">
      <w:pPr>
        <w:spacing w:after="240" w:before="240" w:lineRule="auto"/>
        <w:rPr/>
      </w:pPr>
      <w:r w:rsidDel="00000000" w:rsidR="00000000" w:rsidRPr="00000000">
        <w:rPr>
          <w:rtl w:val="0"/>
        </w:rPr>
        <w:t xml:space="preserve">For academic institutions, funders, and policy makers, these insights offer a more sophisticated lens for talent identification and evaluation. Emphasizing originality, cross-domain synthesis, and non-linear impact trajectories may help counteract biases inherent in conventional metrics and support a broader range of innovative researchers. It also highlights the importance of enabling diverse network structures—both tight-knit clusters and loosely connected peripheries—in fostering scientific breakthroughs.</w:t>
      </w:r>
    </w:p>
    <w:p w:rsidR="00000000" w:rsidDel="00000000" w:rsidP="00000000" w:rsidRDefault="00000000" w:rsidRPr="00000000" w14:paraId="00000022">
      <w:pPr>
        <w:spacing w:after="240" w:before="240" w:lineRule="auto"/>
        <w:rPr/>
      </w:pPr>
      <w:r w:rsidDel="00000000" w:rsidR="00000000" w:rsidRPr="00000000">
        <w:rPr>
          <w:rtl w:val="0"/>
        </w:rPr>
        <w:t xml:space="preserve">In sum, this study contributes to the sociology of science by empirically documenting the heterogeneous pathways to recognition and the structural scaffolds that support them. It offers a replicable framework for future work on scientific prestige, creativity, and the evolving architecture of knowledge production.</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