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5,</w:t>
      </w:r>
      <w:r>
        <w:t xml:space="preserve"> </w:t>
      </w:r>
      <w:r>
        <w:t xml:space="preserve">2026</w:t>
      </w:r>
    </w:p>
    <w:p>
      <w:pPr>
        <w:pStyle w:val="AbstractTitle"/>
      </w:pPr>
      <w:r>
        <w:t xml:space="preserve">Abstract</w:t>
      </w:r>
    </w:p>
    <w:p>
      <w:pPr>
        <w:pStyle w:val="Abstract"/>
      </w:pPr>
      <w:r>
        <w:t xml:space="preserve">The</w:t>
      </w:r>
      <w:r>
        <w:t xml:space="preserve"> </w:t>
      </w:r>
      <w:r>
        <w:t xml:space="preserve">Aurignacian</w:t>
      </w:r>
      <w:r>
        <w:t xml:space="preserve"> </w:t>
      </w:r>
      <w:r>
        <w:t xml:space="preserve">technocomplex</w:t>
      </w:r>
      <w:r>
        <w:t xml:space="preserve"> </w:t>
      </w:r>
      <w:r>
        <w:t xml:space="preserve">(ca.</w:t>
      </w:r>
      <w:r>
        <w:t xml:space="preserve"> </w:t>
      </w:r>
      <w:r>
        <w:t xml:space="preserve">43–30</w:t>
      </w:r>
      <w:r>
        <w:t xml:space="preserve"> </w:t>
      </w:r>
      <w:r>
        <w:t xml:space="preserve">ka</w:t>
      </w:r>
      <w:r>
        <w:t xml:space="preserve"> </w:t>
      </w:r>
      <w:r>
        <w:t xml:space="preserve">BP)</w:t>
      </w:r>
      <w:r>
        <w:t xml:space="preserve"> </w:t>
      </w:r>
      <w:r>
        <w:t xml:space="preserve">marks</w:t>
      </w:r>
      <w:r>
        <w:t xml:space="preserve"> </w:t>
      </w:r>
      <w:r>
        <w:t xml:space="preserve">a</w:t>
      </w:r>
      <w:r>
        <w:t xml:space="preserve"> </w:t>
      </w:r>
      <w:r>
        <w:t xml:space="preserve">pivotal</w:t>
      </w:r>
      <w:r>
        <w:t xml:space="preserve"> </w:t>
      </w:r>
      <w:r>
        <w:t xml:space="preserve">expansion</w:t>
      </w:r>
      <w:r>
        <w:t xml:space="preserve"> </w:t>
      </w:r>
      <w:r>
        <w:t xml:space="preserve">of</w:t>
      </w:r>
      <w:r>
        <w:t xml:space="preserve"> </w:t>
      </w:r>
      <w:r>
        <w:rPr>
          <w:iCs/>
          <w:i/>
        </w:rPr>
        <w:t xml:space="preserve">Homo</w:t>
      </w:r>
      <w:r>
        <w:rPr>
          <w:iCs/>
          <w:i/>
        </w:rPr>
        <w:t xml:space="preserve"> </w:t>
      </w:r>
      <w:r>
        <w:rPr>
          <w:iCs/>
          <w:i/>
        </w:rPr>
        <w:t xml:space="preserve">sapiens</w:t>
      </w:r>
      <w:r>
        <w:t xml:space="preserve"> </w:t>
      </w:r>
      <w:r>
        <w:t xml:space="preserve">into</w:t>
      </w:r>
      <w:r>
        <w:t xml:space="preserve"> </w:t>
      </w:r>
      <w:r>
        <w:t xml:space="preserve">Western</w:t>
      </w:r>
      <w:r>
        <w:t xml:space="preserve"> </w:t>
      </w:r>
      <w:r>
        <w:t xml:space="preserve">Eurasia,</w:t>
      </w:r>
      <w:r>
        <w:t xml:space="preserve"> </w:t>
      </w:r>
      <w:r>
        <w:t xml:space="preserve">yet</w:t>
      </w:r>
      <w:r>
        <w:t xml:space="preserve"> </w:t>
      </w:r>
      <w:r>
        <w:t xml:space="preserve">the</w:t>
      </w:r>
      <w:r>
        <w:t xml:space="preserve"> </w:t>
      </w:r>
      <w:r>
        <w:t xml:space="preserve">evolution</w:t>
      </w:r>
      <w:r>
        <w:t xml:space="preserve"> </w:t>
      </w:r>
      <w:r>
        <w:t xml:space="preserve">of</w:t>
      </w:r>
      <w:r>
        <w:t xml:space="preserve"> </w:t>
      </w:r>
      <w:r>
        <w:t xml:space="preserve">social</w:t>
      </w:r>
      <w:r>
        <w:t xml:space="preserve"> </w:t>
      </w:r>
      <w:r>
        <w:t xml:space="preserve">organization</w:t>
      </w:r>
      <w:r>
        <w:t xml:space="preserve"> </w:t>
      </w:r>
      <w:r>
        <w:t xml:space="preserve">during</w:t>
      </w:r>
      <w:r>
        <w:t xml:space="preserve"> </w:t>
      </w:r>
      <w:r>
        <w:t xml:space="preserve">this</w:t>
      </w:r>
      <w:r>
        <w:t xml:space="preserve"> </w:t>
      </w:r>
      <w:r>
        <w:t xml:space="preserve">transition</w:t>
      </w:r>
      <w:r>
        <w:t xml:space="preserve"> </w:t>
      </w:r>
      <w:r>
        <w:t xml:space="preserve">remains</w:t>
      </w:r>
      <w:r>
        <w:t xml:space="preserve"> </w:t>
      </w:r>
      <w:r>
        <w:t xml:space="preserve">debated.</w:t>
      </w:r>
      <w:r>
        <w:t xml:space="preserve"> </w:t>
      </w:r>
      <w:r>
        <w:t xml:space="preserve">Here</w:t>
      </w:r>
      <w:r>
        <w:t xml:space="preserve"> </w:t>
      </w:r>
      <w:r>
        <w:t xml:space="preserve">we</w:t>
      </w:r>
      <w:r>
        <w:t xml:space="preserve"> </w:t>
      </w:r>
      <w:r>
        <w:t xml:space="preserve">investigate</w:t>
      </w:r>
      <w:r>
        <w:t xml:space="preserve"> </w:t>
      </w:r>
      <w:r>
        <w:t xml:space="preserve">social</w:t>
      </w:r>
      <w:r>
        <w:t xml:space="preserve"> </w:t>
      </w:r>
      <w:r>
        <w:t xml:space="preserve">dynamics</w:t>
      </w:r>
      <w:r>
        <w:t xml:space="preserve"> </w:t>
      </w:r>
      <w:r>
        <w:t xml:space="preserve">through</w:t>
      </w:r>
      <w:r>
        <w:t xml:space="preserve"> </w:t>
      </w:r>
      <w:r>
        <w:t xml:space="preserve">the</w:t>
      </w:r>
      <w:r>
        <w:t xml:space="preserve"> </w:t>
      </w:r>
      <w:r>
        <w:t xml:space="preserve">analysis</w:t>
      </w:r>
      <w:r>
        <w:t xml:space="preserve"> </w:t>
      </w:r>
      <w:r>
        <w:t xml:space="preserve">of</w:t>
      </w:r>
      <w:r>
        <w:t xml:space="preserve"> </w:t>
      </w:r>
      <w:r>
        <w:t xml:space="preserve">geometric</w:t>
      </w:r>
      <w:r>
        <w:t xml:space="preserve"> </w:t>
      </w:r>
      <w:r>
        <w:t xml:space="preserve">signs</w:t>
      </w:r>
      <w:r>
        <w:t xml:space="preserve"> </w:t>
      </w:r>
      <w:r>
        <w:t xml:space="preserve">on</w:t>
      </w:r>
      <w:r>
        <w:t xml:space="preserve"> </w:t>
      </w:r>
      <w:r>
        <w:t xml:space="preserve">mobile</w:t>
      </w:r>
      <w:r>
        <w:t xml:space="preserve"> </w:t>
      </w:r>
      <w:r>
        <w:t xml:space="preserve">objects</w:t>
      </w:r>
      <w:r>
        <w:t xml:space="preserve"> </w:t>
      </w:r>
      <w:r>
        <w:t xml:space="preserve">within</w:t>
      </w:r>
      <w:r>
        <w:t xml:space="preserve"> </w:t>
      </w:r>
      <w:r>
        <w:t xml:space="preserve">a</w:t>
      </w:r>
      <w:r>
        <w:t xml:space="preserve"> </w:t>
      </w:r>
      <w:r>
        <w:t xml:space="preserve">two-phase</w:t>
      </w:r>
      <w:r>
        <w:t xml:space="preserve"> </w:t>
      </w:r>
      <w:r>
        <w:t xml:space="preserve">framework</w:t>
      </w:r>
      <w:r>
        <w:t xml:space="preserve"> </w:t>
      </w:r>
      <w:r>
        <w:t xml:space="preserve">(Aur-P1/Aur-P2;</w:t>
      </w:r>
      <w:r>
        <w:t xml:space="preserve"> </w:t>
      </w:r>
      <w:r>
        <w:t xml:space="preserve">Shao</w:t>
      </w:r>
      <w:r>
        <w:t xml:space="preserve"> </w:t>
      </w:r>
      <w:r>
        <w:t xml:space="preserve">et</w:t>
      </w:r>
      <w:r>
        <w:t xml:space="preserve"> </w:t>
      </w:r>
      <w:r>
        <w:t xml:space="preserve">al. 2021)</w:t>
      </w:r>
      <w:r>
        <w:t xml:space="preserve"> </w:t>
      </w:r>
      <w:r>
        <w:t xml:space="preserve">that</w:t>
      </w:r>
      <w:r>
        <w:t xml:space="preserve"> </w:t>
      </w:r>
      <w:r>
        <w:t xml:space="preserve">respects</w:t>
      </w:r>
      <w:r>
        <w:t xml:space="preserve"> </w:t>
      </w:r>
      <w:r>
        <w:t xml:space="preserve">specialist</w:t>
      </w:r>
      <w:r>
        <w:t xml:space="preserve"> </w:t>
      </w:r>
      <w:r>
        <w:t xml:space="preserve">technological</w:t>
      </w:r>
      <w:r>
        <w:t xml:space="preserve"> </w:t>
      </w:r>
      <w:r>
        <w:t xml:space="preserve">attributions</w:t>
      </w:r>
      <w:r>
        <w:t xml:space="preserve"> </w:t>
      </w:r>
      <w:r>
        <w:t xml:space="preserve">in</w:t>
      </w:r>
      <w:r>
        <w:t xml:space="preserve"> </w:t>
      </w:r>
      <w:r>
        <w:t xml:space="preserve">site</w:t>
      </w:r>
      <w:r>
        <w:t xml:space="preserve"> </w:t>
      </w:r>
      <w:r>
        <w:t xml:space="preserve">assignment.</w:t>
      </w:r>
      <w:r>
        <w:t xml:space="preserve"> </w:t>
      </w:r>
      <w:r>
        <w:t xml:space="preserve">Using</w:t>
      </w:r>
      <w:r>
        <w:t xml:space="preserve"> </w:t>
      </w:r>
      <w:r>
        <w:t xml:space="preserve">seriation</w:t>
      </w:r>
      <w:r>
        <w:t xml:space="preserve"> </w:t>
      </w:r>
      <w:r>
        <w:t xml:space="preserve">and</w:t>
      </w:r>
      <w:r>
        <w:t xml:space="preserve"> </w:t>
      </w:r>
      <w:r>
        <w:t xml:space="preserve">network</w:t>
      </w:r>
      <w:r>
        <w:t xml:space="preserve"> </w:t>
      </w:r>
      <w:r>
        <w:t xml:space="preserve">analysis,</w:t>
      </w:r>
      <w:r>
        <w:t xml:space="preserve"> </w:t>
      </w:r>
      <w:r>
        <w:t xml:space="preserve">we</w:t>
      </w:r>
      <w:r>
        <w:t xml:space="preserve"> </w:t>
      </w:r>
      <w:r>
        <w:t xml:space="preserve">examine</w:t>
      </w:r>
      <w:r>
        <w:t xml:space="preserve"> </w:t>
      </w:r>
      <w:r>
        <w:t xml:space="preserve">whether</w:t>
      </w:r>
      <w:r>
        <w:t xml:space="preserve"> </w:t>
      </w:r>
      <w:r>
        <w:t xml:space="preserve">sign</w:t>
      </w:r>
      <w:r>
        <w:t xml:space="preserve"> </w:t>
      </w:r>
      <w:r>
        <w:t xml:space="preserve">distribution</w:t>
      </w:r>
      <w:r>
        <w:t xml:space="preserve"> </w:t>
      </w:r>
      <w:r>
        <w:t xml:space="preserve">reflects</w:t>
      </w:r>
      <w:r>
        <w:t xml:space="preserve"> </w:t>
      </w:r>
      <w:r>
        <w:t xml:space="preserve">cultural</w:t>
      </w:r>
      <w:r>
        <w:t xml:space="preserve"> </w:t>
      </w:r>
      <w:r>
        <w:t xml:space="preserve">grouping</w:t>
      </w:r>
      <w:r>
        <w:t xml:space="preserve"> </w:t>
      </w:r>
      <w:r>
        <w:t xml:space="preserve">within</w:t>
      </w:r>
      <w:r>
        <w:t xml:space="preserve"> </w:t>
      </w:r>
      <w:r>
        <w:t xml:space="preserve">each</w:t>
      </w:r>
      <w:r>
        <w:t xml:space="preserve"> </w:t>
      </w:r>
      <w:r>
        <w:t xml:space="preserve">phase,</w:t>
      </w:r>
      <w:r>
        <w:t xml:space="preserve"> </w:t>
      </w:r>
      <w:r>
        <w:t xml:space="preserve">and</w:t>
      </w:r>
      <w:r>
        <w:t xml:space="preserve"> </w:t>
      </w:r>
      <w:r>
        <w:t xml:space="preserve">whether</w:t>
      </w:r>
      <w:r>
        <w:t xml:space="preserve"> </w:t>
      </w:r>
      <w:r>
        <w:t xml:space="preserve">the</w:t>
      </w:r>
      <w:r>
        <w:t xml:space="preserve"> </w:t>
      </w:r>
      <w:r>
        <w:t xml:space="preserve">sign-sharing</w:t>
      </w:r>
      <w:r>
        <w:t xml:space="preserve"> </w:t>
      </w:r>
      <w:r>
        <w:t xml:space="preserve">network</w:t>
      </w:r>
      <w:r>
        <w:t xml:space="preserve"> </w:t>
      </w:r>
      <w:r>
        <w:t xml:space="preserve">differs</w:t>
      </w:r>
      <w:r>
        <w:t xml:space="preserve"> </w:t>
      </w:r>
      <w:r>
        <w:t xml:space="preserve">between</w:t>
      </w:r>
      <w:r>
        <w:t xml:space="preserve"> </w:t>
      </w:r>
      <w:r>
        <w:t xml:space="preserve">the</w:t>
      </w:r>
      <w:r>
        <w:t xml:space="preserve"> </w:t>
      </w:r>
      <w:r>
        <w:t xml:space="preserve">early</w:t>
      </w:r>
      <w:r>
        <w:t xml:space="preserve"> </w:t>
      </w:r>
      <w:r>
        <w:t xml:space="preserve">and</w:t>
      </w:r>
      <w:r>
        <w:t xml:space="preserve"> </w:t>
      </w:r>
      <w:r>
        <w:t xml:space="preserve">late</w:t>
      </w:r>
      <w:r>
        <w:t xml:space="preserve"> </w:t>
      </w:r>
      <w:r>
        <w:t xml:space="preserve">Aurignacian.</w:t>
      </w:r>
      <w:r>
        <w:t xml:space="preserve"> </w:t>
      </w:r>
      <w:r>
        <w:t xml:space="preserve">Within</w:t>
      </w:r>
      <w:r>
        <w:t xml:space="preserve"> </w:t>
      </w:r>
      <w:r>
        <w:t xml:space="preserve">the</w:t>
      </w:r>
      <w:r>
        <w:t xml:space="preserve"> </w:t>
      </w:r>
      <w:r>
        <w:t xml:space="preserve">early</w:t>
      </w:r>
      <w:r>
        <w:t xml:space="preserve"> </w:t>
      </w:r>
      <w:r>
        <w:t xml:space="preserve">phase</w:t>
      </w:r>
      <w:r>
        <w:t xml:space="preserve"> </w:t>
      </w:r>
      <w:r>
        <w:t xml:space="preserve">(Aur-P1;</w:t>
      </w:r>
      <w:r>
        <w:t xml:space="preserve"> </w:t>
      </w:r>
      <w:r>
        <w:t xml:space="preserve">20</w:t>
      </w:r>
      <w:r>
        <w:t xml:space="preserve"> </w:t>
      </w:r>
      <w:r>
        <w:t xml:space="preserve">sites)</w:t>
      </w:r>
      <w:r>
        <w:t xml:space="preserve"> </w:t>
      </w:r>
      <w:r>
        <w:t xml:space="preserve">we</w:t>
      </w:r>
      <w:r>
        <w:t xml:space="preserve"> </w:t>
      </w:r>
      <w:r>
        <w:t xml:space="preserve">identify</w:t>
      </w:r>
      <w:r>
        <w:t xml:space="preserve"> </w:t>
      </w:r>
      <w:r>
        <w:t xml:space="preserve">a</w:t>
      </w:r>
      <w:r>
        <w:t xml:space="preserve"> </w:t>
      </w:r>
      <w:r>
        <w:t xml:space="preserve">robust</w:t>
      </w:r>
      <w:r>
        <w:t xml:space="preserve"> </w:t>
      </w:r>
      <w:r>
        <w:t xml:space="preserve">two-group</w:t>
      </w:r>
      <w:r>
        <w:t xml:space="preserve"> </w:t>
      </w:r>
      <w:r>
        <w:t xml:space="preserve">structure</w:t>
      </w:r>
      <w:r>
        <w:t xml:space="preserve"> </w:t>
      </w:r>
      <w:r>
        <w:t xml:space="preserve">of</w:t>
      </w:r>
      <w:r>
        <w:t xml:space="preserve"> </w:t>
      </w:r>
      <w:r>
        <w:t xml:space="preserve">restricted</w:t>
      </w:r>
      <w:r>
        <w:t xml:space="preserve"> </w:t>
      </w:r>
      <w:r>
        <w:t xml:space="preserve">versus</w:t>
      </w:r>
      <w:r>
        <w:t xml:space="preserve"> </w:t>
      </w:r>
      <w:r>
        <w:t xml:space="preserve">broad</w:t>
      </w:r>
      <w:r>
        <w:t xml:space="preserve"> </w:t>
      </w:r>
      <w:r>
        <w:t xml:space="preserve">geometric-sign</w:t>
      </w:r>
      <w:r>
        <w:t xml:space="preserve"> </w:t>
      </w:r>
      <w:r>
        <w:t xml:space="preserve">repertoires</w:t>
      </w:r>
      <w:r>
        <w:t xml:space="preserve"> </w:t>
      </w:r>
      <w:r>
        <w:t xml:space="preserve">that</w:t>
      </w:r>
      <w:r>
        <w:t xml:space="preserve"> </w:t>
      </w:r>
      <w:r>
        <w:t xml:space="preserve">is</w:t>
      </w:r>
      <w:r>
        <w:t xml:space="preserve"> </w:t>
      </w:r>
      <w:r>
        <w:t xml:space="preserve">stable</w:t>
      </w:r>
      <w:r>
        <w:t xml:space="preserve"> </w:t>
      </w:r>
      <w:r>
        <w:t xml:space="preserve">under</w:t>
      </w:r>
      <w:r>
        <w:t xml:space="preserve"> </w:t>
      </w:r>
      <w:r>
        <w:t xml:space="preserve">bootstrap</w:t>
      </w:r>
      <w:r>
        <w:t xml:space="preserve"> </w:t>
      </w:r>
      <w:r>
        <w:t xml:space="preserve">resampling</w:t>
      </w:r>
      <w:r>
        <w:t xml:space="preserve"> </w:t>
      </w:r>
      <w:r>
        <w:t xml:space="preserve">and</w:t>
      </w:r>
      <w:r>
        <w:t xml:space="preserve"> </w:t>
      </w:r>
      <w:r>
        <w:t xml:space="preserve">largely</w:t>
      </w:r>
      <w:r>
        <w:t xml:space="preserve"> </w:t>
      </w:r>
      <w:r>
        <w:t xml:space="preserve">recovered</w:t>
      </w:r>
      <w:r>
        <w:t xml:space="preserve"> </w:t>
      </w:r>
      <w:r>
        <w:t xml:space="preserve">by</w:t>
      </w:r>
      <w:r>
        <w:t xml:space="preserve"> </w:t>
      </w:r>
      <w:r>
        <w:t xml:space="preserve">an</w:t>
      </w:r>
      <w:r>
        <w:t xml:space="preserve"> </w:t>
      </w:r>
      <w:r>
        <w:t xml:space="preserve">independent</w:t>
      </w:r>
      <w:r>
        <w:t xml:space="preserve"> </w:t>
      </w:r>
      <w:r>
        <w:t xml:space="preserve">stochastic</w:t>
      </w:r>
      <w:r>
        <w:t xml:space="preserve"> </w:t>
      </w:r>
      <w:r>
        <w:t xml:space="preserve">block</w:t>
      </w:r>
      <w:r>
        <w:t xml:space="preserve"> </w:t>
      </w:r>
      <w:r>
        <w:t xml:space="preserve">model.</w:t>
      </w:r>
      <w:r>
        <w:t xml:space="preserve"> </w:t>
      </w:r>
      <w:r>
        <w:t xml:space="preserve">The</w:t>
      </w:r>
      <w:r>
        <w:t xml:space="preserve"> </w:t>
      </w:r>
      <w:r>
        <w:t xml:space="preserve">small</w:t>
      </w:r>
      <w:r>
        <w:t xml:space="preserve"> </w:t>
      </w:r>
      <w:r>
        <w:t xml:space="preserve">late</w:t>
      </w:r>
      <w:r>
        <w:t xml:space="preserve"> </w:t>
      </w:r>
      <w:r>
        <w:t xml:space="preserve">phase</w:t>
      </w:r>
      <w:r>
        <w:t xml:space="preserve"> </w:t>
      </w:r>
      <w:r>
        <w:t xml:space="preserve">(Aur-P2;</w:t>
      </w:r>
      <w:r>
        <w:t xml:space="preserve"> </w:t>
      </w:r>
      <w:r>
        <w:t xml:space="preserve">8</w:t>
      </w:r>
      <w:r>
        <w:t xml:space="preserve"> </w:t>
      </w:r>
      <w:r>
        <w:t xml:space="preserve">sites)</w:t>
      </w:r>
      <w:r>
        <w:t xml:space="preserve"> </w:t>
      </w:r>
      <w:r>
        <w:t xml:space="preserve">shows</w:t>
      </w:r>
      <w:r>
        <w:t xml:space="preserve"> </w:t>
      </w:r>
      <w:r>
        <w:t xml:space="preserve">a</w:t>
      </w:r>
      <w:r>
        <w:t xml:space="preserve"> </w:t>
      </w:r>
      <w:r>
        <w:t xml:space="preserve">weaker,</w:t>
      </w:r>
      <w:r>
        <w:t xml:space="preserve"> </w:t>
      </w:r>
      <w:r>
        <w:t xml:space="preserve">less</w:t>
      </w:r>
      <w:r>
        <w:t xml:space="preserve"> </w:t>
      </w:r>
      <w:r>
        <w:t xml:space="preserve">resolved</w:t>
      </w:r>
      <w:r>
        <w:t xml:space="preserve"> </w:t>
      </w:r>
      <w:r>
        <w:t xml:space="preserve">structure.</w:t>
      </w:r>
      <w:r>
        <w:t xml:space="preserve"> </w:t>
      </w:r>
      <w:r>
        <w:t xml:space="preserve">The</w:t>
      </w:r>
      <w:r>
        <w:t xml:space="preserve"> </w:t>
      </w:r>
      <w:r>
        <w:t xml:space="preserve">early</w:t>
      </w:r>
      <w:r>
        <w:t xml:space="preserve"> </w:t>
      </w:r>
      <w:r>
        <w:t xml:space="preserve">phase</w:t>
      </w:r>
      <w:r>
        <w:t xml:space="preserve"> </w:t>
      </w:r>
      <w:r>
        <w:t xml:space="preserve">supports</w:t>
      </w:r>
      <w:r>
        <w:t xml:space="preserve"> </w:t>
      </w:r>
      <w:r>
        <w:t xml:space="preserve">a</w:t>
      </w:r>
      <w:r>
        <w:t xml:space="preserve"> </w:t>
      </w:r>
      <w:r>
        <w:t xml:space="preserve">larger,</w:t>
      </w:r>
      <w:r>
        <w:t xml:space="preserve"> </w:t>
      </w:r>
      <w:r>
        <w:t xml:space="preserve">more</w:t>
      </w:r>
      <w:r>
        <w:t xml:space="preserve"> </w:t>
      </w:r>
      <w:r>
        <w:t xml:space="preserve">network</w:t>
      </w:r>
      <w:r>
        <w:t xml:space="preserve"> </w:t>
      </w:r>
      <w:r>
        <w:t xml:space="preserve">centred</w:t>
      </w:r>
      <w:r>
        <w:t xml:space="preserve"> </w:t>
      </w:r>
      <w:r>
        <w:t xml:space="preserve">on</w:t>
      </w:r>
      <w:r>
        <w:t xml:space="preserve"> </w:t>
      </w:r>
      <w:r>
        <w:t xml:space="preserve">key</w:t>
      </w:r>
      <w:r>
        <w:t xml:space="preserve"> </w:t>
      </w:r>
      <w:r>
        <w:t xml:space="preserve">sites,</w:t>
      </w:r>
      <w:r>
        <w:t xml:space="preserve"> </w:t>
      </w:r>
      <w:r>
        <w:t xml:space="preserve">but</w:t>
      </w:r>
      <w:r>
        <w:t xml:space="preserve"> </w:t>
      </w:r>
      <w:r>
        <w:t xml:space="preserve">once</w:t>
      </w:r>
      <w:r>
        <w:t xml:space="preserve"> </w:t>
      </w:r>
      <w:r>
        <w:t xml:space="preserve">network</w:t>
      </w:r>
      <w:r>
        <w:t xml:space="preserve"> </w:t>
      </w:r>
      <w:r>
        <w:t xml:space="preserve">size</w:t>
      </w:r>
      <w:r>
        <w:t xml:space="preserve"> </w:t>
      </w:r>
      <w:r>
        <w:t xml:space="preserve">is</w:t>
      </w:r>
      <w:r>
        <w:t xml:space="preserve"> </w:t>
      </w:r>
      <w:r>
        <w:t xml:space="preserve">taken</w:t>
      </w:r>
      <w:r>
        <w:t xml:space="preserve"> </w:t>
      </w:r>
      <w:r>
        <w:t xml:space="preserve">into</w:t>
      </w:r>
      <w:r>
        <w:t xml:space="preserve"> </w:t>
      </w:r>
      <w:r>
        <w:t xml:space="preserve">account</w:t>
      </w:r>
      <w:r>
        <w:t xml:space="preserve"> </w:t>
      </w:r>
      <w:r>
        <w:t xml:space="preserve">the</w:t>
      </w:r>
      <w:r>
        <w:t xml:space="preserve"> </w:t>
      </w:r>
      <w:r>
        <w:t xml:space="preserve">late</w:t>
      </w:r>
      <w:r>
        <w:t xml:space="preserve"> </w:t>
      </w:r>
      <w:r>
        <w:t xml:space="preserve">phase</w:t>
      </w:r>
      <w:r>
        <w:t xml:space="preserve"> </w:t>
      </w:r>
      <w:r>
        <w:t xml:space="preserve">shows</w:t>
      </w:r>
      <w:r>
        <w:t xml:space="preserve"> </w:t>
      </w:r>
      <w:r>
        <w:t xml:space="preserve">higher</w:t>
      </w:r>
      <w:r>
        <w:t xml:space="preserve"> </w:t>
      </w:r>
      <w:r>
        <w:t xml:space="preserve">edge</w:t>
      </w:r>
      <w:r>
        <w:t xml:space="preserve"> </w:t>
      </w:r>
      <w:r>
        <w:t xml:space="preserve">density,</w:t>
      </w:r>
      <w:r>
        <w:t xml:space="preserve"> </w:t>
      </w:r>
      <w:r>
        <w:t xml:space="preserve">and</w:t>
      </w:r>
      <w:r>
        <w:t xml:space="preserve"> </w:t>
      </w:r>
      <w:r>
        <w:t xml:space="preserve">formal</w:t>
      </w:r>
      <w:r>
        <w:t xml:space="preserve"> </w:t>
      </w:r>
      <w:r>
        <w:t xml:space="preserve">permutation</w:t>
      </w:r>
      <w:r>
        <w:t xml:space="preserve"> </w:t>
      </w:r>
      <w:r>
        <w:t xml:space="preserve">tests</w:t>
      </w:r>
      <w:r>
        <w:t xml:space="preserve"> </w:t>
      </w:r>
      <w:r>
        <w:t xml:space="preserve">indicate</w:t>
      </w:r>
      <w:r>
        <w:t xml:space="preserve"> </w:t>
      </w:r>
      <w:r>
        <w:t xml:space="preserve">that</w:t>
      </w:r>
      <w:r>
        <w:t xml:space="preserve"> </w:t>
      </w:r>
      <w:r>
        <w:t xml:space="preserve">the</w:t>
      </w:r>
      <w:r>
        <w:t xml:space="preserve"> </w:t>
      </w:r>
      <w:r>
        <w:t xml:space="preserve">phases</w:t>
      </w:r>
      <w:r>
        <w:t xml:space="preserve"> </w:t>
      </w:r>
      <w:r>
        <w:t xml:space="preserve">differ</w:t>
      </w:r>
      <w:r>
        <w:t xml:space="preserve"> </w:t>
      </w:r>
      <w:r>
        <w:t xml:space="preserve">in</w:t>
      </w:r>
      <w:r>
        <w:t xml:space="preserve"> </w:t>
      </w:r>
      <w:r>
        <w:t xml:space="preserve">community</w:t>
      </w:r>
      <w:r>
        <w:t xml:space="preserve"> </w:t>
      </w:r>
      <w:r>
        <w:t xml:space="preserve">structure</w:t>
      </w:r>
      <w:r>
        <w:t xml:space="preserve"> </w:t>
      </w:r>
      <w:r>
        <w:t xml:space="preserve">(modularity)</w:t>
      </w:r>
      <w:r>
        <w:t xml:space="preserve"> </w:t>
      </w:r>
      <w:r>
        <w:t xml:space="preserve">but</w:t>
      </w:r>
      <w:r>
        <w:t xml:space="preserve"> </w:t>
      </w:r>
      <w:r>
        <w:t xml:space="preserve">not</w:t>
      </w:r>
      <w:r>
        <w:t xml:space="preserve"> </w:t>
      </w:r>
      <w:r>
        <w:t xml:space="preserve">in</w:t>
      </w:r>
      <w:r>
        <w:t xml:space="preserve"> </w:t>
      </w:r>
      <w:r>
        <w:t xml:space="preserve">edge</w:t>
      </w:r>
      <w:r>
        <w:t xml:space="preserve"> </w:t>
      </w:r>
      <w:r>
        <w:t xml:space="preserve">density,</w:t>
      </w:r>
      <w:r>
        <w:t xml:space="preserve"> </w:t>
      </w:r>
      <w:r>
        <w:t xml:space="preserve">betweenness,</w:t>
      </w:r>
      <w:r>
        <w:t xml:space="preserve"> </w:t>
      </w:r>
      <w:r>
        <w:t xml:space="preserve">or</w:t>
      </w:r>
      <w:r>
        <w:t xml:space="preserve"> </w:t>
      </w:r>
      <w:r>
        <w:t xml:space="preserve">component</w:t>
      </w:r>
      <w:r>
        <w:t xml:space="preserve"> </w:t>
      </w:r>
      <w:r>
        <w:t xml:space="preserve">count.</w:t>
      </w:r>
      <w:r>
        <w:t xml:space="preserve"> </w:t>
      </w:r>
      <w:r>
        <w:t xml:space="preserve">Mantel</w:t>
      </w:r>
      <w:r>
        <w:t xml:space="preserve"> </w:t>
      </w:r>
      <w:r>
        <w:t xml:space="preserve">tests</w:t>
      </w:r>
      <w:r>
        <w:t xml:space="preserve"> </w:t>
      </w:r>
      <w:r>
        <w:t xml:space="preserve">did</w:t>
      </w:r>
      <w:r>
        <w:t xml:space="preserve"> </w:t>
      </w:r>
      <w:r>
        <w:t xml:space="preserve">not</w:t>
      </w:r>
      <w:r>
        <w:t xml:space="preserve"> </w:t>
      </w:r>
      <w:r>
        <w:t xml:space="preserve">detect</w:t>
      </w:r>
      <w:r>
        <w:t xml:space="preserve"> </w:t>
      </w:r>
      <w:r>
        <w:t xml:space="preserve">a</w:t>
      </w:r>
      <w:r>
        <w:t xml:space="preserve"> </w:t>
      </w:r>
      <w:r>
        <w:t xml:space="preserve">significant</w:t>
      </w:r>
      <w:r>
        <w:t xml:space="preserve"> </w:t>
      </w:r>
      <w:r>
        <w:t xml:space="preserve">correlation</w:t>
      </w:r>
      <w:r>
        <w:t xml:space="preserve"> </w:t>
      </w:r>
      <w:r>
        <w:t xml:space="preserve">between</w:t>
      </w:r>
      <w:r>
        <w:t xml:space="preserve"> </w:t>
      </w:r>
      <w:r>
        <w:t xml:space="preserve">geographic</w:t>
      </w:r>
      <w:r>
        <w:t xml:space="preserve"> </w:t>
      </w:r>
      <w:r>
        <w:t xml:space="preserve">distance</w:t>
      </w:r>
      <w:r>
        <w:t xml:space="preserve"> </w:t>
      </w:r>
      <w:r>
        <w:t xml:space="preserve">and</w:t>
      </w:r>
      <w:r>
        <w:t xml:space="preserve"> </w:t>
      </w:r>
      <w:r>
        <w:t xml:space="preserve">sign</w:t>
      </w:r>
      <w:r>
        <w:t xml:space="preserve"> </w:t>
      </w:r>
      <w:r>
        <w:t xml:space="preserve">distribution</w:t>
      </w:r>
      <w:r>
        <w:t xml:space="preserve"> </w:t>
      </w:r>
      <w:r>
        <w:t xml:space="preserve">in</w:t>
      </w:r>
      <w:r>
        <w:t xml:space="preserve"> </w:t>
      </w:r>
      <w:r>
        <w:t xml:space="preserve">either</w:t>
      </w:r>
      <w:r>
        <w:t xml:space="preserve"> </w:t>
      </w:r>
      <w:r>
        <w:t xml:space="preserve">phase,</w:t>
      </w:r>
      <w:r>
        <w:t xml:space="preserve"> </w:t>
      </w:r>
      <w:r>
        <w:t xml:space="preserve">and</w:t>
      </w:r>
      <w:r>
        <w:t xml:space="preserve"> </w:t>
      </w:r>
      <w:r>
        <w:t xml:space="preserve">the</w:t>
      </w:r>
      <w:r>
        <w:t xml:space="preserve"> </w:t>
      </w:r>
      <w:r>
        <w:t xml:space="preserve">isolation-by-distance</w:t>
      </w:r>
      <w:r>
        <w:t xml:space="preserve"> </w:t>
      </w:r>
      <w:r>
        <w:t xml:space="preserve">relationship</w:t>
      </w:r>
      <w:r>
        <w:t xml:space="preserve"> </w:t>
      </w:r>
      <w:r>
        <w:t xml:space="preserve">does</w:t>
      </w:r>
      <w:r>
        <w:t xml:space="preserve"> </w:t>
      </w:r>
      <w:r>
        <w:t xml:space="preserve">not</w:t>
      </w:r>
      <w:r>
        <w:t xml:space="preserve"> </w:t>
      </w:r>
      <w:r>
        <w:t xml:space="preserve">differ</w:t>
      </w:r>
      <w:r>
        <w:t xml:space="preserve"> </w:t>
      </w:r>
      <w:r>
        <w:t xml:space="preserve">between</w:t>
      </w:r>
      <w:r>
        <w:t xml:space="preserve"> </w:t>
      </w:r>
      <w:r>
        <w:t xml:space="preserve">them,</w:t>
      </w:r>
      <w:r>
        <w:t xml:space="preserve"> </w:t>
      </w:r>
      <w:r>
        <w:t xml:space="preserve">although</w:t>
      </w:r>
      <w:r>
        <w:t xml:space="preserve"> </w:t>
      </w:r>
      <w:r>
        <w:t xml:space="preserve">this</w:t>
      </w:r>
      <w:r>
        <w:t xml:space="preserve"> </w:t>
      </w:r>
      <w:r>
        <w:t xml:space="preserve">null</w:t>
      </w:r>
      <w:r>
        <w:t xml:space="preserve"> </w:t>
      </w:r>
      <w:r>
        <w:t xml:space="preserve">result</w:t>
      </w:r>
      <w:r>
        <w:t xml:space="preserve"> </w:t>
      </w:r>
      <w:r>
        <w:t xml:space="preserve">should</w:t>
      </w:r>
      <w:r>
        <w:t xml:space="preserve"> </w:t>
      </w:r>
      <w:r>
        <w:t xml:space="preserve">be</w:t>
      </w:r>
      <w:r>
        <w:t xml:space="preserve"> </w:t>
      </w:r>
      <w:r>
        <w:t xml:space="preserve">interpreted</w:t>
      </w:r>
      <w:r>
        <w:t xml:space="preserve"> </w:t>
      </w:r>
      <w:r>
        <w:t xml:space="preserve">cautiously</w:t>
      </w:r>
      <w:r>
        <w:t xml:space="preserve"> </w:t>
      </w:r>
      <w:r>
        <w:t xml:space="preserve">given</w:t>
      </w:r>
      <w:r>
        <w:t xml:space="preserve"> </w:t>
      </w:r>
      <w:r>
        <w:t xml:space="preserve">the</w:t>
      </w:r>
      <w:r>
        <w:t xml:space="preserve"> </w:t>
      </w:r>
      <w:r>
        <w:t xml:space="preserve">small</w:t>
      </w:r>
      <w:r>
        <w:t xml:space="preserve"> </w:t>
      </w:r>
      <w:r>
        <w:t xml:space="preserve">sample</w:t>
      </w:r>
      <w:r>
        <w:t xml:space="preserve"> </w:t>
      </w:r>
      <w:r>
        <w:t xml:space="preserve">sizes.</w:t>
      </w:r>
      <w:r>
        <w:t xml:space="preserve"> </w:t>
      </w:r>
      <w:r>
        <w:t xml:space="preserve">These</w:t>
      </w:r>
      <w:r>
        <w:t xml:space="preserve"> </w:t>
      </w:r>
      <w:r>
        <w:t xml:space="preserve">results</w:t>
      </w:r>
      <w:r>
        <w:t xml:space="preserve"> </w:t>
      </w:r>
      <w:r>
        <w:t xml:space="preserve">indicate</w:t>
      </w:r>
      <w:r>
        <w:t xml:space="preserve"> </w:t>
      </w:r>
      <w:r>
        <w:t xml:space="preserve">that</w:t>
      </w:r>
      <w:r>
        <w:t xml:space="preserve"> </w:t>
      </w:r>
      <w:r>
        <w:t xml:space="preserve">the</w:t>
      </w:r>
      <w:r>
        <w:t xml:space="preserve"> </w:t>
      </w:r>
      <w:r>
        <w:t xml:space="preserve">restricted/broad</w:t>
      </w:r>
      <w:r>
        <w:t xml:space="preserve"> </w:t>
      </w:r>
      <w:r>
        <w:t xml:space="preserve">separation</w:t>
      </w:r>
      <w:r>
        <w:t xml:space="preserve"> </w:t>
      </w:r>
      <w:r>
        <w:t xml:space="preserve">is</w:t>
      </w:r>
      <w:r>
        <w:t xml:space="preserve"> </w:t>
      </w:r>
      <w:r>
        <w:t xml:space="preserve">a</w:t>
      </w:r>
      <w:r>
        <w:t xml:space="preserve"> </w:t>
      </w:r>
      <w:r>
        <w:t xml:space="preserve">persistent</w:t>
      </w:r>
      <w:r>
        <w:t xml:space="preserve"> </w:t>
      </w:r>
      <w:r>
        <w:t xml:space="preserve">organisational</w:t>
      </w:r>
      <w:r>
        <w:t xml:space="preserve"> </w:t>
      </w:r>
      <w:r>
        <w:t xml:space="preserve">feature</w:t>
      </w:r>
      <w:r>
        <w:t xml:space="preserve"> </w:t>
      </w:r>
      <w:r>
        <w:t xml:space="preserve">of</w:t>
      </w:r>
      <w:r>
        <w:t xml:space="preserve"> </w:t>
      </w:r>
      <w:r>
        <w:t xml:space="preserve">Aurignacian</w:t>
      </w:r>
      <w:r>
        <w:t xml:space="preserve"> </w:t>
      </w:r>
      <w:r>
        <w:t xml:space="preserve">symbolic</w:t>
      </w:r>
      <w:r>
        <w:t xml:space="preserve"> </w:t>
      </w:r>
      <w:r>
        <w:t xml:space="preserve">culture;</w:t>
      </w:r>
      <w:r>
        <w:t xml:space="preserve"> </w:t>
      </w:r>
      <w:r>
        <w:t xml:space="preserve">the</w:t>
      </w:r>
      <w:r>
        <w:t xml:space="preserve"> </w:t>
      </w:r>
      <w:r>
        <w:t xml:space="preserve">absence</w:t>
      </w:r>
      <w:r>
        <w:t xml:space="preserve"> </w:t>
      </w:r>
      <w:r>
        <w:t xml:space="preserve">of</w:t>
      </w:r>
      <w:r>
        <w:t xml:space="preserve"> </w:t>
      </w:r>
      <w:r>
        <w:t xml:space="preserve">a</w:t>
      </w:r>
      <w:r>
        <w:t xml:space="preserve"> </w:t>
      </w:r>
      <w:r>
        <w:t xml:space="preserve">significant</w:t>
      </w:r>
      <w:r>
        <w:t xml:space="preserve"> </w:t>
      </w:r>
      <w:r>
        <w:t xml:space="preserve">geographic</w:t>
      </w:r>
      <w:r>
        <w:t xml:space="preserve"> </w:t>
      </w:r>
      <w:r>
        <w:t xml:space="preserve">correlation</w:t>
      </w:r>
      <w:r>
        <w:t xml:space="preserve"> </w:t>
      </w:r>
      <w:r>
        <w:t xml:space="preserve">is</w:t>
      </w:r>
      <w:r>
        <w:t xml:space="preserve"> </w:t>
      </w:r>
      <w:r>
        <w:t xml:space="preserve">consistent</w:t>
      </w:r>
      <w:r>
        <w:t xml:space="preserve"> </w:t>
      </w:r>
      <w:r>
        <w:t xml:space="preserve">with</w:t>
      </w:r>
      <w:r>
        <w:t xml:space="preserve"> </w:t>
      </w:r>
      <w:r>
        <w:t xml:space="preserve">this</w:t>
      </w:r>
      <w:r>
        <w:t xml:space="preserve"> </w:t>
      </w:r>
      <w:r>
        <w:t xml:space="preserve">interpretation</w:t>
      </w:r>
      <w:r>
        <w:t xml:space="preserve"> </w:t>
      </w:r>
      <w:r>
        <w:t xml:space="preserve">but</w:t>
      </w:r>
      <w:r>
        <w:t xml:space="preserve"> </w:t>
      </w:r>
      <w:r>
        <w:t xml:space="preserve">does</w:t>
      </w:r>
      <w:r>
        <w:t xml:space="preserve"> </w:t>
      </w:r>
      <w:r>
        <w:t xml:space="preserve">not</w:t>
      </w:r>
      <w:r>
        <w:t xml:space="preserve"> </w:t>
      </w:r>
      <w:r>
        <w:t xml:space="preserve">establish</w:t>
      </w:r>
      <w:r>
        <w:t xml:space="preserve"> </w:t>
      </w:r>
      <w:r>
        <w:t xml:space="preserve">it,</w:t>
      </w:r>
      <w:r>
        <w:t xml:space="preserve"> </w:t>
      </w:r>
      <w:r>
        <w:t xml:space="preserve">and</w:t>
      </w:r>
      <w:r>
        <w:t xml:space="preserve"> </w:t>
      </w:r>
      <w:r>
        <w:t xml:space="preserve">the</w:t>
      </w:r>
      <w:r>
        <w:t xml:space="preserve"> </w:t>
      </w:r>
      <w:r>
        <w:t xml:space="preserve">connectivity</w:t>
      </w:r>
      <w:r>
        <w:t xml:space="preserve"> </w:t>
      </w:r>
      <w:r>
        <w:t xml:space="preserve">dynamics</w:t>
      </w:r>
      <w:r>
        <w:t xml:space="preserve"> </w:t>
      </w:r>
      <w:r>
        <w:t xml:space="preserve">of</w:t>
      </w:r>
      <w:r>
        <w:t xml:space="preserve"> </w:t>
      </w:r>
      <w:r>
        <w:t xml:space="preserve">the</w:t>
      </w:r>
      <w:r>
        <w:t xml:space="preserve"> </w:t>
      </w:r>
      <w:r>
        <w:t xml:space="preserve">two</w:t>
      </w:r>
      <w:r>
        <w:t xml:space="preserve"> </w:t>
      </w:r>
      <w:r>
        <w:t xml:space="preserve">phases</w:t>
      </w:r>
      <w:r>
        <w:t xml:space="preserve"> </w:t>
      </w:r>
      <w:r>
        <w:t xml:space="preserve">should</w:t>
      </w:r>
      <w:r>
        <w:t xml:space="preserve"> </w:t>
      </w:r>
      <w:r>
        <w:t xml:space="preserve">be</w:t>
      </w:r>
      <w:r>
        <w:t xml:space="preserve"> </w:t>
      </w:r>
      <w:r>
        <w:t xml:space="preserve">compared</w:t>
      </w:r>
      <w:r>
        <w:t xml:space="preserve"> </w:t>
      </w:r>
      <w:r>
        <w:t xml:space="preserve">net</w:t>
      </w:r>
      <w:r>
        <w:t xml:space="preserve"> </w:t>
      </w:r>
      <w:r>
        <w:t xml:space="preserve">of</w:t>
      </w:r>
      <w:r>
        <w:t xml:space="preserve"> </w:t>
      </w:r>
      <w:r>
        <w:t xml:space="preserve">network</w:t>
      </w:r>
      <w:r>
        <w:t xml:space="preserve"> </w:t>
      </w:r>
      <w:r>
        <w:t xml:space="preserve">size</w:t>
      </w:r>
      <w:r>
        <w:t xml:space="preserve"> </w:t>
      </w:r>
      <w:r>
        <w:t xml:space="preserve">rather</w:t>
      </w:r>
      <w:r>
        <w:t xml:space="preserve"> </w:t>
      </w:r>
      <w:r>
        <w:t xml:space="preserve">than</w:t>
      </w:r>
      <w:r>
        <w:t xml:space="preserve"> </w:t>
      </w:r>
      <w:r>
        <w:t xml:space="preserve">through</w:t>
      </w:r>
      <w:r>
        <w:t xml:space="preserve"> </w:t>
      </w:r>
      <w:r>
        <w:t xml:space="preserve">a</w:t>
      </w:r>
      <w:r>
        <w:t xml:space="preserve"> </w:t>
      </w:r>
      <w:r>
        <w:t xml:space="preserve">simple</w:t>
      </w:r>
      <w:r>
        <w:t xml:space="preserve"> </w:t>
      </w:r>
      <w:r>
        <w:t xml:space="preserve">densest-hub</w:t>
      </w:r>
      <w:r>
        <w:t xml:space="preserve"> </w:t>
      </w:r>
      <w:r>
        <w:t xml:space="preserve">narrative.</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BP) is often linked to the dispersal of</w:t>
      </w:r>
      <w:r>
        <w:t xml:space="preserve"> </w:t>
      </w:r>
      <w:r>
        <w:rPr>
          <w:iCs/>
          <w:i/>
        </w:rPr>
        <w:t xml:space="preserve">Homo sapiens</w:t>
      </w:r>
      <w:r>
        <w:t xml:space="preserve"> </w:t>
      </w:r>
      <w:r>
        <w:t xml:space="preserve">across Western Eurasia, and is characterized by lithic and osseus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suggests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w:t>
      </w:r>
      <w:r>
        <w:t xml:space="preserve"> </w:t>
      </w:r>
      <w:r>
        <w:t xml:space="preserve">[20]</w:t>
      </w:r>
      <w:r>
        <w:t xml:space="preserve">.</w:t>
      </w:r>
      <w:r>
        <w:t xml:space="preserve"> </w:t>
      </w:r>
      <w:r>
        <w:t xml:space="preserve">[21]</w:t>
      </w:r>
      <w:r>
        <w:t xml:space="preserve"> </w:t>
      </w:r>
      <w:r>
        <w:t xml:space="preserve">used Bayesian modeling methods to estimate the timing of the transition between the Proto and Early Aurignacian, placing the Proto-Aurignacian at 41.5–39.9 ka BP, and the early Aurignacian at 39.8–37.8 ka BP. They found that the Proto-Aurignacian occurs during the Greenland Interstadials (GI) 9 and 10, periods of climatic amelioration, while the Early Aurignacian began with the Henrich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[20]</w:t>
      </w:r>
      <w:r>
        <w:t xml:space="preserve">, and some analyses suggest these represent coexisting facies rather than successive phases</w:t>
      </w:r>
      <w:r>
        <w:t xml:space="preserve"> </w:t>
      </w:r>
      <w:r>
        <w:t xml:space="preserve">[22]</w:t>
      </w:r>
      <w:r>
        <w:t xml:space="preserve">. We therefore pool the Proto and Early Aurignac into Aur-P1 (43–37 ka BP) and treat the Evolved/Late Aurignac as Aur-P2 (37–32 ka BP), following the two-phase scheme of</w:t>
      </w:r>
      <w:r>
        <w:t xml:space="preserve"> </w:t>
      </w:r>
      <w:r>
        <w:t xml:space="preserve">[19]</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[20]</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BP dates</w:t>
      </w:r>
      <w:r>
        <w:t xml:space="preserve"> </w:t>
      </w:r>
      <w:r>
        <w:t xml:space="preserve">[27]</w:t>
      </w:r>
      <w:r>
        <w:t xml:space="preserve">, and the Swabian Jura sites of Hohle Fels and Geissenklösterle in the Early Aurignacian</w:t>
      </w:r>
      <w:r>
        <w:t xml:space="preserve"> </w:t>
      </w:r>
      <w:r>
        <w:t xml:space="preserve">[23,Aur-P1, 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Supplement S8, where stratigraphic mixing concerns at Vogelherd are also addressed</w:t>
      </w:r>
      <w:r>
        <w:t xml:space="preserve"> </w:t>
      </w:r>
      <w:r>
        <w:t xml:space="preserve">[31]</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1"/>
              <w:gridCol w:w="155"/>
              <w:gridCol w:w="6749"/>
              <w:gridCol w:w="813"/>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absent/very rare Blade and bladelet production now run as separate reduction sequences, with carinated and nosed end-scrapers systematically used as bladelet cores; thick blades with invasive, scalar Aurignacian retouch, sometimes waisted/strangled; Dufour bladelets now include the smaller Roc-de-Combe subtype alongside Dufour; split-based antler/bone points (regionally variable)</w:t>
                  </w:r>
                </w:p>
              </w:tc>
              <w:tc>
                <w:tcPr/>
                <w:p>
                  <w:pPr>
                    <w:pStyle w:val="Compact"/>
                    <w:jc w:val="left"/>
                    <w:jc w:val="center"/>
                  </w:pPr>
                  <w:r>
                    <w:t xml:space="preserve">Spans Greenland Stadial 12 to GI 10 and 9 Begins with Heinrich Stadial 4, ends with GI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plus bipoint Font-Yves/Krems bladelets; split-based points disappear,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[12,19,21,32]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410 objects found at 28 sites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3714749"/>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[33]</w:t>
      </w:r>
      <w:r>
        <w:t xml:space="preserve">. The calibrated radiocarbon dates of the sampled data range from approximately 33 to 45 ka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Supplementary Material item</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8 sites and 10 sign types. A Mantel test to evaluate the correlation between distance in time and distribution of sign types found a weak but nominally statistically significant correlation (R = 0.061, p = 0.009).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[36]</w:t>
      </w:r>
      <w:r>
        <w:t xml:space="preserve">. The test indicated that there was no significant correlation between object abundance and sign type distribution (R = 0.174, p = 0.074),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[37]</w:t>
      </w:r>
      <w:r>
        <w:t xml:space="preserve">. This relationship can be investigated using the isolation-by-distance framework, which proposes that cultural difference can be primarily explained by geographic distance</w:t>
      </w:r>
      <w:r>
        <w:t xml:space="preserve"> </w:t>
      </w:r>
      <w:r>
        <w:t xml:space="preserve">[34]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Supplementary Material item</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Supplementary Material item</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0.045</w:t>
                  </w:r>
                </w:p>
              </w:tc>
              <w:tc>
                <w:tcPr/>
                <w:p>
                  <w:pPr>
                    <w:pStyle w:val="Compact"/>
                    <w:jc w:val="right"/>
                    <w:jc w:val="center"/>
                  </w:pPr>
                  <w:r>
                    <w:t xml:space="preserve">0.311</w:t>
                  </w:r>
                </w:p>
              </w:tc>
            </w:tr>
            <w:tr>
              <w:tc>
                <w:tcPr/>
                <w:p>
                  <w:pPr>
                    <w:pStyle w:val="Compact"/>
                    <w:jc w:val="left"/>
                    <w:jc w:val="center"/>
                  </w:pPr>
                  <w:r>
                    <w:t xml:space="preserve">Aur-P2</w:t>
                  </w:r>
                </w:p>
              </w:tc>
              <w:tc>
                <w:tcPr/>
                <w:p>
                  <w:pPr>
                    <w:pStyle w:val="Compact"/>
                    <w:jc w:val="right"/>
                    <w:jc w:val="center"/>
                  </w:pPr>
                  <w:r>
                    <w:t xml:space="preserve">-0.303</w:t>
                  </w:r>
                </w:p>
              </w:tc>
              <w:tc>
                <w:tcPr/>
                <w:p>
                  <w:pPr>
                    <w:pStyle w:val="Compact"/>
                    <w:jc w:val="right"/>
                    <w:jc w:val="center"/>
                  </w:pPr>
                  <w:r>
                    <w:t xml:space="preserve">0.943</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[38]</w:t>
      </w:r>
      <w:r>
        <w:t xml:space="preserve">. We used the Brower-Kile</w:t>
      </w:r>
      <w:r>
        <w:t xml:space="preserve"> </w:t>
      </w:r>
      <w:r>
        <w:t xml:space="preserve">[39]</w:t>
      </w:r>
      <w:r>
        <w:t xml:space="preserve"> </w:t>
      </w:r>
      <w:r>
        <w:t xml:space="preserve">seriation algorithm from the seriation package</w:t>
      </w:r>
      <w:r>
        <w:t xml:space="preserve"> </w:t>
      </w:r>
      <w:r>
        <w:t xml:space="preserve">[38]</w:t>
      </w:r>
      <w:r>
        <w:t xml:space="preserve">, in which a unidimensional sequence is generated by reordering the rows and columns to group the presences along the diagonal.</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[40]</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Supplementary Material item</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[41]</w:t>
      </w:r>
      <w:r>
        <w:t xml:space="preserve">, a force-directed graph layout for uniform edge lengths, and network analysis was performed using the vegan</w:t>
      </w:r>
      <w:r>
        <w:t xml:space="preserve"> </w:t>
      </w:r>
      <w:r>
        <w:t xml:space="preserve">[36]</w:t>
      </w:r>
      <w:r>
        <w:t xml:space="preserve">, statnet</w:t>
      </w:r>
      <w:r>
        <w:t xml:space="preserve"> </w:t>
      </w:r>
      <w:r>
        <w:t xml:space="preserve">[42]</w:t>
      </w:r>
      <w:r>
        <w:t xml:space="preserve"> </w:t>
      </w:r>
      <w:r>
        <w:t xml:space="preserve">and igraph</w:t>
      </w:r>
      <w:r>
        <w:t xml:space="preserve"> </w:t>
      </w:r>
      <w:r>
        <w:t xml:space="preserve">[43]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[44,45]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[36]</w:t>
      </w:r>
      <w:r>
        <w:t xml:space="preserve"> </w:t>
      </w:r>
      <w:r>
        <w:t xml:space="preserve">and igraph</w:t>
      </w:r>
      <w:r>
        <w:t xml:space="preserve"> </w:t>
      </w:r>
      <w:r>
        <w:t xml:space="preserve">[43]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(see our Supplementary Material item</w:t>
      </w:r>
      <w:r>
        <w:t xml:space="preserve"> </w:t>
      </w:r>
      <w:r>
        <w:t xml:space="preserve">“</w:t>
      </w:r>
      <w:r>
        <w:t xml:space="preserve">Sensitivity Analyses</w:t>
      </w:r>
      <w:r>
        <w:t xml:space="preserve">”</w:t>
      </w:r>
      <w:r>
        <w:t xml:space="preserve"> </w:t>
      </w:r>
      <w:r>
        <w:t xml:space="preserve">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943600" cy="3657600"/>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9436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Brower-Kile seriation algorithm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yellow,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(2 sites). Bootstrap resampling of sites confirms that the Aur-P1 two-group structure is stable to sampling variation; the stochastic block model independently selects a three-block structure for Aur-P1 and a two-block structure for Aur-P2 , reproducing the manual restricted/broad split to differing degrees across phases. Per-site robustness of the restricted/broad assignment is quantified in our Supplementary Material item</w:t>
      </w:r>
      <w:r>
        <w:t xml:space="preserve"> </w:t>
      </w:r>
      <w:r>
        <w:t xml:space="preserve">“</w:t>
      </w:r>
      <w:r>
        <w:t xml:space="preserve">Sensitivity Analyses</w:t>
      </w:r>
      <w:r>
        <w:t xml:space="preserve">”</w:t>
      </w:r>
      <w:r>
        <w:t xml:space="preserve"> </w:t>
      </w:r>
      <w:r>
        <w:t xml:space="preserve">S6.</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and Bockstein-Törle, which share a wider repertoire (including hatching and oblique notch, obnotch). While the Aur-P1 seriation results hint at a robust two-member structure, the Aur-P2 partition rests on only eight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Networks statistics for the two phases. The vertical black lines are the null 95% confidence interval, the colored dot is the observed statistic value (orange = p&lt;0.05, blue =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and a restricted-range group (Les Rois, Sirgenstein Cave, La Viña, Mladeč, Gargas, Vindija Cave). Inter-group connectivity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random distribution within each phase, and pairwise randomisation tests comparing the two phases. Within-phase, edge density does not significantly differ from random in either phase. Modularity is moderate in Aur-P1 (0.3-0.4), consistent with the restricted/broad community structure</w:t>
      </w:r>
      <w:r>
        <w:t xml:space="preserve"> </w:t>
      </w:r>
      <w:r>
        <w:t xml:space="preserve">[46]</w:t>
      </w:r>
      <w:r>
        <w:t xml:space="preserve">, and the null-benchmarked and size-normalised (Erdős–Rényi) comparisons in our Supplementary Material item</w:t>
      </w:r>
      <w:r>
        <w:t xml:space="preserve"> </w:t>
      </w:r>
      <w:r>
        <w:t xml:space="preserve">“</w:t>
      </w:r>
      <w:r>
        <w:t xml:space="preserve">Sensitivity Analyses</w:t>
      </w:r>
      <w:r>
        <w:t xml:space="preserve">”</w:t>
      </w:r>
      <w:r>
        <w:t xml:space="preserve"> </w:t>
      </w:r>
      <w:r>
        <w:t xml:space="preserve">S5.9 evaluate this structure net of network size. Pairwise permutation tests with Benjamini–Hochberg correction show that the phases do not differ significantly in edge density (p = 0.2523), betweenness (p = 0.4629), or component count (p = 0.5072), but differ significantly in modularity (adjusted p &lt; 0.001), indicating that the Aur-P1 and Aur-P2 networks differ in their community structure rather than in their overall density.</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inter-group connectivity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0.195</w:t>
                  </w:r>
                </w:p>
              </w:tc>
              <w:tc>
                <w:tcPr/>
                <w:p>
                  <w:pPr>
                    <w:pStyle w:val="Compact"/>
                    <w:jc w:val="right"/>
                    <w:jc w:val="center"/>
                  </w:pPr>
                  <w:r>
                    <w:t xml:space="preserve">4.367</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0.226</w:t>
                  </w:r>
                </w:p>
              </w:tc>
              <w:tc>
                <w:tcPr/>
                <w:p>
                  <w:pPr>
                    <w:pStyle w:val="Compact"/>
                    <w:jc w:val="right"/>
                    <w:jc w:val="center"/>
                  </w:pPr>
                  <w:r>
                    <w:t xml:space="preserve">1.755</w:t>
                  </w:r>
                </w:p>
              </w:tc>
              <w:tc>
                <w:tcPr/>
                <w:p>
                  <w:pPr>
                    <w:pStyle w:val="Compact"/>
                    <w:jc w:val="right"/>
                    <w:jc w:val="center"/>
                  </w:pPr>
                  <w:r>
                    <w:t xml:space="preserve">0.147</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0.195 of the variance in sign composition in the Aur-P1 phase and 0.226 in the Aur-P2 phase (</w:t>
      </w:r>
      <w:hyperlink w:anchor="tbl-strength-table">
        <w:r>
          <w:rPr>
            <w:rStyle w:val="Hyperlink"/>
          </w:rPr>
          <w:t xml:space="preserve">Table 3</w:t>
        </w:r>
      </w:hyperlink>
      <w:r>
        <w:t xml:space="preserve">). While R^2 is stable across phases, the pseudo-F statistic differs: the Aur-P1 phase shows the greater group separation (F = 4.367) than Aur-P2 (F = 1.755). The betadisper test for homogeneity of multivariate dispersions shows that group dispersion does not differ significantly between restricted and broad groups in either phase (Aur-P1: p = 0.114, Aur-P2: p = 0.953). This confirms that the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(2 sites).</w:t>
      </w:r>
      <w:r>
        <w:t xml:space="preserve"> </w:t>
      </w: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differ significantly in modularity (adjusted p &lt; 0.001) but not in edge density (p = 0.2523), betweenness (p = 0.4629), or component count (p = 0.5072), so the Aur-P1–Aur-P2 contrast is best described as a difference in community structure rather than in overall connectedness. The perMANOVA tests confirm that the restricted- and broad-range groups are significantly separated in sign composition within Aur-P1 (R² = 0.195, p = 0.001), while the separation within Aur-P2 is not significant (R² = 0.226, p = 0.147),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[47–54]</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[4,54–65]</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0.85, p &lt; 0.001). However, node degree within each phase is not correlated with sign-type richness (see our Supplementary Material item</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Supplementary Material item</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[66]</w:t>
      </w:r>
      <w:r>
        <w:t xml:space="preserve">;</w:t>
      </w:r>
      <w:r>
        <w:t xml:space="preserve"> </w:t>
      </w:r>
      <w:r>
        <w:t xml:space="preserve">[67]</w:t>
      </w:r>
      <w:r>
        <w:t xml:space="preserve">;</w:t>
      </w:r>
      <w:r>
        <w:t xml:space="preserve"> </w:t>
      </w:r>
      <w:r>
        <w:t xml:space="preserve">[52]</w:t>
      </w:r>
      <w:r>
        <w:t xml:space="preserve">;</w:t>
      </w:r>
      <w:r>
        <w:t xml:space="preserve"> </w:t>
      </w:r>
      <w:r>
        <w:t xml:space="preserve">[68]</w:t>
      </w:r>
      <w:r>
        <w:t xml:space="preserve">;</w:t>
      </w:r>
      <w:r>
        <w:t xml:space="preserve"> </w:t>
      </w:r>
      <w:r>
        <w:t xml:space="preserve">[53]</w:t>
      </w:r>
      <w:r>
        <w:t xml:space="preserve">. Non-utilitarian mobility establishes regional social networks which facilitate the spread of information and the survival of hunter-gatherers in uncertain environments</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 The exchange and production of decorative items, such as objects with geometric signs, has been associated with non-utilitarian mobility and recognized as an indicator of social contact</w:t>
      </w:r>
      <w:r>
        <w:t xml:space="preserve"> </w:t>
      </w:r>
      <w:r>
        <w:t xml:space="preserve">[69]</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w:t>
      </w:r>
      <w:r>
        <w:t xml:space="preserve"> </w:t>
      </w:r>
      <w:r>
        <w:t xml:space="preserve">[77]</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[78]</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[78]</w:t>
      </w:r>
      <w:r>
        <w:t xml:space="preserve">, including, in some cases, decorative objects</w:t>
      </w:r>
      <w:r>
        <w:t xml:space="preserve"> </w:t>
      </w:r>
      <w:r>
        <w:t xml:space="preserve">[74]</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[2,79–85]</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[86,87]</w:t>
      </w:r>
      <w:r>
        <w:t xml:space="preserve">. The sign-type pool — the number of distinct geometric signs recovered in each phase — was 26 in Aur-P1 and 10 in Aur-P2.</w:t>
      </w:r>
    </w:p>
    <w:p>
      <w:pPr>
        <w:pStyle w:val="BodyText"/>
      </w:pPr>
      <w:r>
        <w:t xml:space="preserve">When each site’s observed diversity is compared with the expectation for its sample size, 5 of 20 Aur-P1 sites and 3 of 8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-0.23, Aur-P2 mean excess 0.04),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significant negative correlation with network degree (ρ = -0.38, p = 0.0459501), indicating that aggregation candidates are less connected rather than merely decoupled from network hubs. The correlation with betweenness was not significant (ρ = -0.14, p = 0.4820486). Object count was positively correlated with degree centrality (degree: ρ = 0.44, p = 0.0176994), indicating that hubs tend to be among the better-sampled sites. The elevated diversity identifying aggregation candidates did not differ significantly between the restricted and broad-range groups (Wilcoxon W = 62, p = 0.1033813), so this metric does not by itself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0.045;</w:t>
      </w:r>
      <w:r>
        <w:t xml:space="preserve"> </w:t>
      </w:r>
      <w:hyperlink w:anchor="tbl-mantel-table">
        <w:r>
          <w:rPr>
            <w:rStyle w:val="Hyperlink"/>
          </w:rPr>
          <w:t xml:space="preserve">Table 2</w:t>
        </w:r>
      </w:hyperlink>
      <w:r>
        <w:t xml:space="preserve">), and no significant geographic signal was detected in either phase (Aur-P2: R = -0.303). A permutation test of the difference between these Mantel correlations (D = 0.35, p = 0.164;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BP, the population density in Europe was extremely low, due to the unfavorable environmental conditions of Greenland Stadial 12 (44 ka BP) and the slow westward expansion of early modern humans</w:t>
      </w:r>
      <w:r>
        <w:t xml:space="preserve"> </w:t>
      </w:r>
      <w:r>
        <w:t xml:space="preserve">[88]</w:t>
      </w:r>
      <w:r>
        <w:t xml:space="preserve">. This was followed by rapid expansion from 43.25–41 ka BP, with the maximum extent of early Aurignacian (Aur-P1) settlement being reached around 41 ka BP (</w:t>
      </w:r>
      <w:r>
        <w:t xml:space="preserve">[20]</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[89–97]</w:t>
      </w:r>
      <w:r>
        <w:t xml:space="preserve">. Quantitative demographic reconstructions suggest that western and central European Aurignacian populations numbered approximately 1500 individuals</w:t>
      </w:r>
      <w:r>
        <w:t xml:space="preserve"> </w:t>
      </w:r>
      <w:r>
        <w:t xml:space="preserve">[20]</w:t>
      </w:r>
      <w:r>
        <w:t xml:space="preserve">, a relatively small number that may partly explain why our networks remain small and sparsely connected across both phases.</w:t>
      </w:r>
      <w:r>
        <w:t xml:space="preserve"> </w:t>
      </w:r>
      <w:r>
        <w:t xml:space="preserve">[20]</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 hubs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[21]</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17 in Aur-P2. However, after accounting for network size, Aur-P2 actually shows a higher edge density, and neither phase shows a significant geographic signal (Aur-P1 Mantel R = 0.045, Aur-P2 Mantel R = -0.303), suggesting that sign sharing was not primarily driven by expansion into new, spatially structured niches. Similarly,</w:t>
      </w:r>
      <w:r>
        <w:t xml:space="preserve"> </w:t>
      </w:r>
      <w:r>
        <w:t xml:space="preserve">[19]</w:t>
      </w:r>
      <w:r>
        <w:t xml:space="preserve"> </w:t>
      </w:r>
      <w:r>
        <w:t xml:space="preserve">developed a human-existence probability model for the Aurignacian, finding an expanded, more dispersed settlement area for the Evolved/Late Aurignacian, and</w:t>
      </w:r>
      <w:r>
        <w:t xml:space="preserve"> </w:t>
      </w:r>
      <w:r>
        <w:t xml:space="preserve">[88]</w:t>
      </w:r>
      <w:r>
        <w:t xml:space="preserve"> </w:t>
      </w:r>
      <w:r>
        <w:t xml:space="preserve">also identifies increased expansion marking the beginning of the Evolved Aurignacian. In our data Aur-P2’s wider spatial spread was not accompanied by stronger sign-type sharing, consistent with weaker inter-site connectivity relative to network size.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0.045; Aur-P2: R = -0.303),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[98]</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[98]</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[99–101]</w:t>
      </w:r>
      <w:r>
        <w:t xml:space="preserve">. Smaller populations are predicted to experience greater drift and reduced capacity to maintain complex cultural repertoires</w:t>
      </w:r>
      <w:r>
        <w:t xml:space="preserve"> </w:t>
      </w:r>
      <w:r>
        <w:t xml:space="preserve">[102]</w:t>
      </w:r>
      <w:r>
        <w:t xml:space="preserve">, which is consistent with our observation that the sign-type pool is larger in the Aur-P1 phase (26 types) than in the Aur-P2 phase (10 types). Network structure also shapes cultural information flow: highly connected networks with hub structures facilitate rapid transmission and reduce drift</w:t>
      </w:r>
      <w:r>
        <w:t xml:space="preserve"> </w:t>
      </w:r>
      <w:r>
        <w:t xml:space="preserve">[103,104]</w:t>
      </w:r>
      <w:r>
        <w:t xml:space="preserve">, while more clustered networks promote localised conformist transmission and differentiation within subgroups</w:t>
      </w:r>
      <w:r>
        <w:t xml:space="preserve"> </w:t>
      </w:r>
      <w:r>
        <w:t xml:space="preserve">[105]</w:t>
      </w:r>
      <w:r>
        <w:t xml:space="preserve">. Our Aur-P1 network, with the higher mean degree (7.5°) and hub structure centred on key sites, would be expected to show efficient sign-type transmission — consistent with the wide geographic spread of common signs. Aur-P2 shows higher relative edge density but a lower mean degree (4.2°) and no significant geographic signal (Mantel R = -0.303, p = 0.943), suggesting more localised interactions. The reduced connectivity in Aur-P2 relative to Aur-P1 may reflect population consolidation and more localised social structures. However, the lack of significant geographic structure in either phase contradicts simple isolation-by-distance models</w:t>
      </w:r>
      <w:r>
        <w:t xml:space="preserve"> </w:t>
      </w:r>
      <w:r>
        <w:t xml:space="preserve">[102,106]</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0.045, p = 0.311; Aur-P2: R = -0.303, p = 0.943).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[107]</w:t>
      </w:r>
      <w:r>
        <w:t xml:space="preserve"> </w:t>
      </w:r>
      <w:r>
        <w:t xml:space="preserve">(sign sequences having protocuneiform-like information density, suggesting notational function) and</w:t>
      </w:r>
      <w:r>
        <w:t xml:space="preserve"> </w:t>
      </w:r>
      <w:r>
        <w:t xml:space="preserve">[108]</w:t>
      </w:r>
      <w:r>
        <w:t xml:space="preserve"> </w:t>
      </w:r>
      <w:r>
        <w:t xml:space="preserve">(some signs recording seasonal prey information). However, both hypotheses are contested:</w:t>
      </w:r>
      <w:r>
        <w:t xml:space="preserve"> </w:t>
      </w:r>
      <w:r>
        <w:t xml:space="preserve">[109]</w:t>
      </w:r>
      <w:r>
        <w:t xml:space="preserve"> </w:t>
      </w:r>
      <w:r>
        <w:t xml:space="preserve">note methodological issues in Bentz &amp; Dutkiewicz;</w:t>
      </w:r>
      <w:r>
        <w:t xml:space="preserve"> </w:t>
      </w:r>
      <w:r>
        <w:t xml:space="preserve">[110]</w:t>
      </w:r>
      <w:r>
        <w:t xml:space="preserve"> </w:t>
      </w:r>
      <w:r>
        <w:t xml:space="preserve">and</w:t>
      </w:r>
      <w:r>
        <w:t xml:space="preserve"> </w:t>
      </w:r>
      <w:r>
        <w:t xml:space="preserve">[111]</w:t>
      </w:r>
      <w:r>
        <w:t xml:space="preserve"> </w:t>
      </w:r>
      <w:r>
        <w:t xml:space="preserve">argue the lunar calendar hypothesis is untestable, circular, and selectively uses data;</w:t>
      </w:r>
      <w:r>
        <w:t xml:space="preserve"> </w:t>
      </w:r>
      <w:r>
        <w:t xml:space="preserve">[112]</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[3,80,113–116]</w:t>
      </w:r>
      <w:r>
        <w:t xml:space="preserve"> </w:t>
      </w:r>
      <w:r>
        <w:t xml:space="preserve">has used material culture analysis to reconstruct Upper Palaeolithic social networks, which have been argued to be a driver of cultural and evolutionary change</w:t>
      </w:r>
      <w:r>
        <w:t xml:space="preserve"> </w:t>
      </w:r>
      <w:r>
        <w:t xml:space="preserve">[2,73,117–121]</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differ significantly in community structure (modularity, adjusted p &lt; 0.001) but not in edge density,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[122]</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[79]</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[98]</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[123]</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[124]</w:t>
      </w:r>
      <w:r>
        <w:t xml:space="preserve">, and additionally, greater quantities of included sign types serve to establish stronger connections</w:t>
      </w:r>
      <w:r>
        <w:t xml:space="preserve"> </w:t>
      </w:r>
      <w:r>
        <w:t xml:space="preserve">[122]</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[107]</w:t>
      </w:r>
      <w:r>
        <w:t xml:space="preserve">.</w:t>
      </w:r>
    </w:p>
    <w:p>
      <w:pPr>
        <w:pStyle w:val="BodyText"/>
      </w:pPr>
      <w:r>
        <w:t xml:space="preserve">A further limitation concerns the effects of time-averaging on our network reconstructions.</w:t>
      </w:r>
      <w:r>
        <w:t xml:space="preserve"> </w:t>
      </w:r>
      <w:r>
        <w:t xml:space="preserve">[125]</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[68]</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BP dates indicate an Evolved (Aur-P2) attribution</w:t>
      </w:r>
      <w:r>
        <w:t xml:space="preserve"> </w:t>
      </w:r>
      <w:r>
        <w:t xml:space="preserve">[27]</w:t>
      </w:r>
      <w:r>
        <w:t xml:space="preserve">. Additionally, Vogelherd Cave’s stratigraphy is severely compromised by excavation methodology and post-depositional disturbance, with documented mixing between Aurignacian, Gravettian, and Magdalenian layers</w:t>
      </w:r>
      <w:r>
        <w:t xml:space="preserve"> </w:t>
      </w:r>
      <w:r>
        <w:t xml:space="preserve">[31]</w:t>
      </w:r>
      <w:r>
        <w:t xml:space="preserve">. After exclusions, Aur-P2 rests on only 8 sites and 34 objects, so its two-group structure and network statistics must be read with explicit power caveats, and any claim about it is made conditional on that small sample. We test the sensitivity of our assignments to reverting to purely date-based criteria in Supplement S8. The Proto/Early merger reflects this documented chronological overlap and further avoids treating the poorly-sampled Proto as a distinct analytic phase.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http://doi.org/XXX/XXX.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supplement-sensitivity.qmd</w:t>
      </w:r>
      <w:r>
        <w:t xml:space="preserve">, and</w:t>
      </w:r>
      <w:r>
        <w:t xml:space="preserve"> </w:t>
      </w:r>
      <w:r>
        <w:rPr>
          <w:rStyle w:val="VerbatimChar"/>
        </w:rPr>
        <w:t xml:space="preserve">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[126,127]</w:t>
      </w:r>
      <w:r>
        <w:t xml:space="preserve">.</w:t>
      </w:r>
    </w:p>
    <w:bookmarkEnd w:id="61"/>
    <w:bookmarkStart w:id="280" w:name="references"/>
    <w:p>
      <w:pPr>
        <w:pStyle w:val="Heading1"/>
      </w:pPr>
      <w:r>
        <w:t xml:space="preserve">References</w:t>
      </w:r>
    </w:p>
    <w:bookmarkStart w:id="279"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 cantabrian 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 stajnia cave (poland).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5" w:name="ref-dinnis2019thoughts"/>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p>
    <w:bookmarkEnd w:id="85"/>
    <w:bookmarkStart w:id="86" w:name="ref-falcucci2020breaking"/>
    <w:p>
      <w:pPr>
        <w:pStyle w:val="Bibliography"/>
      </w:pPr>
      <w:r>
        <w:t xml:space="preserve">[14]</w:t>
      </w:r>
      <w:r>
        <w:t xml:space="preserve"> </w:t>
      </w:r>
      <w:r>
        <w:t xml:space="preserve">	</w:t>
      </w:r>
      <w:r>
        <w:t xml:space="preserve">Falcucci A, Conard NJ, Peresani M, et al.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p>
    <w:bookmarkEnd w:id="86"/>
    <w:bookmarkStart w:id="87"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The</w:t>
      </w:r>
      <w:r>
        <w:t xml:space="preserve"> </w:t>
      </w:r>
      <w:r>
        <w:t xml:space="preserve">Mediterranean</w:t>
      </w:r>
      <w:r>
        <w:t xml:space="preserve"> </w:t>
      </w:r>
      <w:r>
        <w:t xml:space="preserve">from 50 000 to 25 000 BP, vol. 323, Oxbow Books; 2009.</w:t>
      </w:r>
    </w:p>
    <w:bookmarkEnd w:id="87"/>
    <w:bookmarkStart w:id="88"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88"/>
    <w:bookmarkStart w:id="89"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 p</w:t>
      </w:r>
      <w:r>
        <w:t xml:space="preserve">é</w:t>
      </w:r>
      <w:r>
        <w:t xml:space="preserve">rigord. Towards a Definition of the Aurignacian 2006;45:147–71.</w:t>
      </w:r>
    </w:p>
    <w:bookmarkEnd w:id="89"/>
    <w:bookmarkStart w:id="90"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0"/>
    <w:bookmarkStart w:id="92" w:name="X68cdd7ba62fc5dd3e1e9b497937717305f7b9a0"/>
    <w:p>
      <w:pPr>
        <w:pStyle w:val="Bibliography"/>
      </w:pPr>
      <w:r>
        <w:t xml:space="preserve">[19]</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 https://doi.org/</w:t>
      </w:r>
      <w:hyperlink r:id="rId91">
        <w:r>
          <w:rPr>
            <w:rStyle w:val="Hyperlink"/>
          </w:rPr>
          <w:t xml:space="preserve">https://doi.org/10.1016/j.quascirev.2021.106995</w:t>
        </w:r>
      </w:hyperlink>
      <w:r>
        <w:t xml:space="preserve">.</w:t>
      </w:r>
    </w:p>
    <w:bookmarkEnd w:id="92"/>
    <w:bookmarkStart w:id="94" w:name="ref-Schmidt_Zimmermann_2019"/>
    <w:p>
      <w:pPr>
        <w:pStyle w:val="Bibliography"/>
      </w:pPr>
      <w:r>
        <w:t xml:space="preserve">[20]</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3">
        <w:r>
          <w:rPr>
            <w:rStyle w:val="Hyperlink"/>
          </w:rPr>
          <w:t xml:space="preserve">https://doi.org/10.1371/journal.pone.0211562</w:t>
        </w:r>
      </w:hyperlink>
      <w:r>
        <w:t xml:space="preserve">.</w:t>
      </w:r>
    </w:p>
    <w:bookmarkEnd w:id="94"/>
    <w:bookmarkStart w:id="96" w:name="ref-Banks_dErrico_Zilhao_2013"/>
    <w:p>
      <w:pPr>
        <w:pStyle w:val="Bibliography"/>
      </w:pPr>
      <w:r>
        <w:t xml:space="preserve">[21]</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 https://doi.org/</w:t>
      </w:r>
      <w:hyperlink r:id="rId95">
        <w:r>
          <w:rPr>
            <w:rStyle w:val="Hyperlink"/>
          </w:rPr>
          <w:t xml:space="preserve">https://doi.org/10.1016/j.jhevol.2012.10.001</w:t>
        </w:r>
      </w:hyperlink>
      <w:r>
        <w:t xml:space="preserve">.</w:t>
      </w:r>
    </w:p>
    <w:bookmarkEnd w:id="96"/>
    <w:bookmarkStart w:id="98"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97">
        <w:r>
          <w:rPr>
            <w:rStyle w:val="Hyperlink"/>
          </w:rPr>
          <w:t xml:space="preserve">https://doi.org/10.1371/journal.pone.0189241</w:t>
        </w:r>
      </w:hyperlink>
      <w:r>
        <w:t xml:space="preserve">.</w:t>
      </w:r>
    </w:p>
    <w:bookmarkEnd w:id="98"/>
    <w:bookmarkStart w:id="100"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2019;65:7–30.</w:t>
      </w:r>
      <w:r>
        <w:t xml:space="preserve"> </w:t>
      </w:r>
      <w:hyperlink r:id="rId99">
        <w:r>
          <w:rPr>
            <w:rStyle w:val="Hyperlink"/>
          </w:rPr>
          <w:t xml:space="preserve">https://doi.org/10.7485/QU65_2</w:t>
        </w:r>
      </w:hyperlink>
      <w:r>
        <w:t xml:space="preserve">.</w:t>
      </w:r>
    </w:p>
    <w:bookmarkEnd w:id="100"/>
    <w:bookmarkStart w:id="101"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1"/>
    <w:bookmarkStart w:id="103" w:name="ref-Higham_Abri_Pataud_2011"/>
    <w:p>
      <w:pPr>
        <w:pStyle w:val="Bibliography"/>
      </w:pPr>
      <w:r>
        <w:t xml:space="preserve">[25]</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02">
        <w:r>
          <w:rPr>
            <w:rStyle w:val="Hyperlink"/>
          </w:rPr>
          <w:t xml:space="preserve">https://doi.org/10.1016/j.jhevol.2011.06.001</w:t>
        </w:r>
      </w:hyperlink>
      <w:r>
        <w:t xml:space="preserve">.</w:t>
      </w:r>
    </w:p>
    <w:bookmarkEnd w:id="103"/>
    <w:bookmarkStart w:id="105" w:name="ref-Talamo_La_Ferrassie_2020"/>
    <w:p>
      <w:pPr>
        <w:pStyle w:val="Bibliography"/>
      </w:pPr>
      <w:r>
        <w:t xml:space="preserve">[26]</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04">
        <w:r>
          <w:rPr>
            <w:rStyle w:val="Hyperlink"/>
          </w:rPr>
          <w:t xml:space="preserve">https://doi.org/10.1002/jqs.3223</w:t>
        </w:r>
      </w:hyperlink>
      <w:r>
        <w:t xml:space="preserve">.</w:t>
      </w:r>
    </w:p>
    <w:bookmarkEnd w:id="105"/>
    <w:bookmarkStart w:id="107" w:name="ref-Oliva_2006"/>
    <w:p>
      <w:pPr>
        <w:pStyle w:val="Bibliography"/>
      </w:pPr>
      <w:r>
        <w:t xml:space="preserve">[27]</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06">
        <w:r>
          <w:rPr>
            <w:rStyle w:val="Hyperlink"/>
          </w:rPr>
          <w:t xml:space="preserve">https://doi.org/10.1007/3-211-38327-6_3</w:t>
        </w:r>
      </w:hyperlink>
      <w:r>
        <w:t xml:space="preserve">.</w:t>
      </w:r>
    </w:p>
    <w:bookmarkEnd w:id="107"/>
    <w:bookmarkStart w:id="109"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 AH IV 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08">
        <w:r>
          <w:rPr>
            <w:rStyle w:val="Hyperlink"/>
          </w:rPr>
          <w:t xml:space="preserve">https://doi.org/10.1371/journal.pone.0194097</w:t>
        </w:r>
      </w:hyperlink>
      <w:r>
        <w:t xml:space="preserve">.</w:t>
      </w:r>
    </w:p>
    <w:bookmarkEnd w:id="109"/>
    <w:bookmarkStart w:id="110"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0"/>
    <w:bookmarkStart w:id="112"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P@lethnology, Toulouse; 2015, p. 57–75.</w:t>
      </w:r>
      <w:r>
        <w:t xml:space="preserve"> </w:t>
      </w:r>
      <w:hyperlink r:id="rId111">
        <w:r>
          <w:rPr>
            <w:rStyle w:val="Hyperlink"/>
          </w:rPr>
          <w:t xml:space="preserve">https://doi.org/10.4000/palethnologie.736</w:t>
        </w:r>
      </w:hyperlink>
      <w:r>
        <w:t xml:space="preserve">.</w:t>
      </w:r>
    </w:p>
    <w:bookmarkEnd w:id="112"/>
    <w:bookmarkStart w:id="114" w:name="ref-Schurch_Conard_2026"/>
    <w:p>
      <w:pPr>
        <w:pStyle w:val="Bibliography"/>
      </w:pPr>
      <w:r>
        <w:t xml:space="preserve">[31]</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13">
        <w:r>
          <w:rPr>
            <w:rStyle w:val="Hyperlink"/>
          </w:rPr>
          <w:t xml:space="preserve">https://doi.org/10.1007/s41982-025-00298-3</w:t>
        </w:r>
      </w:hyperlink>
      <w:r>
        <w:t xml:space="preserve">.</w:t>
      </w:r>
    </w:p>
    <w:bookmarkEnd w:id="114"/>
    <w:bookmarkStart w:id="116"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5">
        <w:r>
          <w:rPr>
            <w:rStyle w:val="Hyperlink"/>
          </w:rPr>
          <w:t xml:space="preserve">https://doi.org/10.1016/j.quascirev.2009.11.015</w:t>
        </w:r>
      </w:hyperlink>
      <w:r>
        <w:t xml:space="preserve">.</w:t>
      </w:r>
    </w:p>
    <w:bookmarkEnd w:id="116"/>
    <w:bookmarkStart w:id="118" w:name="ref-Crema_Bevan_2021"/>
    <w:p>
      <w:pPr>
        <w:pStyle w:val="Bibliography"/>
      </w:pPr>
      <w:r>
        <w:t xml:space="preserve">[33]</w:t>
      </w:r>
      <w:r>
        <w:t xml:space="preserve"> </w:t>
      </w:r>
      <w:r>
        <w:t xml:space="preserve">	</w:t>
      </w:r>
      <w:r>
        <w:t xml:space="preserve">Crema ER, Bevan A. INFERENCE FROM LARGE SETS OF RADIOCARBON DATES: SOFTWARE AND METHODS. Radiocarbon 2021;63:23–39.</w:t>
      </w:r>
      <w:r>
        <w:t xml:space="preserve"> </w:t>
      </w:r>
      <w:hyperlink r:id="rId117">
        <w:r>
          <w:rPr>
            <w:rStyle w:val="Hyperlink"/>
          </w:rPr>
          <w:t xml:space="preserve">https://doi.org/10.1017/RDC.2020.95</w:t>
        </w:r>
      </w:hyperlink>
      <w:r>
        <w:t xml:space="preserve">.</w:t>
      </w:r>
    </w:p>
    <w:bookmarkEnd w:id="118"/>
    <w:bookmarkStart w:id="120" w:name="ref-Lycett_2019"/>
    <w:p>
      <w:pPr>
        <w:pStyle w:val="Bibliography"/>
      </w:pPr>
      <w:r>
        <w:t xml:space="preserve">[34]</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9">
        <w:r>
          <w:rPr>
            <w:rStyle w:val="Hyperlink"/>
          </w:rPr>
          <w:t xml:space="preserve">https://doi.org/10.1007/s12520-018-0742-3</w:t>
        </w:r>
      </w:hyperlink>
      <w:r>
        <w:t xml:space="preserve">.</w:t>
      </w:r>
    </w:p>
    <w:bookmarkEnd w:id="120"/>
    <w:bookmarkStart w:id="122" w:name="ref-Mantel_Smouse"/>
    <w:p>
      <w:pPr>
        <w:pStyle w:val="Bibliography"/>
      </w:pPr>
      <w:r>
        <w:t xml:space="preserve">[35]</w:t>
      </w:r>
      <w:r>
        <w:t xml:space="preserve"> </w:t>
      </w:r>
      <w:r>
        <w:t xml:space="preserve">	</w:t>
      </w:r>
      <w:r>
        <w:t xml:space="preserve">Smouse PE, Long JC. Matrix correlation analysis in anthropology and genetics. American Journal of Physical Anthropology 1992;35:187–213. https://doi.org/</w:t>
      </w:r>
      <w:hyperlink r:id="rId121">
        <w:r>
          <w:rPr>
            <w:rStyle w:val="Hyperlink"/>
          </w:rPr>
          <w:t xml:space="preserve">https://doi.org/10.1002/ajpa.1330350608</w:t>
        </w:r>
      </w:hyperlink>
      <w:r>
        <w:t xml:space="preserve">.</w:t>
      </w:r>
    </w:p>
    <w:bookmarkEnd w:id="122"/>
    <w:bookmarkStart w:id="124" w:name="ref-Vegan2001"/>
    <w:p>
      <w:pPr>
        <w:pStyle w:val="Bibliography"/>
      </w:pPr>
      <w:r>
        <w:t xml:space="preserve">[36]</w:t>
      </w:r>
      <w:r>
        <w:t xml:space="preserve"> </w:t>
      </w:r>
      <w:r>
        <w:t xml:space="preserve">	</w:t>
      </w:r>
      <w:r>
        <w:t xml:space="preserve">Oksanen J, Simpson GL, Blanchet FG, Kindt R, Legendre P, Minchin PR, et al. Vegan: Community ecology package 2001:25–31.</w:t>
      </w:r>
      <w:r>
        <w:t xml:space="preserve"> </w:t>
      </w:r>
      <w:hyperlink r:id="rId123">
        <w:r>
          <w:rPr>
            <w:rStyle w:val="Hyperlink"/>
          </w:rPr>
          <w:t xml:space="preserve">https://doi.org/10.32614/CRAN.package.vegan</w:t>
        </w:r>
      </w:hyperlink>
      <w:r>
        <w:t xml:space="preserve">.</w:t>
      </w:r>
    </w:p>
    <w:bookmarkEnd w:id="124"/>
    <w:bookmarkStart w:id="126" w:name="ref-Rigaud_dErrico_Vanhaeren_2015"/>
    <w:p>
      <w:pPr>
        <w:pStyle w:val="Bibliography"/>
      </w:pPr>
      <w:r>
        <w:t xml:space="preserve">[37]</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5">
        <w:r>
          <w:rPr>
            <w:rStyle w:val="Hyperlink"/>
          </w:rPr>
          <w:t xml:space="preserve">https://doi.org/10.1371/journal.pone.0121166</w:t>
        </w:r>
      </w:hyperlink>
      <w:r>
        <w:t xml:space="preserve">.</w:t>
      </w:r>
    </w:p>
    <w:bookmarkEnd w:id="126"/>
    <w:bookmarkStart w:id="128" w:name="ref-seriation_pckge"/>
    <w:p>
      <w:pPr>
        <w:pStyle w:val="Bibliography"/>
      </w:pPr>
      <w:r>
        <w:t xml:space="preserve">[38]</w:t>
      </w:r>
      <w:r>
        <w:t xml:space="preserve"> </w:t>
      </w:r>
      <w:r>
        <w:t xml:space="preserve">	</w:t>
      </w:r>
      <w:r>
        <w:t xml:space="preserve">Hahsler M, Hornik K, Buchta C. Getting things in order: An introduction to the r package seriation. Journal of Statistical Software 2008;25:1–34.</w:t>
      </w:r>
      <w:r>
        <w:t xml:space="preserve"> </w:t>
      </w:r>
      <w:hyperlink r:id="rId127">
        <w:r>
          <w:rPr>
            <w:rStyle w:val="Hyperlink"/>
          </w:rPr>
          <w:t xml:space="preserve">https://doi.org/10.18637/jss.v025.i03</w:t>
        </w:r>
      </w:hyperlink>
      <w:r>
        <w:t xml:space="preserve">.</w:t>
      </w:r>
    </w:p>
    <w:bookmarkEnd w:id="128"/>
    <w:bookmarkStart w:id="130" w:name="ref-Brower_Kile_1988"/>
    <w:p>
      <w:pPr>
        <w:pStyle w:val="Bibliography"/>
      </w:pPr>
      <w:r>
        <w:t xml:space="preserve">[39]</w:t>
      </w:r>
      <w:r>
        <w:t xml:space="preserve"> </w:t>
      </w:r>
      <w:r>
        <w:t xml:space="preserve">	</w:t>
      </w:r>
      <w:r>
        <w:t xml:space="preserve">Brower JC, Kile KM. Seriation of an original data matrix as applied to paleoecology. Lethaia 1988;21:79–93.</w:t>
      </w:r>
      <w:r>
        <w:t xml:space="preserve"> </w:t>
      </w:r>
      <w:hyperlink r:id="rId129">
        <w:r>
          <w:rPr>
            <w:rStyle w:val="Hyperlink"/>
          </w:rPr>
          <w:t xml:space="preserve">https://doi.org/10.1111/j.1502-3931.1988.tb01756.x</w:t>
        </w:r>
      </w:hyperlink>
      <w:r>
        <w:t xml:space="preserve">.</w:t>
      </w:r>
    </w:p>
    <w:bookmarkEnd w:id="130"/>
    <w:bookmarkStart w:id="132" w:name="ref-Mills_2017"/>
    <w:p>
      <w:pPr>
        <w:pStyle w:val="Bibliography"/>
      </w:pPr>
      <w:r>
        <w:t xml:space="preserve">[40]</w:t>
      </w:r>
      <w:r>
        <w:t xml:space="preserve"> </w:t>
      </w:r>
      <w:r>
        <w:t xml:space="preserve">	</w:t>
      </w:r>
      <w:r>
        <w:t xml:space="preserve">Mills BJ. Social network analysis in archaeology. Annual Review of Anthropology 2017;46:379–97.</w:t>
      </w:r>
      <w:r>
        <w:t xml:space="preserve"> </w:t>
      </w:r>
      <w:hyperlink r:id="rId131">
        <w:r>
          <w:rPr>
            <w:rStyle w:val="Hyperlink"/>
          </w:rPr>
          <w:t xml:space="preserve">https://doi.org/10.1146/annurev-anthro-102116-041423</w:t>
        </w:r>
      </w:hyperlink>
      <w:r>
        <w:t xml:space="preserve">.</w:t>
      </w:r>
    </w:p>
    <w:bookmarkEnd w:id="132"/>
    <w:bookmarkStart w:id="134" w:name="ref-Fruchterman_Reingold_1991"/>
    <w:p>
      <w:pPr>
        <w:pStyle w:val="Bibliography"/>
      </w:pPr>
      <w:r>
        <w:t xml:space="preserve">[41]</w:t>
      </w:r>
      <w:r>
        <w:t xml:space="preserve"> </w:t>
      </w:r>
      <w:r>
        <w:t xml:space="preserve">	</w:t>
      </w:r>
      <w:r>
        <w:t xml:space="preserve">Fruchterman TMJ, Reingold EM. Graph drawing by force-directed placement. Software: Practice and Experience 1991;21:1129–64.</w:t>
      </w:r>
      <w:r>
        <w:t xml:space="preserve"> </w:t>
      </w:r>
      <w:hyperlink r:id="rId133">
        <w:r>
          <w:rPr>
            <w:rStyle w:val="Hyperlink"/>
          </w:rPr>
          <w:t xml:space="preserve">https://doi.org/10.1002/spe.4380211102</w:t>
        </w:r>
      </w:hyperlink>
      <w:r>
        <w:t xml:space="preserve">.</w:t>
      </w:r>
    </w:p>
    <w:bookmarkEnd w:id="134"/>
    <w:bookmarkStart w:id="136" w:name="ref-statnet_package"/>
    <w:p>
      <w:pPr>
        <w:pStyle w:val="Bibliography"/>
      </w:pPr>
      <w:r>
        <w:t xml:space="preserve">[42]</w:t>
      </w:r>
      <w:r>
        <w:t xml:space="preserve"> </w:t>
      </w:r>
      <w:r>
        <w:t xml:space="preserve">	</w:t>
      </w:r>
      <w:r>
        <w:t xml:space="preserve">Pavel N. Krivitsky MSH, Hunter DR, Butts CT, Bojanowski M, Klumb C, Goodreau SM, et al.</w:t>
      </w:r>
      <w:r>
        <w:t xml:space="preserve"> </w:t>
      </w:r>
      <w:hyperlink r:id="rId135">
        <w:r>
          <w:rPr>
            <w:rStyle w:val="Hyperlink"/>
          </w:rPr>
          <w:t xml:space="preserve">Statnet: Tools for the statistical modeling of network data</w:t>
        </w:r>
      </w:hyperlink>
      <w:r>
        <w:t xml:space="preserve"> </w:t>
      </w:r>
      <w:r>
        <w:t xml:space="preserve">2003–2024.</w:t>
      </w:r>
    </w:p>
    <w:bookmarkEnd w:id="136"/>
    <w:bookmarkStart w:id="138" w:name="ref-igraph_package"/>
    <w:p>
      <w:pPr>
        <w:pStyle w:val="Bibliography"/>
      </w:pPr>
      <w:r>
        <w:t xml:space="preserve">[43]</w:t>
      </w:r>
      <w:r>
        <w:t xml:space="preserve"> </w:t>
      </w:r>
      <w:r>
        <w:t xml:space="preserve">	</w:t>
      </w:r>
      <w:r>
        <w:t xml:space="preserve">Csardi G, Nepusz T.</w:t>
      </w:r>
      <w:r>
        <w:t xml:space="preserve"> </w:t>
      </w:r>
      <w:hyperlink r:id="rId137">
        <w:r>
          <w:rPr>
            <w:rStyle w:val="Hyperlink"/>
          </w:rPr>
          <w:t xml:space="preserve">The igraph software package for complex network research</w:t>
        </w:r>
      </w:hyperlink>
      <w:r>
        <w:t xml:space="preserve">. InterJournal 2006;Complex Systems:1695.</w:t>
      </w:r>
    </w:p>
    <w:bookmarkEnd w:id="138"/>
    <w:bookmarkStart w:id="140" w:name="ref-Anderson_2017"/>
    <w:p>
      <w:pPr>
        <w:pStyle w:val="Bibliography"/>
      </w:pPr>
      <w:r>
        <w:t xml:space="preserve">[44]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39">
        <w:r>
          <w:rPr>
            <w:rStyle w:val="Hyperlink"/>
          </w:rPr>
          <w:t xml:space="preserve">https://doi.org/10.1002/9781118445112.stat07841</w:t>
        </w:r>
      </w:hyperlink>
      <w:r>
        <w:t xml:space="preserve">.</w:t>
      </w:r>
    </w:p>
    <w:bookmarkEnd w:id="140"/>
    <w:bookmarkStart w:id="142" w:name="ref-Shennan_Crema_Kerig_2015"/>
    <w:p>
      <w:pPr>
        <w:pStyle w:val="Bibliography"/>
      </w:pPr>
      <w:r>
        <w:t xml:space="preserve">[45]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1">
        <w:r>
          <w:rPr>
            <w:rStyle w:val="Hyperlink"/>
          </w:rPr>
          <w:t xml:space="preserve">https://doi.org/10.1016/j.evolhumbehav.2014.09.006</w:t>
        </w:r>
      </w:hyperlink>
      <w:r>
        <w:t xml:space="preserve">.</w:t>
      </w:r>
    </w:p>
    <w:bookmarkEnd w:id="142"/>
    <w:bookmarkStart w:id="143" w:name="ref-newman2004finding"/>
    <w:p>
      <w:pPr>
        <w:pStyle w:val="Bibliography"/>
      </w:pPr>
      <w:r>
        <w:t xml:space="preserve">[46]</w:t>
      </w:r>
      <w:r>
        <w:t xml:space="preserve"> </w:t>
      </w:r>
      <w:r>
        <w:t xml:space="preserve">	</w:t>
      </w:r>
      <w:r>
        <w:t xml:space="preserve">Newman ME, Girvan M. Finding and evaluating community structure in networks. Physical Review E 2004;69:026113.</w:t>
      </w:r>
    </w:p>
    <w:bookmarkEnd w:id="143"/>
    <w:bookmarkStart w:id="145" w:name="ref-Finlayson_Warren_2017"/>
    <w:p>
      <w:pPr>
        <w:pStyle w:val="Bibliography"/>
      </w:pPr>
      <w:r>
        <w:t xml:space="preserve">[47]</w:t>
      </w:r>
      <w:r>
        <w:t xml:space="preserve"> </w:t>
      </w:r>
      <w:r>
        <w:t xml:space="preserve">	</w:t>
      </w:r>
      <w:r>
        <w:t xml:space="preserve">Finlayson B, Warren G.</w:t>
      </w:r>
      <w:r>
        <w:t xml:space="preserve"> </w:t>
      </w:r>
      <w:hyperlink r:id="rId144">
        <w:r>
          <w:rPr>
            <w:rStyle w:val="Hyperlink"/>
          </w:rPr>
          <w:t xml:space="preserve">The diversity of hunter-gatherer pasts: An introduction</w:t>
        </w:r>
      </w:hyperlink>
      <w:r>
        <w:t xml:space="preserve">. In: Finlayson B, Warren G, editors. The diversity of hunter gatherer pasts. 1st ed., Oxbow Books; 2017, p. 1–14.</w:t>
      </w:r>
    </w:p>
    <w:bookmarkEnd w:id="145"/>
    <w:bookmarkStart w:id="147" w:name="ref-Riches_1995"/>
    <w:p>
      <w:pPr>
        <w:pStyle w:val="Bibliography"/>
      </w:pPr>
      <w:r>
        <w:t xml:space="preserve">[48]</w:t>
      </w:r>
      <w:r>
        <w:t xml:space="preserve"> </w:t>
      </w:r>
      <w:r>
        <w:t xml:space="preserve">	</w:t>
      </w:r>
      <w:r>
        <w:t xml:space="preserve">Riches D. Hunter-gatherer structural transformations. The Journal of the Royal Anthropological Institute 1995;1:679–701.</w:t>
      </w:r>
      <w:r>
        <w:t xml:space="preserve"> </w:t>
      </w:r>
      <w:hyperlink r:id="rId146">
        <w:r>
          <w:rPr>
            <w:rStyle w:val="Hyperlink"/>
          </w:rPr>
          <w:t xml:space="preserve">https://doi.org/10.2307/3034956</w:t>
        </w:r>
      </w:hyperlink>
      <w:r>
        <w:t xml:space="preserve">.</w:t>
      </w:r>
    </w:p>
    <w:bookmarkEnd w:id="147"/>
    <w:bookmarkStart w:id="149" w:name="ref-Price_Brown_1985"/>
    <w:p>
      <w:pPr>
        <w:pStyle w:val="Bibliography"/>
      </w:pPr>
      <w:r>
        <w:t xml:space="preserve">[49]</w:t>
      </w:r>
      <w:r>
        <w:t xml:space="preserve"> </w:t>
      </w:r>
      <w:r>
        <w:t xml:space="preserve">	</w:t>
      </w:r>
      <w:r>
        <w:t xml:space="preserve">Price TD, Brown JA. Aspects of hunter–gatherer complexity. In: Price TD, Brown JA, editors. Prehistoric hunters-gatherers, Academic Press; 1985, p. 3–20. https://doi.org/</w:t>
      </w:r>
      <w:hyperlink r:id="rId148">
        <w:r>
          <w:rPr>
            <w:rStyle w:val="Hyperlink"/>
          </w:rPr>
          <w:t xml:space="preserve">https://doi.org/10.1016/B978-0-12-564750-2.50006-8</w:t>
        </w:r>
      </w:hyperlink>
      <w:r>
        <w:t xml:space="preserve">.</w:t>
      </w:r>
    </w:p>
    <w:bookmarkEnd w:id="149"/>
    <w:bookmarkStart w:id="151" w:name="ref-Lane_2017"/>
    <w:p>
      <w:pPr>
        <w:pStyle w:val="Bibliography"/>
      </w:pPr>
      <w:r>
        <w:t xml:space="preserve">[50]</w:t>
      </w:r>
      <w:r>
        <w:t xml:space="preserve"> </w:t>
      </w:r>
      <w:r>
        <w:t xml:space="preserve">	</w:t>
      </w:r>
      <w:r>
        <w:t xml:space="preserve">Lane PJ.</w:t>
      </w:r>
      <w:r>
        <w:t xml:space="preserve"> </w:t>
      </w:r>
      <w:hyperlink r:id="rId150">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1"/>
    <w:bookmarkStart w:id="152" w:name="ref-Pate_2006"/>
    <w:p>
      <w:pPr>
        <w:pStyle w:val="Bibliography"/>
      </w:pPr>
      <w:r>
        <w:t xml:space="preserve">[51]</w:t>
      </w:r>
      <w:r>
        <w:t xml:space="preserve"> </w:t>
      </w:r>
      <w:r>
        <w:t xml:space="preserve">	</w:t>
      </w:r>
      <w:r>
        <w:t xml:space="preserve">Pate F. Hunter-gatherer social complexity at roonka flat, south australia. The social archaeology of australian indigenous societies, Aboriginal Studies Press; 2006, p. 226–41.</w:t>
      </w:r>
    </w:p>
    <w:bookmarkEnd w:id="152"/>
    <w:bookmarkStart w:id="154" w:name="ref-Johnson_2014"/>
    <w:p>
      <w:pPr>
        <w:pStyle w:val="Bibliography"/>
      </w:pPr>
      <w:r>
        <w:t xml:space="preserve">[52]</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3">
        <w:r>
          <w:rPr>
            <w:rStyle w:val="Hyperlink"/>
          </w:rPr>
          <w:t xml:space="preserve">https://doi.org/10.1007/s10814-013-9068-y</w:t>
        </w:r>
      </w:hyperlink>
      <w:r>
        <w:t xml:space="preserve">.</w:t>
      </w:r>
    </w:p>
    <w:bookmarkEnd w:id="154"/>
    <w:bookmarkStart w:id="156" w:name="ref-Singh_Glowacki_2022"/>
    <w:p>
      <w:pPr>
        <w:pStyle w:val="Bibliography"/>
      </w:pPr>
      <w:r>
        <w:t xml:space="preserve">[53]</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 https://doi.org/</w:t>
      </w:r>
      <w:hyperlink r:id="rId155">
        <w:r>
          <w:rPr>
            <w:rStyle w:val="Hyperlink"/>
          </w:rPr>
          <w:t xml:space="preserve">https://doi.org/10.1016/j.evolhumbehav.2022.07.003</w:t>
        </w:r>
      </w:hyperlink>
      <w:r>
        <w:t xml:space="preserve">.</w:t>
      </w:r>
    </w:p>
    <w:bookmarkEnd w:id="156"/>
    <w:bookmarkStart w:id="158" w:name="ref-Schwendler_2012"/>
    <w:p>
      <w:pPr>
        <w:pStyle w:val="Bibliography"/>
      </w:pPr>
      <w:r>
        <w:t xml:space="preserve">[54]</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 https://doi.org/</w:t>
      </w:r>
      <w:hyperlink r:id="rId157">
        <w:r>
          <w:rPr>
            <w:rStyle w:val="Hyperlink"/>
          </w:rPr>
          <w:t xml:space="preserve">https://doi.org/10.1016/j.quaint.2012.03.054</w:t>
        </w:r>
      </w:hyperlink>
      <w:r>
        <w:t xml:space="preserve">.</w:t>
      </w:r>
    </w:p>
    <w:bookmarkEnd w:id="158"/>
    <w:bookmarkStart w:id="160" w:name="ref-Morwood_1987"/>
    <w:p>
      <w:pPr>
        <w:pStyle w:val="Bibliography"/>
      </w:pPr>
      <w:r>
        <w:t xml:space="preserve">[55]</w:t>
      </w:r>
      <w:r>
        <w:t xml:space="preserve"> </w:t>
      </w:r>
      <w:r>
        <w:t xml:space="preserve">	</w:t>
      </w:r>
      <w:r>
        <w:t xml:space="preserve">Morwood MJ. The archaeology of social complexity in south-east queensland. Proceedings of the Prehistoric Society 1987;53:337–50.</w:t>
      </w:r>
      <w:r>
        <w:t xml:space="preserve"> </w:t>
      </w:r>
      <w:hyperlink r:id="rId159">
        <w:r>
          <w:rPr>
            <w:rStyle w:val="Hyperlink"/>
          </w:rPr>
          <w:t xml:space="preserve">https://doi.org/10.1017/S0079497X00006265</w:t>
        </w:r>
      </w:hyperlink>
      <w:r>
        <w:t xml:space="preserve">.</w:t>
      </w:r>
    </w:p>
    <w:bookmarkEnd w:id="160"/>
    <w:bookmarkStart w:id="162" w:name="ref-Mattson_2021"/>
    <w:p>
      <w:pPr>
        <w:pStyle w:val="Bibliography"/>
      </w:pPr>
      <w:r>
        <w:t xml:space="preserve">[56]</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1">
        <w:r>
          <w:rPr>
            <w:rStyle w:val="Hyperlink"/>
          </w:rPr>
          <w:t xml:space="preserve">https://doi.org/10.2307/j.ctv24q4z2g.5</w:t>
        </w:r>
      </w:hyperlink>
      <w:r>
        <w:t xml:space="preserve">.</w:t>
      </w:r>
    </w:p>
    <w:bookmarkEnd w:id="162"/>
    <w:bookmarkStart w:id="163" w:name="ref-Larsson_2006"/>
    <w:p>
      <w:pPr>
        <w:pStyle w:val="Bibliography"/>
      </w:pPr>
      <w:r>
        <w:t xml:space="preserve">[57]</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63"/>
    <w:bookmarkStart w:id="165" w:name="ref-Moore_2010"/>
    <w:p>
      <w:pPr>
        <w:pStyle w:val="Bibliography"/>
      </w:pPr>
      <w:r>
        <w:t xml:space="preserve">[58]</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4">
        <w:r>
          <w:rPr>
            <w:rStyle w:val="Hyperlink"/>
          </w:rPr>
          <w:t xml:space="preserve">https://doi.org/10.1179/sea.2010.29.1.013</w:t>
        </w:r>
      </w:hyperlink>
      <w:r>
        <w:t xml:space="preserve">.</w:t>
      </w:r>
    </w:p>
    <w:bookmarkEnd w:id="165"/>
    <w:bookmarkStart w:id="167" w:name="ref-Alfonso-Durrruty_Giles_Misarti2015"/>
    <w:p>
      <w:pPr>
        <w:pStyle w:val="Bibliography"/>
      </w:pPr>
      <w:r>
        <w:t xml:space="preserve">[59]</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6">
        <w:r>
          <w:rPr>
            <w:rStyle w:val="Hyperlink"/>
          </w:rPr>
          <w:t xml:space="preserve">https://doi.org/10.1002/ajpa.22832</w:t>
        </w:r>
      </w:hyperlink>
      <w:r>
        <w:t xml:space="preserve">.</w:t>
      </w:r>
    </w:p>
    <w:bookmarkEnd w:id="167"/>
    <w:bookmarkStart w:id="168" w:name="ref-Vanhaeren_2005"/>
    <w:p>
      <w:pPr>
        <w:pStyle w:val="Bibliography"/>
      </w:pPr>
      <w:r>
        <w:t xml:space="preserve">[60]</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8"/>
    <w:bookmarkStart w:id="170" w:name="ref-Conkey_1985"/>
    <w:p>
      <w:pPr>
        <w:pStyle w:val="Bibliography"/>
      </w:pPr>
      <w:r>
        <w:t xml:space="preserve">[61]</w:t>
      </w:r>
      <w:r>
        <w:t xml:space="preserve"> </w:t>
      </w:r>
      <w:r>
        <w:t xml:space="preserve">	</w:t>
      </w:r>
      <w:r>
        <w:t xml:space="preserve">Conkey M.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 https://doi.org/</w:t>
      </w:r>
      <w:hyperlink r:id="rId169">
        <w:r>
          <w:rPr>
            <w:rStyle w:val="Hyperlink"/>
          </w:rPr>
          <w:t xml:space="preserve">https://doi.org/10.1016/B978-0-12-564750-2.50016-0</w:t>
        </w:r>
      </w:hyperlink>
      <w:r>
        <w:t xml:space="preserve">.</w:t>
      </w:r>
    </w:p>
    <w:bookmarkEnd w:id="170"/>
    <w:bookmarkStart w:id="171" w:name="ref-Conkey_1978"/>
    <w:p>
      <w:pPr>
        <w:pStyle w:val="Bibliography"/>
      </w:pPr>
      <w:r>
        <w:t xml:space="preserve">[62]</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1"/>
    <w:bookmarkStart w:id="173" w:name="ref-Tilley_1982"/>
    <w:p>
      <w:pPr>
        <w:pStyle w:val="Bibliography"/>
      </w:pPr>
      <w:r>
        <w:t xml:space="preserve">[63]</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2">
        <w:r>
          <w:rPr>
            <w:rStyle w:val="Hyperlink"/>
          </w:rPr>
          <w:t xml:space="preserve">https://doi.org/10.1017/CBO9780511558252.004</w:t>
        </w:r>
      </w:hyperlink>
      <w:r>
        <w:t xml:space="preserve">.</w:t>
      </w:r>
    </w:p>
    <w:bookmarkEnd w:id="173"/>
    <w:bookmarkStart w:id="175" w:name="ref-Hodder1979"/>
    <w:p>
      <w:pPr>
        <w:pStyle w:val="Bibliography"/>
      </w:pPr>
      <w:r>
        <w:t xml:space="preserve">[64]</w:t>
      </w:r>
      <w:r>
        <w:t xml:space="preserve"> </w:t>
      </w:r>
      <w:r>
        <w:t xml:space="preserve">	</w:t>
      </w:r>
      <w:r>
        <w:t xml:space="preserve">Hodder I.</w:t>
      </w:r>
      <w:r>
        <w:t xml:space="preserve"> </w:t>
      </w:r>
      <w:hyperlink r:id="rId174">
        <w:r>
          <w:rPr>
            <w:rStyle w:val="Hyperlink"/>
          </w:rPr>
          <w:t xml:space="preserve">Economic and social stress and material culture patterning</w:t>
        </w:r>
      </w:hyperlink>
      <w:r>
        <w:t xml:space="preserve">. American Antiquity 1979;44:446–54.</w:t>
      </w:r>
    </w:p>
    <w:bookmarkEnd w:id="175"/>
    <w:bookmarkStart w:id="177" w:name="ref-Hodder1977"/>
    <w:p>
      <w:pPr>
        <w:pStyle w:val="Bibliography"/>
      </w:pPr>
      <w:r>
        <w:t xml:space="preserve">[65]</w:t>
      </w:r>
      <w:r>
        <w:t xml:space="preserve"> </w:t>
      </w:r>
      <w:r>
        <w:t xml:space="preserve">	</w:t>
      </w:r>
      <w:r>
        <w:t xml:space="preserve">Hodder I.</w:t>
      </w:r>
      <w:r>
        <w:t xml:space="preserve"> </w:t>
      </w:r>
      <w:hyperlink r:id="rId176">
        <w:r>
          <w:rPr>
            <w:rStyle w:val="Hyperlink"/>
          </w:rPr>
          <w:t xml:space="preserve">The distribution of material culture items in the baringo district, western kenya</w:t>
        </w:r>
      </w:hyperlink>
      <w:r>
        <w:t xml:space="preserve">. Man 1977;12:239–69.</w:t>
      </w:r>
    </w:p>
    <w:bookmarkEnd w:id="177"/>
    <w:bookmarkStart w:id="178" w:name="ref-Binford_1990"/>
    <w:p>
      <w:pPr>
        <w:pStyle w:val="Bibliography"/>
      </w:pPr>
      <w:r>
        <w:t xml:space="preserve">[66]</w:t>
      </w:r>
      <w:r>
        <w:t xml:space="preserve"> </w:t>
      </w:r>
      <w:r>
        <w:t xml:space="preserve">	</w:t>
      </w:r>
      <w:r>
        <w:t xml:space="preserve">Binford LR. Mobility, housing, and environment: A comparative study. Journal of Anthropological Research 1990;46:119–52.</w:t>
      </w:r>
    </w:p>
    <w:bookmarkEnd w:id="178"/>
    <w:bookmarkStart w:id="179" w:name="ref-Kelly_1983"/>
    <w:p>
      <w:pPr>
        <w:pStyle w:val="Bibliography"/>
      </w:pPr>
      <w:r>
        <w:t xml:space="preserve">[67]</w:t>
      </w:r>
      <w:r>
        <w:t xml:space="preserve"> </w:t>
      </w:r>
      <w:r>
        <w:t xml:space="preserve">	</w:t>
      </w:r>
      <w:r>
        <w:t xml:space="preserve">Kelly RL. Hunter-gatherer mobility strategies. Journal of Anthropological Research 1983;39:277–306.</w:t>
      </w:r>
    </w:p>
    <w:bookmarkEnd w:id="179"/>
    <w:bookmarkStart w:id="181" w:name="ref-Padilla-Iglesias_Bischoff_2024"/>
    <w:p>
      <w:pPr>
        <w:pStyle w:val="Bibliography"/>
      </w:pPr>
      <w:r>
        <w:t xml:space="preserve">[68]</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0">
        <w:r>
          <w:rPr>
            <w:rStyle w:val="Hyperlink"/>
          </w:rPr>
          <w:t xml:space="preserve">https://doi.org/10.1016/j.jasrep.2024.104798</w:t>
        </w:r>
      </w:hyperlink>
      <w:r>
        <w:t xml:space="preserve">.</w:t>
      </w:r>
    </w:p>
    <w:bookmarkEnd w:id="181"/>
    <w:bookmarkStart w:id="183" w:name="ref-Whallon_2006"/>
    <w:p>
      <w:pPr>
        <w:pStyle w:val="Bibliography"/>
      </w:pPr>
      <w:r>
        <w:t xml:space="preserve">[69]</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2">
        <w:r>
          <w:rPr>
            <w:rStyle w:val="Hyperlink"/>
          </w:rPr>
          <w:t xml:space="preserve">https://doi.org/10.1016/j.jaa.2005.11.004</w:t>
        </w:r>
      </w:hyperlink>
      <w:r>
        <w:t xml:space="preserve">.</w:t>
      </w:r>
    </w:p>
    <w:bookmarkEnd w:id="183"/>
    <w:bookmarkStart w:id="184" w:name="ref-Fitzhugh_Phillips_Gjesfeld_2011"/>
    <w:p>
      <w:pPr>
        <w:pStyle w:val="Bibliography"/>
      </w:pPr>
      <w:r>
        <w:t xml:space="preserve">[70]</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4"/>
    <w:bookmarkStart w:id="186" w:name="ref-Lovis_Donahue_2011"/>
    <w:p>
      <w:pPr>
        <w:pStyle w:val="Bibliography"/>
      </w:pPr>
      <w:r>
        <w:t xml:space="preserve">[71]</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5">
        <w:r>
          <w:rPr>
            <w:rStyle w:val="Hyperlink"/>
          </w:rPr>
          <w:t xml:space="preserve">https://doi.org/10.2307/j.ctvdmwwz4.7</w:t>
        </w:r>
      </w:hyperlink>
      <w:r>
        <w:t xml:space="preserve">.</w:t>
      </w:r>
    </w:p>
    <w:bookmarkEnd w:id="186"/>
    <w:bookmarkStart w:id="188" w:name="ref-Hitchcock_Ebert_2011"/>
    <w:p>
      <w:pPr>
        <w:pStyle w:val="Bibliography"/>
      </w:pPr>
      <w:r>
        <w:t xml:space="preserve">[72]</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7">
        <w:r>
          <w:rPr>
            <w:rStyle w:val="Hyperlink"/>
          </w:rPr>
          <w:t xml:space="preserve">https://doi.org/10.2307/j.ctvdmwwz4.10</w:t>
        </w:r>
      </w:hyperlink>
      <w:r>
        <w:t xml:space="preserve">.</w:t>
      </w:r>
    </w:p>
    <w:bookmarkEnd w:id="188"/>
    <w:bookmarkStart w:id="190" w:name="ref-Romano_Lozano_Fern2022"/>
    <w:p>
      <w:pPr>
        <w:pStyle w:val="Bibliography"/>
      </w:pPr>
      <w:r>
        <w:t xml:space="preserve">[73]</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 https://doi.org/</w:t>
      </w:r>
      <w:hyperlink r:id="rId189">
        <w:r>
          <w:rPr>
            <w:rStyle w:val="Hyperlink"/>
          </w:rPr>
          <w:t xml:space="preserve">https://doi.org/10.1098/rstb.2020.0318</w:t>
        </w:r>
      </w:hyperlink>
      <w:r>
        <w:t xml:space="preserve">.</w:t>
      </w:r>
    </w:p>
    <w:bookmarkEnd w:id="190"/>
    <w:bookmarkStart w:id="192" w:name="ref-Kelly_2024"/>
    <w:p>
      <w:pPr>
        <w:pStyle w:val="Bibliography"/>
      </w:pPr>
      <w:r>
        <w:t xml:space="preserve">[74]</w:t>
      </w:r>
      <w:r>
        <w:t xml:space="preserve"> </w:t>
      </w:r>
      <w:r>
        <w:t xml:space="preserve">	</w:t>
      </w:r>
      <w:r>
        <w:t xml:space="preserve">Kelly P. Comparing australian message sticks and sequentially marked objects of the</w:t>
      </w:r>
      <w:r>
        <w:t xml:space="preserve"> </w:t>
      </w:r>
      <w:r>
        <w:t xml:space="preserve">Upper Palaeolithic</w:t>
      </w:r>
      <w:r>
        <w:t xml:space="preserve">: Problems and opportunities. Topics in Cognitive Science 2024.</w:t>
      </w:r>
      <w:r>
        <w:t xml:space="preserve"> </w:t>
      </w:r>
      <w:hyperlink r:id="rId191">
        <w:r>
          <w:rPr>
            <w:rStyle w:val="Hyperlink"/>
          </w:rPr>
          <w:t xml:space="preserve">https://doi.org/10.1111/tops.12762</w:t>
        </w:r>
      </w:hyperlink>
      <w:r>
        <w:t xml:space="preserve">.</w:t>
      </w:r>
    </w:p>
    <w:bookmarkEnd w:id="192"/>
    <w:bookmarkStart w:id="194" w:name="ref-Kinahan_2013"/>
    <w:p>
      <w:pPr>
        <w:pStyle w:val="Bibliography"/>
      </w:pPr>
      <w:r>
        <w:t xml:space="preserve">[75]</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3">
        <w:r>
          <w:rPr>
            <w:rStyle w:val="Hyperlink"/>
          </w:rPr>
          <w:t xml:space="preserve">https://doi.org/10.3213/2191-5784-10243</w:t>
        </w:r>
      </w:hyperlink>
      <w:r>
        <w:t xml:space="preserve">.</w:t>
      </w:r>
    </w:p>
    <w:bookmarkEnd w:id="194"/>
    <w:bookmarkStart w:id="196" w:name="ref-Newlander_2012"/>
    <w:p>
      <w:pPr>
        <w:pStyle w:val="Bibliography"/>
      </w:pPr>
      <w:r>
        <w:t xml:space="preserve">[76]</w:t>
      </w:r>
      <w:r>
        <w:t xml:space="preserve"> </w:t>
      </w:r>
      <w:r>
        <w:t xml:space="preserve">	</w:t>
      </w:r>
      <w:r>
        <w:t xml:space="preserve">Newlander KS.</w:t>
      </w:r>
      <w:r>
        <w:t xml:space="preserve"> </w:t>
      </w:r>
      <w:hyperlink r:id="rId195">
        <w:r>
          <w:rPr>
            <w:rStyle w:val="Hyperlink"/>
          </w:rPr>
          <w:t xml:space="preserve">Exchange, embedded procurement, and hunter-gatherer mobility: A case study from the north american great basin</w:t>
        </w:r>
      </w:hyperlink>
      <w:r>
        <w:t xml:space="preserve">. Ph.D. University of Michigan, 2012.</w:t>
      </w:r>
    </w:p>
    <w:bookmarkEnd w:id="196"/>
    <w:bookmarkStart w:id="198" w:name="ref-Iizuka_Ferguson_Izuho_2022"/>
    <w:p>
      <w:pPr>
        <w:pStyle w:val="Bibliography"/>
      </w:pPr>
      <w:r>
        <w:t xml:space="preserve">[77]</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7">
        <w:r>
          <w:rPr>
            <w:rStyle w:val="Hyperlink"/>
          </w:rPr>
          <w:t xml:space="preserve">https://doi.org/10.1371/journal.pone.0265329</w:t>
        </w:r>
      </w:hyperlink>
      <w:r>
        <w:t xml:space="preserve">.</w:t>
      </w:r>
    </w:p>
    <w:bookmarkEnd w:id="198"/>
    <w:bookmarkStart w:id="200" w:name="ref-conkley_agg"/>
    <w:p>
      <w:pPr>
        <w:pStyle w:val="Bibliography"/>
      </w:pPr>
      <w:r>
        <w:t xml:space="preserve">[78]</w:t>
      </w:r>
      <w:r>
        <w:t xml:space="preserve"> </w:t>
      </w:r>
      <w:r>
        <w:t xml:space="preserve">	</w:t>
      </w:r>
      <w:r>
        <w:t xml:space="preserve">Conkey M, Beltran A, Beltrán A, Clark GA, Echegaray JG, Echegaray JG, et al.</w:t>
      </w:r>
      <w:r>
        <w:t xml:space="preserve"> </w:t>
      </w:r>
      <w:hyperlink r:id="rId199">
        <w:r>
          <w:rPr>
            <w:rStyle w:val="Hyperlink"/>
          </w:rPr>
          <w:t xml:space="preserve">The identification of prehistoric hunter-gatherer aggregation sites: The case of altamira [and comments and reply]</w:t>
        </w:r>
      </w:hyperlink>
      <w:r>
        <w:t xml:space="preserve">. Current Anthropology 1980;21:609–30.</w:t>
      </w:r>
    </w:p>
    <w:bookmarkEnd w:id="200"/>
    <w:bookmarkStart w:id="202" w:name="ref-Maher_Conkey_2019"/>
    <w:p>
      <w:pPr>
        <w:pStyle w:val="Bibliography"/>
      </w:pPr>
      <w:r>
        <w:t xml:space="preserve">[79]</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1">
        <w:r>
          <w:rPr>
            <w:rStyle w:val="Hyperlink"/>
          </w:rPr>
          <w:t xml:space="preserve">https://doi.org/10.1086/701523</w:t>
        </w:r>
      </w:hyperlink>
      <w:r>
        <w:t xml:space="preserve">.</w:t>
      </w:r>
    </w:p>
    <w:bookmarkEnd w:id="202"/>
    <w:bookmarkStart w:id="203" w:name="ref-bahn1982inter"/>
    <w:p>
      <w:pPr>
        <w:pStyle w:val="Bibliography"/>
      </w:pPr>
      <w:r>
        <w:t xml:space="preserve">[80]</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03"/>
    <w:bookmarkStart w:id="205" w:name="ref-Bourdier_2013"/>
    <w:p>
      <w:pPr>
        <w:pStyle w:val="Bibliography"/>
      </w:pPr>
      <w:r>
        <w:t xml:space="preserve">[81]</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4">
        <w:r>
          <w:rPr>
            <w:rStyle w:val="Hyperlink"/>
          </w:rPr>
          <w:t xml:space="preserve">https://doi.org/10.1016/j.jaa.2013.05.005</w:t>
        </w:r>
      </w:hyperlink>
      <w:r>
        <w:t xml:space="preserve">.</w:t>
      </w:r>
    </w:p>
    <w:bookmarkEnd w:id="205"/>
    <w:bookmarkStart w:id="207" w:name="ref-Svoboda_2013"/>
    <w:p>
      <w:pPr>
        <w:pStyle w:val="Bibliography"/>
      </w:pPr>
      <w:r>
        <w:t xml:space="preserve">[82]</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6">
        <w:r>
          <w:rPr>
            <w:rStyle w:val="Hyperlink"/>
          </w:rPr>
          <w:t xml:space="preserve">https://doi.org/10.4000/palethnologie.4945</w:t>
        </w:r>
      </w:hyperlink>
      <w:r>
        <w:t xml:space="preserve">.</w:t>
      </w:r>
    </w:p>
    <w:bookmarkEnd w:id="207"/>
    <w:bookmarkStart w:id="208" w:name="ref-white1992rethinking"/>
    <w:p>
      <w:pPr>
        <w:pStyle w:val="Bibliography"/>
      </w:pPr>
      <w:r>
        <w:t xml:space="preserve">[83]</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08"/>
    <w:bookmarkStart w:id="209" w:name="X79d7c52b9cdbe72fc1b94e51c6ee6057d0c4a50"/>
    <w:p>
      <w:pPr>
        <w:pStyle w:val="Bibliography"/>
      </w:pPr>
      <w:r>
        <w:t xml:space="preserve">[84]</w:t>
      </w:r>
      <w:r>
        <w:t xml:space="preserve"> </w:t>
      </w:r>
      <w:r>
        <w:t xml:space="preserve">	</w:t>
      </w:r>
      <w:r>
        <w:t xml:space="preserve">Soffer O, Adovasio JM, Enloe JG, Audouze F, Zubrow EBW. The roles of perishable technologies in</w:t>
      </w:r>
      <w:r>
        <w:t xml:space="preserve"> </w:t>
      </w:r>
      <w:r>
        <w:t xml:space="preserve">Upper Paleolithic</w:t>
      </w:r>
      <w:r>
        <w:t xml:space="preserve"> </w:t>
      </w:r>
      <w:r>
        <w:t xml:space="preserve">lives. The</w:t>
      </w:r>
      <w:r>
        <w:t xml:space="preserve"> </w:t>
      </w:r>
      <w:r>
        <w:t xml:space="preserve">Magdalenian</w:t>
      </w:r>
      <w:r>
        <w:t xml:space="preserve"> </w:t>
      </w:r>
      <w:r>
        <w:t xml:space="preserve">household, SUNY Press; 2010, p. 235–44.</w:t>
      </w:r>
    </w:p>
    <w:bookmarkEnd w:id="209"/>
    <w:bookmarkStart w:id="211" w:name="ref-montet-white1994"/>
    <w:p>
      <w:pPr>
        <w:pStyle w:val="Bibliography"/>
      </w:pPr>
      <w:r>
        <w:t xml:space="preserve">[85]</w:t>
      </w:r>
      <w:r>
        <w:t xml:space="preserve"> </w:t>
      </w:r>
      <w:r>
        <w:t xml:space="preserve">	</w:t>
      </w:r>
      <w:r>
        <w:t xml:space="preserve">Montet-White A.</w:t>
      </w:r>
      <w:r>
        <w:t xml:space="preserve"> </w:t>
      </w:r>
      <w:hyperlink r:id="rId210">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1"/>
    <w:bookmarkStart w:id="213" w:name="ref-Frerebeau_2025"/>
    <w:p>
      <w:pPr>
        <w:pStyle w:val="Bibliography"/>
      </w:pPr>
      <w:r>
        <w:t xml:space="preserve">[86]</w:t>
      </w:r>
      <w:r>
        <w:t xml:space="preserve"> </w:t>
      </w:r>
      <w:r>
        <w:t xml:space="preserve">	</w:t>
      </w:r>
      <w:r>
        <w:t xml:space="preserve">Frerebeau N. Tabula: Analysis and visualization of archaeological count data 2025.</w:t>
      </w:r>
      <w:r>
        <w:t xml:space="preserve"> </w:t>
      </w:r>
      <w:hyperlink r:id="rId212">
        <w:r>
          <w:rPr>
            <w:rStyle w:val="Hyperlink"/>
          </w:rPr>
          <w:t xml:space="preserve">https://doi.org/10.5281/zenodo.15397990</w:t>
        </w:r>
      </w:hyperlink>
      <w:r>
        <w:t xml:space="preserve">.</w:t>
      </w:r>
    </w:p>
    <w:bookmarkEnd w:id="213"/>
    <w:bookmarkStart w:id="215" w:name="ref-Kintigh_1984"/>
    <w:p>
      <w:pPr>
        <w:pStyle w:val="Bibliography"/>
      </w:pPr>
      <w:r>
        <w:t xml:space="preserve">[87]</w:t>
      </w:r>
      <w:r>
        <w:t xml:space="preserve"> </w:t>
      </w:r>
      <w:r>
        <w:t xml:space="preserve">	</w:t>
      </w:r>
      <w:r>
        <w:t xml:space="preserve">Kintigh KW. Measuring archaeological diversity by comparison with simulated assemblages. American Antiquity 1984;49:44–54.</w:t>
      </w:r>
      <w:r>
        <w:t xml:space="preserve"> </w:t>
      </w:r>
      <w:hyperlink r:id="rId214">
        <w:r>
          <w:rPr>
            <w:rStyle w:val="Hyperlink"/>
          </w:rPr>
          <w:t xml:space="preserve">https://doi.org/10.2307/280511</w:t>
        </w:r>
      </w:hyperlink>
      <w:r>
        <w:t xml:space="preserve">.</w:t>
      </w:r>
    </w:p>
    <w:bookmarkEnd w:id="215"/>
    <w:bookmarkStart w:id="217" w:name="X8c17deb08b87fbfa26556dda630532ff62c8bd1"/>
    <w:p>
      <w:pPr>
        <w:pStyle w:val="Bibliography"/>
      </w:pPr>
      <w:r>
        <w:t xml:space="preserve">[88]</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6">
        <w:r>
          <w:rPr>
            <w:rStyle w:val="Hyperlink"/>
          </w:rPr>
          <w:t xml:space="preserve">https://doi.org/10.1038/s41467-024-51349-y</w:t>
        </w:r>
      </w:hyperlink>
      <w:r>
        <w:t xml:space="preserve">.</w:t>
      </w:r>
    </w:p>
    <w:bookmarkEnd w:id="217"/>
    <w:bookmarkStart w:id="219" w:name="ref-smith1992Design"/>
    <w:p>
      <w:pPr>
        <w:pStyle w:val="Bibliography"/>
      </w:pPr>
      <w:r>
        <w:t xml:space="preserve">[89]</w:t>
      </w:r>
      <w:r>
        <w:t xml:space="preserve"> </w:t>
      </w:r>
      <w:r>
        <w:t xml:space="preserve">	</w:t>
      </w:r>
      <w:r>
        <w:t xml:space="preserve">Smith C.</w:t>
      </w:r>
      <w:r>
        <w:t xml:space="preserve"> </w:t>
      </w:r>
      <w:hyperlink r:id="rId218">
        <w:r>
          <w:rPr>
            <w:rStyle w:val="Hyperlink"/>
          </w:rPr>
          <w:t xml:space="preserve">Designed dreaming: Assessing the relationship between style, social structure and environment in aboriginal australia</w:t>
        </w:r>
      </w:hyperlink>
      <w:r>
        <w:t xml:space="preserve">. Australian Archaeology 1992:51–1.</w:t>
      </w:r>
    </w:p>
    <w:bookmarkEnd w:id="219"/>
    <w:bookmarkStart w:id="220" w:name="ref-hays1993symbol"/>
    <w:p>
      <w:pPr>
        <w:pStyle w:val="Bibliography"/>
      </w:pPr>
      <w:r>
        <w:t xml:space="preserve">[90]</w:t>
      </w:r>
      <w:r>
        <w:t xml:space="preserve"> </w:t>
      </w:r>
      <w:r>
        <w:t xml:space="preserve">	</w:t>
      </w:r>
      <w:r>
        <w:t xml:space="preserve">Hays KA. When is a symbol archaeologically meaningful? Meaning, function, and prehistoric visual arts. Archaeological Theory: Who Sets the Agenda 1993:81–92.</w:t>
      </w:r>
    </w:p>
    <w:bookmarkEnd w:id="220"/>
    <w:bookmarkStart w:id="221" w:name="ref-McDonald_Veth_Lilley_2006"/>
    <w:p>
      <w:pPr>
        <w:pStyle w:val="Bibliography"/>
      </w:pPr>
      <w:r>
        <w:t xml:space="preserve">[91]</w:t>
      </w:r>
      <w:r>
        <w:t xml:space="preserve"> </w:t>
      </w:r>
      <w:r>
        <w:t xml:space="preserve">	</w:t>
      </w:r>
      <w:r>
        <w:t xml:space="preserve">McDonald J, Veth P, Lilley I. Rock art and social identity: A comparison of</w:t>
      </w:r>
      <w:r>
        <w:t xml:space="preserve"> </w:t>
      </w:r>
      <w:r>
        <w:t xml:space="preserve">Holocene</w:t>
      </w:r>
      <w:r>
        <w:t xml:space="preserve"> </w:t>
      </w:r>
      <w:r>
        <w:t xml:space="preserve">graphic systems in arid and fertile environments. Archaeology of oceania: Australia and the pacific islands, Malden, Mass: Blackwell Publishing; 2006, p. 96–115.</w:t>
      </w:r>
    </w:p>
    <w:bookmarkEnd w:id="221"/>
    <w:bookmarkStart w:id="223" w:name="ref-Lourandos_1985"/>
    <w:p>
      <w:pPr>
        <w:pStyle w:val="Bibliography"/>
      </w:pPr>
      <w:r>
        <w:t xml:space="preserve">[92]</w:t>
      </w:r>
      <w:r>
        <w:t xml:space="preserve"> </w:t>
      </w:r>
      <w:r>
        <w:t xml:space="preserve">	</w:t>
      </w:r>
      <w:r>
        <w:t xml:space="preserve">Lourandos H. 15 - intensification and australian prehistory. In: Price TD, Brown JA, editors. Prehistoric hunters-gatherers, Academic Press; 1985, p. 385–423. https://doi.org/</w:t>
      </w:r>
      <w:hyperlink r:id="rId222">
        <w:r>
          <w:rPr>
            <w:rStyle w:val="Hyperlink"/>
          </w:rPr>
          <w:t xml:space="preserve">https://doi.org/10.1016/B978-0-12-564750-2.50020-2</w:t>
        </w:r>
      </w:hyperlink>
      <w:r>
        <w:t xml:space="preserve">.</w:t>
      </w:r>
    </w:p>
    <w:bookmarkEnd w:id="223"/>
    <w:bookmarkStart w:id="225" w:name="ref-barton_clark_cohen1994"/>
    <w:p>
      <w:pPr>
        <w:pStyle w:val="Bibliography"/>
      </w:pPr>
      <w:r>
        <w:t xml:space="preserve">[93]</w:t>
      </w:r>
      <w:r>
        <w:t xml:space="preserve"> </w:t>
      </w:r>
      <w:r>
        <w:t xml:space="preserve">	</w:t>
      </w:r>
      <w:r>
        <w:t xml:space="preserve">Barton CM, Clark GA, Cohen AE.</w:t>
      </w:r>
      <w:r>
        <w:t xml:space="preserve"> </w:t>
      </w:r>
      <w:hyperlink r:id="rId224">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25"/>
    <w:bookmarkStart w:id="226" w:name="ref-mcdonald2012social"/>
    <w:p>
      <w:pPr>
        <w:pStyle w:val="Bibliography"/>
      </w:pPr>
      <w:r>
        <w:t xml:space="preserve">[94]</w:t>
      </w:r>
      <w:r>
        <w:t xml:space="preserve"> </w:t>
      </w:r>
      <w:r>
        <w:t xml:space="preserve">	</w:t>
      </w:r>
      <w:r>
        <w:t xml:space="preserve">McDonald J, Veth P. The social dynamics of aggregation and dispersal in the western desert. A Companion to Rock Art 2012:90–102.</w:t>
      </w:r>
    </w:p>
    <w:bookmarkEnd w:id="226"/>
    <w:bookmarkStart w:id="227" w:name="ref-bernardini2005reconsidering"/>
    <w:p>
      <w:pPr>
        <w:pStyle w:val="Bibliography"/>
      </w:pPr>
      <w:r>
        <w:t xml:space="preserve">[95]</w:t>
      </w:r>
      <w:r>
        <w:t xml:space="preserve"> </w:t>
      </w:r>
      <w:r>
        <w:t xml:space="preserve">	</w:t>
      </w:r>
      <w:r>
        <w:t xml:space="preserve">Bernardini W. Reconsidering spatial and temporal aspects of prehistoric cultural identity: A case study from the american southwest. American Antiquity 2005;70:31–54.</w:t>
      </w:r>
    </w:p>
    <w:bookmarkEnd w:id="227"/>
    <w:bookmarkStart w:id="228" w:name="ref-wiessner1984reconsidering"/>
    <w:p>
      <w:pPr>
        <w:pStyle w:val="Bibliography"/>
      </w:pPr>
      <w:r>
        <w:t xml:space="preserve">[96]</w:t>
      </w:r>
      <w:r>
        <w:t xml:space="preserve"> </w:t>
      </w:r>
      <w:r>
        <w:t xml:space="preserve">	</w:t>
      </w:r>
      <w:r>
        <w:t xml:space="preserve">Wiessner P. Reconsidering the behavioral basis for style: A case study among the kalahari san. Journal of Anthropological Archaeology 1984;3:190–234.</w:t>
      </w:r>
    </w:p>
    <w:bookmarkEnd w:id="228"/>
    <w:bookmarkStart w:id="230" w:name="ref-smith1992"/>
    <w:p>
      <w:pPr>
        <w:pStyle w:val="Bibliography"/>
      </w:pPr>
      <w:r>
        <w:t xml:space="preserve">[97]</w:t>
      </w:r>
      <w:r>
        <w:t xml:space="preserve"> </w:t>
      </w:r>
      <w:r>
        <w:t xml:space="preserve">	</w:t>
      </w:r>
      <w:r>
        <w:t xml:space="preserve">Smith C.</w:t>
      </w:r>
      <w:r>
        <w:t xml:space="preserve"> </w:t>
      </w:r>
      <w:hyperlink r:id="rId229">
        <w:r>
          <w:rPr>
            <w:rStyle w:val="Hyperlink"/>
          </w:rPr>
          <w:t xml:space="preserve">Colonising with style: Reviewing the nexus between rock art, territorially and the colonisation and occupation of sahul</w:t>
        </w:r>
      </w:hyperlink>
      <w:r>
        <w:t xml:space="preserve">. Australian Archaeology 1992:34–42.</w:t>
      </w:r>
    </w:p>
    <w:bookmarkEnd w:id="230"/>
    <w:bookmarkStart w:id="232" w:name="X4fed35d53d406ce17aea32f9d6f163fcb563519"/>
    <w:p>
      <w:pPr>
        <w:pStyle w:val="Bibliography"/>
      </w:pPr>
      <w:r>
        <w:t xml:space="preserve">[98]</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1">
        <w:r>
          <w:rPr>
            <w:rStyle w:val="Hyperlink"/>
          </w:rPr>
          <w:t xml:space="preserve">https://doi.org/10.1007/978-4-431-55363-2_8</w:t>
        </w:r>
      </w:hyperlink>
      <w:r>
        <w:t xml:space="preserve">.</w:t>
      </w:r>
    </w:p>
    <w:bookmarkEnd w:id="232"/>
    <w:bookmarkStart w:id="233" w:name="ref-Cavalli_Sforza_Feldman_1981"/>
    <w:p>
      <w:pPr>
        <w:pStyle w:val="Bibliography"/>
      </w:pPr>
      <w:r>
        <w:t xml:space="preserve">[99]</w:t>
      </w:r>
      <w:r>
        <w:t xml:space="preserve"> </w:t>
      </w:r>
      <w:r>
        <w:t xml:space="preserve">	</w:t>
      </w:r>
      <w:r>
        <w:t xml:space="preserve">Cavalli-Sforza LL, Feldman MW. Cultural transmission and evolution: A quantitative approach. Princeton University Press; 1981.</w:t>
      </w:r>
    </w:p>
    <w:bookmarkEnd w:id="233"/>
    <w:bookmarkStart w:id="234" w:name="ref-Boyd_Richerson_1985"/>
    <w:p>
      <w:pPr>
        <w:pStyle w:val="Bibliography"/>
      </w:pPr>
      <w:r>
        <w:t xml:space="preserve">[100]</w:t>
      </w:r>
      <w:r>
        <w:t xml:space="preserve"> </w:t>
      </w:r>
      <w:r>
        <w:t xml:space="preserve">	</w:t>
      </w:r>
      <w:r>
        <w:t xml:space="preserve">Boyd R, Richerson PJ. Culture and the evolutionary process. University of Chicago Press; 1985.</w:t>
      </w:r>
    </w:p>
    <w:bookmarkEnd w:id="234"/>
    <w:bookmarkStart w:id="235" w:name="ref-Richerson_Boyd_2005"/>
    <w:p>
      <w:pPr>
        <w:pStyle w:val="Bibliography"/>
      </w:pPr>
      <w:r>
        <w:t xml:space="preserve">[101]</w:t>
      </w:r>
      <w:r>
        <w:t xml:space="preserve"> </w:t>
      </w:r>
      <w:r>
        <w:t xml:space="preserve">	</w:t>
      </w:r>
      <w:r>
        <w:t xml:space="preserve">Richerson PJ, Boyd R. Not by genes alone: How culture transformed human evolution. University of Chicago Press; 2005.</w:t>
      </w:r>
    </w:p>
    <w:bookmarkEnd w:id="235"/>
    <w:bookmarkStart w:id="236" w:name="ref-Henrich_2004"/>
    <w:p>
      <w:pPr>
        <w:pStyle w:val="Bibliography"/>
      </w:pPr>
      <w:r>
        <w:t xml:space="preserve">[102]</w:t>
      </w:r>
      <w:r>
        <w:t xml:space="preserve"> </w:t>
      </w:r>
      <w:r>
        <w:t xml:space="preserve">	</w:t>
      </w:r>
      <w:r>
        <w:t xml:space="preserve">Henrich J. Demography and cultural evolution: How adaptive cultural processes can produce maladaptive losses—the tasmanian case. American Antiquity 2004;44:185–201.</w:t>
      </w:r>
    </w:p>
    <w:bookmarkEnd w:id="236"/>
    <w:bookmarkStart w:id="237" w:name="ref-Migliano_2020"/>
    <w:p>
      <w:pPr>
        <w:pStyle w:val="Bibliography"/>
      </w:pPr>
      <w:r>
        <w:t xml:space="preserve">[103]</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7"/>
    <w:bookmarkStart w:id="238" w:name="ref-Allen_2020"/>
    <w:p>
      <w:pPr>
        <w:pStyle w:val="Bibliography"/>
      </w:pPr>
      <w:r>
        <w:t xml:space="preserve">[104]</w:t>
      </w:r>
      <w:r>
        <w:t xml:space="preserve"> </w:t>
      </w:r>
      <w:r>
        <w:t xml:space="preserve">	</w:t>
      </w:r>
      <w:r>
        <w:t xml:space="preserve">Allen J. A multilevel analytical framework for studying cultural evolution in prehistoric hunter–gatherer societies. Biological Reviews 2020;59:2527–46.</w:t>
      </w:r>
    </w:p>
    <w:bookmarkEnd w:id="238"/>
    <w:bookmarkStart w:id="239" w:name="ref-Buchanan_Hamilton_2023"/>
    <w:p>
      <w:pPr>
        <w:pStyle w:val="Bibliography"/>
      </w:pPr>
      <w:r>
        <w:t xml:space="preserve">[105]</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39"/>
    <w:bookmarkStart w:id="240" w:name="ref-Eerkens_Lipo_2005"/>
    <w:p>
      <w:pPr>
        <w:pStyle w:val="Bibliography"/>
      </w:pPr>
      <w:r>
        <w:t xml:space="preserve">[106]</w:t>
      </w:r>
      <w:r>
        <w:t xml:space="preserve"> </w:t>
      </w:r>
      <w:r>
        <w:t xml:space="preserve">	</w:t>
      </w:r>
      <w:r>
        <w:t xml:space="preserve">Eerkens JW, Lipo CP. Cultural transmission and the evolution of material culture: Modeling the coefficient of variation. American Antiquity 2005;48:1–21.</w:t>
      </w:r>
    </w:p>
    <w:bookmarkEnd w:id="240"/>
    <w:bookmarkStart w:id="241" w:name="ref-Bentz_Dutkiewicz_2025"/>
    <w:p>
      <w:pPr>
        <w:pStyle w:val="Bibliography"/>
      </w:pPr>
      <w:r>
        <w:t xml:space="preserve">[107]</w:t>
      </w:r>
      <w:r>
        <w:t xml:space="preserve"> </w:t>
      </w:r>
      <w:r>
        <w:t xml:space="preserve">	</w:t>
      </w:r>
      <w:r>
        <w:t xml:space="preserve">Bentz C, Dutkiewicz E. Humans 40,000 y ago developed a system of conventional signs. Proceedings of the National Academy of Sciences 2025:1–8.</w:t>
      </w:r>
    </w:p>
    <w:bookmarkEnd w:id="241"/>
    <w:bookmarkStart w:id="242" w:name="ref-Bacon_2023"/>
    <w:p>
      <w:pPr>
        <w:pStyle w:val="Bibliography"/>
      </w:pPr>
      <w:r>
        <w:t xml:space="preserve">[108]</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2023;100:371–89.</w:t>
      </w:r>
    </w:p>
    <w:bookmarkEnd w:id="242"/>
    <w:bookmarkStart w:id="244" w:name="Xa4990169aeb885a690070ab4fd90972c31994f8"/>
    <w:p>
      <w:pPr>
        <w:pStyle w:val="Bibliography"/>
      </w:pPr>
      <w:r>
        <w:t xml:space="preserve">[109]</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43">
        <w:r>
          <w:rPr>
            <w:rStyle w:val="Hyperlink"/>
          </w:rPr>
          <w:t xml:space="preserve">https://doi.org/10.2139/ssrn.7053279</w:t>
        </w:r>
      </w:hyperlink>
      <w:r>
        <w:t xml:space="preserve">.</w:t>
      </w:r>
    </w:p>
    <w:bookmarkEnd w:id="244"/>
    <w:bookmarkStart w:id="246" w:name="X8ea620419c64d551554c48b7075c9934881930b"/>
    <w:p>
      <w:pPr>
        <w:pStyle w:val="Bibliography"/>
      </w:pPr>
      <w:r>
        <w:t xml:space="preserve">[110]</w:t>
      </w:r>
      <w:r>
        <w:t xml:space="preserve"> </w:t>
      </w:r>
      <w:r>
        <w:t xml:space="preserve">	</w:t>
      </w:r>
      <w:r>
        <w:t xml:space="preserve">Garcı́a-Bustos M, Rivero O, Sauvet G, Garcı́a-Bustos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45">
        <w:r>
          <w:rPr>
            <w:rStyle w:val="Hyperlink"/>
          </w:rPr>
          <w:t xml:space="preserve">https://doi.org/10.1007/s41982-023-00158-8</w:t>
        </w:r>
      </w:hyperlink>
      <w:r>
        <w:t xml:space="preserve">.</w:t>
      </w:r>
    </w:p>
    <w:bookmarkEnd w:id="246"/>
    <w:bookmarkStart w:id="248" w:name="ref-Magli_2024"/>
    <w:p>
      <w:pPr>
        <w:pStyle w:val="Bibliography"/>
      </w:pPr>
      <w:r>
        <w:t xml:space="preserve">[111]</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Mind 2024;133:1–15.</w:t>
      </w:r>
      <w:r>
        <w:t xml:space="preserve"> </w:t>
      </w:r>
      <w:hyperlink r:id="rId247">
        <w:r>
          <w:rPr>
            <w:rStyle w:val="Hyperlink"/>
          </w:rPr>
          <w:t xml:space="preserve">https://doi.org/10.1093/mind/fzae011</w:t>
        </w:r>
      </w:hyperlink>
      <w:r>
        <w:t xml:space="preserve">.</w:t>
      </w:r>
    </w:p>
    <w:bookmarkEnd w:id="248"/>
    <w:bookmarkStart w:id="250" w:name="ref-Nowell_2024_evidence"/>
    <w:p>
      <w:pPr>
        <w:pStyle w:val="Bibliography"/>
      </w:pPr>
      <w:r>
        <w:t xml:space="preserve">[112]</w:t>
      </w:r>
      <w:r>
        <w:t xml:space="preserve"> </w:t>
      </w:r>
      <w:r>
        <w:t xml:space="preserve">	</w:t>
      </w:r>
      <w:r>
        <w:t xml:space="preserve">Nowell A, Bahn P, Quellec J-L. Evaluating the evidence for lunar calendars in</w:t>
      </w:r>
      <w:r>
        <w:t xml:space="preserve"> </w:t>
      </w:r>
      <w:r>
        <w:t xml:space="preserve">Upper Palaeolithic</w:t>
      </w:r>
      <w:r>
        <w:t xml:space="preserve"> </w:t>
      </w:r>
      <w:r>
        <w:t xml:space="preserve">parietal art. Cambridge Archaeological Journal 2024:1–18.</w:t>
      </w:r>
      <w:r>
        <w:t xml:space="preserve"> </w:t>
      </w:r>
      <w:hyperlink r:id="rId249">
        <w:r>
          <w:rPr>
            <w:rStyle w:val="Hyperlink"/>
          </w:rPr>
          <w:t xml:space="preserve">https://doi.org/10.1017/S0959774324000155</w:t>
        </w:r>
      </w:hyperlink>
      <w:r>
        <w:t xml:space="preserve">.</w:t>
      </w:r>
    </w:p>
    <w:bookmarkEnd w:id="250"/>
    <w:bookmarkStart w:id="252" w:name="ref-Horiuchi_Takakura_2019"/>
    <w:p>
      <w:pPr>
        <w:pStyle w:val="Bibliography"/>
      </w:pPr>
      <w:r>
        <w:t xml:space="preserve">[113]</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51">
        <w:r>
          <w:rPr>
            <w:rStyle w:val="Hyperlink"/>
          </w:rPr>
          <w:t xml:space="preserve">https://doi.org/10.1007/978-981-13-8980-1_12</w:t>
        </w:r>
      </w:hyperlink>
      <w:r>
        <w:t xml:space="preserve">.</w:t>
      </w:r>
    </w:p>
    <w:bookmarkEnd w:id="252"/>
    <w:bookmarkStart w:id="253" w:name="ref-Rogers_2013"/>
    <w:p>
      <w:pPr>
        <w:pStyle w:val="Bibliography"/>
      </w:pPr>
      <w:r>
        <w:t xml:space="preserve">[114]</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PhD thesis. University of Victoria, 2013.</w:t>
      </w:r>
    </w:p>
    <w:bookmarkEnd w:id="253"/>
    <w:bookmarkStart w:id="255" w:name="X94f875be1b7e5d23641daff5d53857bec24e739"/>
    <w:p>
      <w:pPr>
        <w:pStyle w:val="Bibliography"/>
      </w:pPr>
      <w:r>
        <w:t xml:space="preserve">[115]</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 https://doi.org/</w:t>
      </w:r>
      <w:hyperlink r:id="rId254">
        <w:r>
          <w:rPr>
            <w:rStyle w:val="Hyperlink"/>
          </w:rPr>
          <w:t xml:space="preserve">https://doi.org/10.1016/j.jasrep.2021.103118</w:t>
        </w:r>
      </w:hyperlink>
      <w:r>
        <w:t xml:space="preserve">.</w:t>
      </w:r>
    </w:p>
    <w:bookmarkEnd w:id="255"/>
    <w:bookmarkStart w:id="257" w:name="ref-Gamble_1982"/>
    <w:p>
      <w:pPr>
        <w:pStyle w:val="Bibliography"/>
      </w:pPr>
      <w:r>
        <w:t xml:space="preserve">[116]</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56">
        <w:r>
          <w:rPr>
            <w:rStyle w:val="Hyperlink"/>
          </w:rPr>
          <w:t xml:space="preserve">https://doi.org/10.2307/2802103</w:t>
        </w:r>
      </w:hyperlink>
      <w:r>
        <w:t xml:space="preserve">.</w:t>
      </w:r>
    </w:p>
    <w:bookmarkEnd w:id="257"/>
    <w:bookmarkStart w:id="259" w:name="Xba346573845225b1b1d5ef358e2fea0d893a789"/>
    <w:p>
      <w:pPr>
        <w:pStyle w:val="Bibliography"/>
      </w:pPr>
      <w:r>
        <w:t xml:space="preserve">[117]</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 https://doi.org/</w:t>
      </w:r>
      <w:hyperlink r:id="rId258">
        <w:r>
          <w:rPr>
            <w:rStyle w:val="Hyperlink"/>
          </w:rPr>
          <w:t xml:space="preserve">https://doi.org/10.1016/j.quascirev.2018.12.011</w:t>
        </w:r>
      </w:hyperlink>
      <w:r>
        <w:t xml:space="preserve">.</w:t>
      </w:r>
    </w:p>
    <w:bookmarkEnd w:id="259"/>
    <w:bookmarkStart w:id="261" w:name="ref-Creanza_Kolodny_Feldman_2017"/>
    <w:p>
      <w:pPr>
        <w:pStyle w:val="Bibliography"/>
      </w:pPr>
      <w:r>
        <w:t xml:space="preserve">[118]</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0">
        <w:r>
          <w:rPr>
            <w:rStyle w:val="Hyperlink"/>
          </w:rPr>
          <w:t xml:space="preserve">https://doi.org/10.1098/rsif.2017.0171</w:t>
        </w:r>
      </w:hyperlink>
      <w:r>
        <w:t xml:space="preserve">.</w:t>
      </w:r>
    </w:p>
    <w:bookmarkEnd w:id="261"/>
    <w:bookmarkStart w:id="263" w:name="ref-Cullen_1996"/>
    <w:p>
      <w:pPr>
        <w:pStyle w:val="Bibliography"/>
      </w:pPr>
      <w:r>
        <w:t xml:space="preserve">[119]</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2">
        <w:r>
          <w:rPr>
            <w:rStyle w:val="Hyperlink"/>
          </w:rPr>
          <w:t xml:space="preserve">https://doi.org/10.1007/978-1-4757-9945-3_4</w:t>
        </w:r>
      </w:hyperlink>
      <w:r>
        <w:t xml:space="preserve">.</w:t>
      </w:r>
    </w:p>
    <w:bookmarkEnd w:id="263"/>
    <w:bookmarkStart w:id="265" w:name="ref-Hill_Wood_Baggio_Hurtado_Boyd_2014"/>
    <w:p>
      <w:pPr>
        <w:pStyle w:val="Bibliography"/>
      </w:pPr>
      <w:r>
        <w:t xml:space="preserve">[120]</w:t>
      </w:r>
      <w:r>
        <w:t xml:space="preserve"> </w:t>
      </w:r>
      <w:r>
        <w:t xml:space="preserve">	</w:t>
      </w:r>
      <w:r>
        <w:t xml:space="preserve">Hill KR, Wood BM, Baggio J, Hurtado AM, Boyd RT. Hunter-gatherer inter-band interaction rates: Implications for cumulative culture. PLOS ONE 2014;9:1–9.</w:t>
      </w:r>
      <w:r>
        <w:t xml:space="preserve"> </w:t>
      </w:r>
      <w:hyperlink r:id="rId264">
        <w:r>
          <w:rPr>
            <w:rStyle w:val="Hyperlink"/>
          </w:rPr>
          <w:t xml:space="preserve">https://doi.org/10.1371/journal.pone.0102806</w:t>
        </w:r>
      </w:hyperlink>
      <w:r>
        <w:t xml:space="preserve">.</w:t>
      </w:r>
    </w:p>
    <w:bookmarkEnd w:id="265"/>
    <w:bookmarkStart w:id="267" w:name="ref-Derex_Boyd_2016"/>
    <w:p>
      <w:pPr>
        <w:pStyle w:val="Bibliography"/>
      </w:pPr>
      <w:r>
        <w:t xml:space="preserve">[121]</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6">
        <w:r>
          <w:rPr>
            <w:rStyle w:val="Hyperlink"/>
          </w:rPr>
          <w:t xml:space="preserve">https://doi.org/10.1073/pnas.1518798113</w:t>
        </w:r>
      </w:hyperlink>
      <w:r>
        <w:t xml:space="preserve">.</w:t>
      </w:r>
    </w:p>
    <w:bookmarkEnd w:id="267"/>
    <w:bookmarkStart w:id="269" w:name="ref-Gravel-Miguel_Coward_2023"/>
    <w:p>
      <w:pPr>
        <w:pStyle w:val="Bibliography"/>
      </w:pPr>
      <w:r>
        <w:t xml:space="preserve">[122]</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w:t>
      </w:r>
      <w:r>
        <w:t xml:space="preserve"> </w:t>
      </w:r>
      <w:hyperlink r:id="rId268">
        <w:r>
          <w:rPr>
            <w:rStyle w:val="Hyperlink"/>
          </w:rPr>
          <w:t xml:space="preserve">https://doi.org/10.1093/oxfordhb/9780198854265.013.31</w:t>
        </w:r>
      </w:hyperlink>
      <w:r>
        <w:t xml:space="preserve">.</w:t>
      </w:r>
    </w:p>
    <w:bookmarkEnd w:id="269"/>
    <w:bookmarkStart w:id="270" w:name="ref-Von_Petzinger_2009"/>
    <w:p>
      <w:pPr>
        <w:pStyle w:val="Bibliography"/>
      </w:pPr>
      <w:r>
        <w:t xml:space="preserve">[123]</w:t>
      </w:r>
      <w:r>
        <w:t xml:space="preserve"> </w:t>
      </w:r>
      <w:r>
        <w:t xml:space="preserve">	</w:t>
      </w:r>
      <w:r>
        <w:t xml:space="preserve">Von Petzinger G. Making the abstract concrete: The place of geometric signs in french</w:t>
      </w:r>
      <w:r>
        <w:t xml:space="preserve"> </w:t>
      </w:r>
      <w:r>
        <w:t xml:space="preserve">Upper Paleolithic</w:t>
      </w:r>
      <w:r>
        <w:t xml:space="preserve"> </w:t>
      </w:r>
      <w:r>
        <w:t xml:space="preserve">parietal art. Master of Arts in Anthropology. University of Victoria, 2009.</w:t>
      </w:r>
    </w:p>
    <w:bookmarkEnd w:id="270"/>
    <w:bookmarkStart w:id="272" w:name="ref-Herskind2023"/>
    <w:p>
      <w:pPr>
        <w:pStyle w:val="Bibliography"/>
      </w:pPr>
      <w:r>
        <w:t xml:space="preserve">[124]</w:t>
      </w:r>
      <w:r>
        <w:t xml:space="preserve"> </w:t>
      </w:r>
      <w:r>
        <w:t xml:space="preserve">	</w:t>
      </w:r>
      <w:r>
        <w:t xml:space="preserve">Platz HLL. A case for idle graffiti. Hunter Gatherer Research 2023;9:59–93.</w:t>
      </w:r>
      <w:r>
        <w:t xml:space="preserve"> </w:t>
      </w:r>
      <w:hyperlink r:id="rId271">
        <w:r>
          <w:rPr>
            <w:rStyle w:val="Hyperlink"/>
          </w:rPr>
          <w:t xml:space="preserve">https://doi.org/10.3828/hgr.2023.12</w:t>
        </w:r>
      </w:hyperlink>
      <w:r>
        <w:t xml:space="preserve">.</w:t>
      </w:r>
    </w:p>
    <w:bookmarkEnd w:id="272"/>
    <w:bookmarkStart w:id="274" w:name="X42e36537dda68556aeacf852410efd6ac3bb1ca"/>
    <w:p>
      <w:pPr>
        <w:pStyle w:val="Bibliography"/>
      </w:pPr>
      <w:r>
        <w:t xml:space="preserve">[125]</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3">
        <w:r>
          <w:rPr>
            <w:rStyle w:val="Hyperlink"/>
          </w:rPr>
          <w:t xml:space="preserve">https://doi.org/10.1007/s10816-023-09608-7</w:t>
        </w:r>
      </w:hyperlink>
      <w:r>
        <w:t xml:space="preserve">.</w:t>
      </w:r>
    </w:p>
    <w:bookmarkEnd w:id="274"/>
    <w:bookmarkStart w:id="276" w:name="ref-Marwick2017"/>
    <w:p>
      <w:pPr>
        <w:pStyle w:val="Bibliography"/>
      </w:pPr>
      <w:r>
        <w:t xml:space="preserve">[126]</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5">
        <w:r>
          <w:rPr>
            <w:rStyle w:val="Hyperlink"/>
          </w:rPr>
          <w:t xml:space="preserve">https://doi.org/10.1007/s10816-015-9272-9</w:t>
        </w:r>
      </w:hyperlink>
      <w:r>
        <w:t xml:space="preserve">.</w:t>
      </w:r>
    </w:p>
    <w:bookmarkEnd w:id="276"/>
    <w:bookmarkStart w:id="278" w:name="ref-Marwick_2025"/>
    <w:p>
      <w:pPr>
        <w:pStyle w:val="Bibliography"/>
      </w:pPr>
      <w:r>
        <w:t xml:space="preserve">[127]</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7">
        <w:r>
          <w:rPr>
            <w:rStyle w:val="Hyperlink"/>
          </w:rPr>
          <w:t xml:space="preserve">https://doi.org/10.1016/j.jas.2025.106281</w:t>
        </w:r>
      </w:hyperlink>
      <w:r>
        <w:t xml:space="preserve">.</w:t>
      </w:r>
    </w:p>
    <w:bookmarkEnd w:id="278"/>
    <w:bookmarkEnd w:id="279"/>
    <w:bookmarkEnd w:id="280"/>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39" Target="https://doi.org/10.1002/9781118445112.stat07841" TargetMode="External" /><Relationship Type="http://schemas.openxmlformats.org/officeDocument/2006/relationships/hyperlink" Id="rId121"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4" Target="https://doi.org/10.1002/jqs.3223" TargetMode="External" /><Relationship Type="http://schemas.openxmlformats.org/officeDocument/2006/relationships/hyperlink" Id="rId133" Target="https://doi.org/10.1002/spe.4380211102" TargetMode="External" /><Relationship Type="http://schemas.openxmlformats.org/officeDocument/2006/relationships/hyperlink" Id="rId106"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19"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3" Target="https://doi.org/10.1007/s41982-025-00298-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1"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2" Target="https://doi.org/10.1016/j.jhevol.2011.06.001" TargetMode="External" /><Relationship Type="http://schemas.openxmlformats.org/officeDocument/2006/relationships/hyperlink" Id="rId95"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5"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1"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7"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29"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1"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5" Target="https://doi.org/10.1371/journal.pone.0121166" TargetMode="External" /><Relationship Type="http://schemas.openxmlformats.org/officeDocument/2006/relationships/hyperlink" Id="rId97" Target="https://doi.org/10.1371/journal.pone.0189241" TargetMode="External" /><Relationship Type="http://schemas.openxmlformats.org/officeDocument/2006/relationships/hyperlink" Id="rId108" Target="https://doi.org/10.1371/journal.pone.0194097" TargetMode="External" /><Relationship Type="http://schemas.openxmlformats.org/officeDocument/2006/relationships/hyperlink" Id="rId93"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7"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3"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1"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99" Target="https://doi.org/10.7485/QU65_2" TargetMode="External" /><Relationship Type="http://schemas.openxmlformats.org/officeDocument/2006/relationships/hyperlink" Id="rId137" Target="https://igraph.org" TargetMode="External" /><Relationship Type="http://schemas.openxmlformats.org/officeDocument/2006/relationships/hyperlink" Id="rId135"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39" Target="https://doi.org/10.1002/9781118445112.stat07841" TargetMode="External" /><Relationship Type="http://schemas.openxmlformats.org/officeDocument/2006/relationships/hyperlink" Id="rId121"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4" Target="https://doi.org/10.1002/jqs.3223" TargetMode="External" /><Relationship Type="http://schemas.openxmlformats.org/officeDocument/2006/relationships/hyperlink" Id="rId133" Target="https://doi.org/10.1002/spe.4380211102" TargetMode="External" /><Relationship Type="http://schemas.openxmlformats.org/officeDocument/2006/relationships/hyperlink" Id="rId106"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19"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3" Target="https://doi.org/10.1007/s41982-025-00298-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1"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2" Target="https://doi.org/10.1016/j.jhevol.2011.06.001" TargetMode="External" /><Relationship Type="http://schemas.openxmlformats.org/officeDocument/2006/relationships/hyperlink" Id="rId95"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5"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1"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7"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29"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1"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5" Target="https://doi.org/10.1371/journal.pone.0121166" TargetMode="External" /><Relationship Type="http://schemas.openxmlformats.org/officeDocument/2006/relationships/hyperlink" Id="rId97" Target="https://doi.org/10.1371/journal.pone.0189241" TargetMode="External" /><Relationship Type="http://schemas.openxmlformats.org/officeDocument/2006/relationships/hyperlink" Id="rId108" Target="https://doi.org/10.1371/journal.pone.0194097" TargetMode="External" /><Relationship Type="http://schemas.openxmlformats.org/officeDocument/2006/relationships/hyperlink" Id="rId93"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7"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3"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1"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99" Target="https://doi.org/10.7485/QU65_2" TargetMode="External" /><Relationship Type="http://schemas.openxmlformats.org/officeDocument/2006/relationships/hyperlink" Id="rId137" Target="https://igraph.org" TargetMode="External" /><Relationship Type="http://schemas.openxmlformats.org/officeDocument/2006/relationships/hyperlink" Id="rId135"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2026-08-06T04:02:03Z</dcterms:created>
  <dcterms:modified xsi:type="dcterms:W3CDTF">2026-08-06T04:02:03Z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Aurignacian technocomplex (ca. 43–30 ka BP) marks a pivotal expansion of Homo sapiens into Western Eurasia, yet the evolution of social organization during this transition remains debated. Here we investigate social dynamics through the analysis of geometric signs on mobile objects within a two-phase framework (Aur-P1/Aur-P2; Shao et al. 2021) that respects specialist technological attributions in site assignment. Using seriation and network analysis, we examine whether sign distribution reflects cultural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8 sites) shows a weaker, less resolved structure. The early phase supports a larger, more network centred on key sites, but once network size is taken into account the late phase shows higher edge density, and formal permutation tests indicate that the phases differ in community structure (modularity) but not in edge density, betweenness, or component count.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sl">
    <vt:lpwstr>../templates/elsevier-vancouver.csl</vt:lpwstr>
  </property>
  <property fmtid="{D5CDD505-2E9C-101B-9397-08002B2CF9AE}" pid="8" name="date">
    <vt:lpwstr>August 5,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title-block-published">
    <vt:lpwstr>Last updated</vt:lpwstr>
  </property>
  <property fmtid="{D5CDD505-2E9C-101B-9397-08002B2CF9AE}" pid="17" name="toc-title">
    <vt:lpwstr>Table of contents</vt:lpwstr>
  </property>
</Properties>
</file>