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125.png" ContentType="image/png"/>
  <Override PartName="/word/media/rId128.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126</w:t>
                  </w:r>
                </w:p>
              </w:tc>
              <w:tc>
                <w:tcPr/>
                <w:p>
                  <w:pPr>
                    <w:pStyle w:val="Compact"/>
                    <w:jc w:val="right"/>
                    <w:jc w:val="center"/>
                  </w:pPr>
                  <w:r>
                    <w:t xml:space="preserve">0.663</w:t>
                  </w:r>
                </w:p>
              </w:tc>
              <w:tc>
                <w:tcPr/>
                <w:p>
                  <w:pPr>
                    <w:pStyle w:val="Compact"/>
                    <w:jc w:val="right"/>
                    <w:jc w:val="center"/>
                  </w:pPr>
                  <w:r>
                    <w:t xml:space="preserve">0</w:t>
                  </w:r>
                </w:p>
              </w:tc>
              <w:tc>
                <w:tcPr/>
                <w:p>
                  <w:pPr>
                    <w:pStyle w:val="Compact"/>
                    <w:jc w:val="right"/>
                    <w:jc w:val="center"/>
                  </w:pPr>
                  <w:r>
                    <w:t xml:space="preserve">12.60</w:t>
                  </w:r>
                </w:p>
              </w:tc>
              <w:tc>
                <w:tcPr/>
                <w:p>
                  <w:pPr>
                    <w:pStyle w:val="Compact"/>
                    <w:jc w:val="right"/>
                    <w:jc w:val="center"/>
                  </w:pPr>
                  <w:r>
                    <w:t xml:space="preserve">0.826</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0.089</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0</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54</w:t>
                  </w:r>
                </w:p>
              </w:tc>
              <w:tc>
                <w:tcPr/>
                <w:p>
                  <w:pPr>
                    <w:pStyle w:val="Compact"/>
                    <w:jc w:val="right"/>
                    <w:jc w:val="center"/>
                  </w:pPr>
                  <w:r>
                    <w:t xml:space="preserve">0.284</w:t>
                  </w:r>
                </w:p>
              </w:tc>
              <w:tc>
                <w:tcPr/>
                <w:p>
                  <w:pPr>
                    <w:pStyle w:val="Compact"/>
                    <w:jc w:val="right"/>
                    <w:jc w:val="center"/>
                  </w:pPr>
                  <w:r>
                    <w:t xml:space="preserve">3</w:t>
                  </w:r>
                </w:p>
              </w:tc>
              <w:tc>
                <w:tcPr/>
                <w:p>
                  <w:pPr>
                    <w:pStyle w:val="Compact"/>
                    <w:jc w:val="right"/>
                    <w:jc w:val="center"/>
                  </w:pPr>
                  <w:r>
                    <w:t xml:space="preserve">5.40</w:t>
                  </w:r>
                </w:p>
              </w:tc>
              <w:tc>
                <w:tcPr/>
                <w:p>
                  <w:pPr>
                    <w:pStyle w:val="Compact"/>
                    <w:jc w:val="right"/>
                    <w:jc w:val="center"/>
                  </w:pPr>
                  <w:r>
                    <w:t xml:space="preserve">0.673</w:t>
                  </w:r>
                </w:p>
              </w:tc>
              <w:tc>
                <w:tcPr/>
                <w:p>
                  <w:pPr>
                    <w:pStyle w:val="Compact"/>
                    <w:jc w:val="right"/>
                    <w:jc w:val="center"/>
                  </w:pPr>
                  <w:r>
                    <w:t xml:space="preserve">0.336</w:t>
                  </w:r>
                </w:p>
              </w:tc>
              <w:tc>
                <w:tcPr/>
                <w:p>
                  <w:pPr>
                    <w:pStyle w:val="Compact"/>
                    <w:jc w:val="right"/>
                    <w:jc w:val="center"/>
                  </w:pPr>
                  <w:r>
                    <w:t xml:space="preserve">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0.464</w:t>
                  </w:r>
                </w:p>
              </w:tc>
              <w:tc>
                <w:tcPr/>
                <w:p>
                  <w:pPr>
                    <w:pStyle w:val="Compact"/>
                    <w:jc w:val="right"/>
                    <w:jc w:val="center"/>
                  </w:pPr>
                  <w:r>
                    <w:t xml:space="preserve">1</w:t>
                  </w:r>
                </w:p>
              </w:tc>
              <w:tc>
                <w:tcPr/>
                <w:p>
                  <w:pPr>
                    <w:pStyle w:val="Compact"/>
                    <w:jc w:val="right"/>
                    <w:jc w:val="center"/>
                  </w:pPr>
                  <w:r>
                    <w:t xml:space="preserve">3.25</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3</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3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0</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0.789</w:t>
                  </w:r>
                </w:p>
              </w:tc>
              <w:tc>
                <w:tcPr/>
                <w:p>
                  <w:pPr>
                    <w:pStyle w:val="Compact"/>
                    <w:jc w:val="right"/>
                    <w:jc w:val="center"/>
                  </w:pPr>
                  <w:r>
                    <w:t xml:space="preserve">0.198</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0.053</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0.038</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0.025</w:t>
                  </w:r>
                </w:p>
              </w:tc>
              <w:tc>
                <w:tcPr/>
                <w:p>
                  <w:pPr>
                    <w:pStyle w:val="Compact"/>
                    <w:jc w:val="right"/>
                    <w:jc w:val="center"/>
                  </w:pPr>
                  <w:r>
                    <w:t xml:space="preserve">0.370</w:t>
                  </w:r>
                </w:p>
              </w:tc>
              <w:tc>
                <w:tcPr/>
                <w:p>
                  <w:pPr>
                    <w:pStyle w:val="Compact"/>
                    <w:jc w:val="right"/>
                    <w:jc w:val="center"/>
                  </w:pPr>
                  <w:r>
                    <w:t xml:space="preserve">0.045</w:t>
                  </w:r>
                </w:p>
              </w:tc>
              <w:tc>
                <w:tcPr/>
                <w:p>
                  <w:pPr>
                    <w:pStyle w:val="Compact"/>
                    <w:jc w:val="right"/>
                    <w:jc w:val="center"/>
                  </w:pPr>
                  <w:r>
                    <w:t xml:space="preserve">0.306</w:t>
                  </w:r>
                </w:p>
              </w:tc>
            </w:tr>
            <w:tr>
              <w:tc>
                <w:tcPr/>
                <w:p>
                  <w:pPr>
                    <w:pStyle w:val="Compact"/>
                    <w:jc w:val="left"/>
                    <w:jc w:val="center"/>
                  </w:pPr>
                  <w:r>
                    <w:t xml:space="preserve">Aur-P2</w:t>
                  </w:r>
                </w:p>
              </w:tc>
              <w:tc>
                <w:tcPr/>
                <w:p>
                  <w:pPr>
                    <w:pStyle w:val="Compact"/>
                    <w:jc w:val="right"/>
                    <w:jc w:val="center"/>
                  </w:pPr>
                  <w:r>
                    <w:t xml:space="preserve">-0.297</w:t>
                  </w:r>
                </w:p>
              </w:tc>
              <w:tc>
                <w:tcPr/>
                <w:p>
                  <w:pPr>
                    <w:pStyle w:val="Compact"/>
                    <w:jc w:val="right"/>
                    <w:jc w:val="center"/>
                  </w:pPr>
                  <w:r>
                    <w:t xml:space="preserve">0.934</w:t>
                  </w:r>
                </w:p>
              </w:tc>
              <w:tc>
                <w:tcPr/>
                <w:p>
                  <w:pPr>
                    <w:pStyle w:val="Compact"/>
                    <w:jc w:val="right"/>
                    <w:jc w:val="center"/>
                  </w:pPr>
                  <w:r>
                    <w:t xml:space="preserve">-0.303</w:t>
                  </w:r>
                </w:p>
              </w:tc>
              <w:tc>
                <w:tcPr/>
                <w:p>
                  <w:pPr>
                    <w:pStyle w:val="Compact"/>
                    <w:jc w:val="right"/>
                    <w:jc w:val="center"/>
                  </w:pPr>
                  <w:r>
                    <w:t xml:space="preserve">0.940</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r>
          <m:rPr>
            <m:sty m:val="p"/>
          </m:rPr>
          <m:t>=</m:t>
        </m:r>
        <m:r>
          <m:t>0.045</m:t>
        </m:r>
        <m:r>
          <m:rPr>
            <m:sty m:val="p"/>
          </m:rPr>
          <m:t>,</m:t>
        </m:r>
        <m:r>
          <m:t>p</m:t>
        </m:r>
        <m:r>
          <m:rPr>
            <m:sty m:val="p"/>
          </m:rPr>
          <m:t>=</m:t>
        </m:r>
        <m:r>
          <m:t>0.306</m:t>
        </m:r>
        <m:r>
          <m:rPr>
            <m:sty m:val="p"/>
          </m:rPr>
          <m:t>)</m:t>
        </m:r>
        <m:r>
          <m:rPr>
            <m:sty m:val="p"/>
          </m:rPr>
          <m:t>,</m:t>
        </m:r>
        <m:r>
          <m:t>g</m:t>
        </m:r>
        <m:r>
          <m:t>e</m:t>
        </m:r>
        <m:r>
          <m:t>o</m:t>
        </m:r>
        <m:r>
          <m:t>g</m:t>
        </m:r>
        <m:r>
          <m:t>r</m:t>
        </m:r>
        <m:r>
          <m:t>a</m:t>
        </m:r>
        <m:r>
          <m:t>p</m:t>
        </m:r>
        <m:r>
          <m:t>h</m:t>
        </m:r>
        <m:r>
          <m:t>i</m:t>
        </m:r>
        <m:r>
          <m:t>c</m:t>
        </m:r>
        <m:r>
          <m:t>d</m:t>
        </m:r>
        <m:r>
          <m:t>i</m:t>
        </m:r>
        <m:r>
          <m:t>s</m:t>
        </m:r>
        <m:r>
          <m:t>t</m:t>
        </m:r>
        <m:r>
          <m:t>a</m:t>
        </m:r>
        <m:r>
          <m:t>n</m:t>
        </m:r>
        <m:r>
          <m:t>c</m:t>
        </m:r>
        <m:r>
          <m:t>e</m:t>
        </m:r>
        <m:r>
          <m:t>r</m:t>
        </m:r>
        <m:r>
          <m:t>e</m:t>
        </m:r>
        <m:r>
          <m:t>m</m:t>
        </m:r>
        <m:r>
          <m:t>a</m:t>
        </m:r>
        <m:r>
          <m:t>i</m:t>
        </m:r>
        <m:r>
          <m:t>n</m:t>
        </m:r>
        <m:r>
          <m:t>s</m:t>
        </m:r>
        <m:r>
          <m:t>u</m:t>
        </m:r>
        <m:r>
          <m:t>n</m:t>
        </m:r>
        <m:r>
          <m:t>c</m:t>
        </m:r>
        <m:r>
          <m:t>o</m:t>
        </m:r>
        <m:r>
          <m:t>r</m:t>
        </m:r>
        <m:r>
          <m:t>r</m:t>
        </m:r>
        <m:r>
          <m:t>e</m:t>
        </m:r>
        <m:r>
          <m:t>l</m:t>
        </m:r>
        <m:r>
          <m:t>a</m:t>
        </m:r>
        <m:r>
          <m:t>t</m:t>
        </m:r>
        <m:r>
          <m:t>e</m:t>
        </m:r>
        <m:r>
          <m:t>d</m:t>
        </m:r>
        <m:r>
          <m:t>w</m:t>
        </m:r>
        <m:r>
          <m:t>i</m:t>
        </m:r>
        <m:r>
          <m:t>t</m:t>
        </m:r>
        <m:r>
          <m:t>h</m:t>
        </m:r>
        <m:r>
          <m:t>s</m:t>
        </m:r>
        <m:r>
          <m:t>i</m:t>
        </m:r>
        <m:r>
          <m:t>g</m:t>
        </m:r>
        <m:r>
          <m:t>n</m:t>
        </m:r>
        <m:r>
          <m:t>a</m:t>
        </m:r>
        <m:r>
          <m:t>s</m:t>
        </m:r>
        <m:r>
          <m:t>s</m:t>
        </m:r>
        <m:r>
          <m:t>e</m:t>
        </m:r>
        <m:r>
          <m:t>m</m:t>
        </m:r>
        <m:r>
          <m:t>b</m:t>
        </m:r>
        <m:r>
          <m:t>l</m:t>
        </m:r>
        <m:r>
          <m:t>a</m:t>
        </m:r>
        <m:r>
          <m:t>g</m:t>
        </m:r>
        <m:r>
          <m:t>e</m:t>
        </m:r>
        <m:r>
          <m:t>d</m:t>
        </m:r>
        <m:r>
          <m:t>i</m:t>
        </m:r>
        <m:r>
          <m:t>s</m:t>
        </m:r>
        <m:r>
          <m:t>s</m:t>
        </m:r>
        <m:r>
          <m:t>i</m:t>
        </m:r>
        <m:r>
          <m:t>m</m:t>
        </m:r>
        <m:r>
          <m:t>i</m:t>
        </m:r>
        <m:r>
          <m:t>l</m:t>
        </m:r>
        <m:r>
          <m:t>a</m:t>
        </m:r>
        <m:r>
          <m:t>r</m:t>
        </m:r>
        <m:r>
          <m:t>i</m:t>
        </m:r>
        <m:r>
          <m:t>t</m:t>
        </m:r>
        <m:r>
          <m:t>y</m:t>
        </m:r>
        <m:r>
          <m:t>u</m:t>
        </m:r>
        <m:r>
          <m:t>n</m:t>
        </m:r>
        <m:r>
          <m:t>d</m:t>
        </m:r>
        <m:r>
          <m:t>e</m:t>
        </m:r>
        <m:r>
          <m:t>r</m:t>
        </m:r>
        <m:r>
          <m:t>b</m:t>
        </m:r>
        <m:r>
          <m:t>o</m:t>
        </m:r>
        <m:r>
          <m:t>t</m:t>
        </m:r>
        <m:r>
          <m:t>h</m:t>
        </m:r>
        <m:r>
          <m:t>m</m:t>
        </m:r>
        <m:r>
          <m:t>e</m:t>
        </m:r>
        <m:r>
          <m:t>t</m:t>
        </m:r>
        <m:r>
          <m:t>r</m:t>
        </m:r>
        <m:r>
          <m:t>i</m:t>
        </m:r>
        <m:r>
          <m:t>c</m:t>
        </m:r>
        <m:r>
          <m:t>s</m:t>
        </m:r>
        <m:r>
          <m:rPr>
            <m:sty m:val="p"/>
          </m:rPr>
          <m:t>.</m:t>
        </m:r>
        <m:r>
          <m:rPr>
            <m:sty m:val="p"/>
          </m:rPr>
          <m:t>−</m:t>
        </m:r>
        <m:r>
          <m:t>I</m:t>
        </m:r>
        <m:r>
          <m:t>n</m:t>
        </m:r>
        <m:r>
          <m:rPr>
            <m:sty m:val="p"/>
          </m:rPr>
          <m:t>*</m:t>
        </m:r>
        <m:r>
          <m:rPr>
            <m:sty m:val="p"/>
          </m:rPr>
          <m:t>*</m:t>
        </m:r>
        <m:r>
          <m:t>A</m:t>
        </m:r>
        <m:r>
          <m:t>u</m:t>
        </m:r>
        <m:r>
          <m:t>r</m:t>
        </m:r>
        <m:r>
          <m:rPr>
            <m:sty m:val="p"/>
          </m:rPr>
          <m:t>−</m:t>
        </m:r>
        <m:r>
          <m:t>P</m:t>
        </m:r>
        <m:r>
          <m:t>2</m:t>
        </m:r>
        <m:r>
          <m:rPr>
            <m:sty m:val="p"/>
          </m:rPr>
          <m:t>*</m:t>
        </m:r>
        <m:r>
          <m:rPr>
            <m:sty m:val="p"/>
          </m:rPr>
          <m:t>*</m:t>
        </m:r>
        <m:r>
          <m:rPr>
            <m:sty m:val="p"/>
          </m:rPr>
          <m:t>(</m:t>
        </m:r>
      </m:oMath>
      <w:r>
        <w:t xml:space="preserve">R = -0.303, p = 0.94),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 Shao et al. (2021),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r>
            <w:tr>
              <w:tc>
                <w:tcPr/>
                <w:p>
                  <w:pPr>
                    <w:pStyle w:val="Compact"/>
                    <w:jc w:val="left"/>
                    <w:jc w:val="center"/>
                  </w:pPr>
                  <w:r>
                    <w:t xml:space="preserve">Aur-P2 (Evolved)</w:t>
                  </w:r>
                </w:p>
              </w:tc>
              <w:tc>
                <w:tcPr/>
                <w:p>
                  <w:pPr>
                    <w:pStyle w:val="Compact"/>
                    <w:jc w:val="right"/>
                    <w:jc w:val="center"/>
                  </w:pPr>
                  <w:r>
                    <w:t xml:space="preserve">8</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0.309</w:t>
                  </w:r>
                </w:p>
              </w:tc>
            </w:tr>
            <w:tr>
              <w:tc>
                <w:tcPr/>
                <w:p>
                  <w:pPr>
                    <w:pStyle w:val="Compact"/>
                    <w:jc w:val="left"/>
                    <w:jc w:val="center"/>
                  </w:pPr>
                  <w:r>
                    <w:t xml:space="preserve">Evolved Aurignacian (Aur-P2)</w:t>
                  </w:r>
                </w:p>
              </w:tc>
              <w:tc>
                <w:tcPr/>
                <w:p>
                  <w:pPr>
                    <w:pStyle w:val="Compact"/>
                    <w:jc w:val="right"/>
                    <w:jc w:val="center"/>
                  </w:pPr>
                  <w:r>
                    <w:t xml:space="preserve">8</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(4.25, 17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(4.25),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(0.309), moderate in the Evolved (0.125),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0.309</w:t>
                  </w:r>
                </w:p>
              </w:tc>
            </w:tr>
            <w:tr>
              <w:tc>
                <w:tcPr/>
                <w:p>
                  <w:pPr>
                    <w:pStyle w:val="Compact"/>
                    <w:jc w:val="left"/>
                    <w:jc w:val="center"/>
                  </w:pPr>
                  <w:r>
                    <w:t xml:space="preserve">Evolved Aurignacian (37.8-35 ka BP)</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0.700</w:t>
                  </w:r>
                </w:p>
              </w:tc>
              <w:tc>
                <w:tcPr/>
                <w:p>
                  <w:pPr>
                    <w:pStyle w:val="Compact"/>
                    <w:jc w:val="right"/>
                    <w:jc w:val="center"/>
                  </w:pPr>
                  <w:r>
                    <w:t xml:space="preserve">2.80</w:t>
                  </w:r>
                </w:p>
              </w:tc>
              <w:tc>
                <w:tcPr/>
                <w:p>
                  <w:pPr>
                    <w:pStyle w:val="Compact"/>
                    <w:jc w:val="right"/>
                    <w:jc w:val="center"/>
                  </w:pPr>
                  <w:r>
                    <w:t xml:space="preserve">0.600</w:t>
                  </w:r>
                </w:p>
              </w:tc>
              <w:tc>
                <w:tcPr/>
                <w:p>
                  <w:pPr>
                    <w:pStyle w:val="Compact"/>
                    <w:jc w:val="right"/>
                    <w:jc w:val="center"/>
                  </w:pPr>
                  <w:r>
                    <w:t xml:space="preserve">0.000</w:t>
                  </w:r>
                </w:p>
              </w:tc>
            </w:tr>
            <w:tr>
              <w:tc>
                <w:tcPr/>
                <w:p>
                  <w:pPr>
                    <w:pStyle w:val="Compact"/>
                    <w:jc w:val="left"/>
                    <w:jc w:val="center"/>
                  </w:pPr>
                  <w:r>
                    <w:t xml:space="preserve">Late Aurignacian (35-32 ka BP)</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7 edges and a mean degree of 2.80 across 5 sites, while the Late Aurignacian (35–32 ka BP) is severely data-limited: with only 3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-0.167</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-0.167</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0.494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0.099</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0.195</w:t>
                  </w:r>
                </w:p>
              </w:tc>
              <w:tc>
                <w:tcPr/>
                <w:p>
                  <w:pPr>
                    <w:pStyle w:val="Compact"/>
                    <w:jc w:val="right"/>
                    <w:jc w:val="center"/>
                  </w:pPr>
                  <w:r>
                    <w:t xml:space="preserve">0.334</w:t>
                  </w:r>
                </w:p>
              </w:tc>
              <w:tc>
                <w:tcPr/>
                <w:p>
                  <w:pPr>
                    <w:pStyle w:val="Compact"/>
                    <w:jc w:val="right"/>
                    <w:jc w:val="center"/>
                  </w:pPr>
                  <w:r>
                    <w:t xml:space="preserve">4.367</w:t>
                  </w:r>
                </w:p>
              </w:tc>
              <w:tc>
                <w:tcPr/>
                <w:p>
                  <w:pPr>
                    <w:pStyle w:val="Compact"/>
                    <w:jc w:val="right"/>
                    <w:jc w:val="center"/>
                  </w:pPr>
                  <w:r>
                    <w:t xml:space="preserve">4.261</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0.226</w:t>
                  </w:r>
                </w:p>
              </w:tc>
              <w:tc>
                <w:tcPr/>
                <w:p>
                  <w:pPr>
                    <w:pStyle w:val="Compact"/>
                    <w:jc w:val="right"/>
                    <w:jc w:val="center"/>
                  </w:pPr>
                  <w:r>
                    <w:t xml:space="preserve">0.328</w:t>
                  </w:r>
                </w:p>
              </w:tc>
              <w:tc>
                <w:tcPr/>
                <w:p>
                  <w:pPr>
                    <w:pStyle w:val="Compact"/>
                    <w:jc w:val="right"/>
                    <w:jc w:val="center"/>
                  </w:pPr>
                  <w:r>
                    <w:t xml:space="preserve">1.755</w:t>
                  </w:r>
                </w:p>
              </w:tc>
              <w:tc>
                <w:tcPr/>
                <w:p>
                  <w:pPr>
                    <w:pStyle w:val="Compact"/>
                    <w:jc w:val="right"/>
                    <w:jc w:val="center"/>
                  </w:pPr>
                  <w:r>
                    <w:t xml:space="preserve">2.933</w:t>
                  </w:r>
                </w:p>
              </w:tc>
              <w:tc>
                <w:tcPr/>
                <w:p>
                  <w:pPr>
                    <w:pStyle w:val="Compact"/>
                    <w:jc w:val="right"/>
                    <w:jc w:val="center"/>
                  </w:pPr>
                  <w:r>
                    <w:t xml:space="preserve">0.147</w:t>
                  </w:r>
                </w:p>
              </w:tc>
              <w:tc>
                <w:tcPr/>
                <w:p>
                  <w:pPr>
                    <w:pStyle w:val="Compact"/>
                    <w:jc w:val="right"/>
                    <w:jc w:val="center"/>
                  </w:pPr>
                  <w:r>
                    <w:t xml:space="preserve">0.050</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0.195</w:t>
                  </w:r>
                </w:p>
              </w:tc>
              <w:tc>
                <w:tcPr/>
                <w:p>
                  <w:pPr>
                    <w:pStyle w:val="Compact"/>
                    <w:jc w:val="right"/>
                    <w:jc w:val="center"/>
                  </w:pPr>
                  <w:r>
                    <w:t xml:space="preserve">0.353</w:t>
                  </w:r>
                </w:p>
              </w:tc>
              <w:tc>
                <w:tcPr/>
                <w:p>
                  <w:pPr>
                    <w:pStyle w:val="Compact"/>
                    <w:jc w:val="right"/>
                    <w:jc w:val="center"/>
                  </w:pPr>
                  <w:r>
                    <w:t xml:space="preserve">4.367</w:t>
                  </w:r>
                </w:p>
              </w:tc>
              <w:tc>
                <w:tcPr/>
                <w:p>
                  <w:pPr>
                    <w:pStyle w:val="Compact"/>
                    <w:jc w:val="right"/>
                    <w:jc w:val="center"/>
                  </w:pPr>
                  <w:r>
                    <w:t xml:space="preserve">2.914</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0.226</w:t>
                  </w:r>
                </w:p>
              </w:tc>
              <w:tc>
                <w:tcPr/>
                <w:p>
                  <w:pPr>
                    <w:pStyle w:val="Compact"/>
                    <w:jc w:val="right"/>
                    <w:jc w:val="center"/>
                  </w:pPr>
                  <w:r>
                    <w:t xml:space="preserve">0.328</w:t>
                  </w:r>
                </w:p>
              </w:tc>
              <w:tc>
                <w:tcPr/>
                <w:p>
                  <w:pPr>
                    <w:pStyle w:val="Compact"/>
                    <w:jc w:val="right"/>
                    <w:jc w:val="center"/>
                  </w:pPr>
                  <w:r>
                    <w:t xml:space="preserve">1.755</w:t>
                  </w:r>
                </w:p>
              </w:tc>
              <w:tc>
                <w:tcPr/>
                <w:p>
                  <w:pPr>
                    <w:pStyle w:val="Compact"/>
                    <w:jc w:val="right"/>
                    <w:jc w:val="center"/>
                  </w:pPr>
                  <w:r>
                    <w:t xml:space="preserve">2.933</w:t>
                  </w:r>
                </w:p>
              </w:tc>
              <w:tc>
                <w:tcPr/>
                <w:p>
                  <w:pPr>
                    <w:pStyle w:val="Compact"/>
                    <w:jc w:val="right"/>
                    <w:jc w:val="center"/>
                  </w:pPr>
                  <w:r>
                    <w:t xml:space="preserve">0.147</w:t>
                  </w:r>
                </w:p>
              </w:tc>
              <w:tc>
                <w:tcPr/>
                <w:p>
                  <w:pPr>
                    <w:pStyle w:val="Compact"/>
                    <w:jc w:val="right"/>
                    <w:jc w:val="center"/>
                  </w:pPr>
                  <w:r>
                    <w:t xml:space="preserve">0.050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0.195</w:t>
                  </w:r>
                </w:p>
              </w:tc>
              <w:tc>
                <w:tcPr/>
                <w:p>
                  <w:pPr>
                    <w:pStyle w:val="Compact"/>
                    <w:jc w:val="right"/>
                    <w:jc w:val="center"/>
                  </w:pPr>
                  <w:r>
                    <w:t xml:space="preserve">0.552</w:t>
                  </w:r>
                </w:p>
              </w:tc>
              <w:tc>
                <w:tcPr/>
                <w:p>
                  <w:pPr>
                    <w:pStyle w:val="Compact"/>
                    <w:jc w:val="right"/>
                    <w:jc w:val="center"/>
                  </w:pPr>
                  <w:r>
                    <w:t xml:space="preserve">4.367</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0.226</w:t>
                  </w:r>
                </w:p>
              </w:tc>
              <w:tc>
                <w:tcPr/>
                <w:p>
                  <w:pPr>
                    <w:pStyle w:val="Compact"/>
                    <w:jc w:val="right"/>
                    <w:jc w:val="center"/>
                  </w:pPr>
                  <w:r>
                    <w:t xml:space="preserve">0.519</w:t>
                  </w:r>
                </w:p>
              </w:tc>
              <w:tc>
                <w:tcPr/>
                <w:p>
                  <w:pPr>
                    <w:pStyle w:val="Compact"/>
                    <w:jc w:val="right"/>
                    <w:jc w:val="center"/>
                  </w:pPr>
                  <w:r>
                    <w:t xml:space="preserve">1.755</w:t>
                  </w:r>
                </w:p>
              </w:tc>
              <w:tc>
                <w:tcPr/>
                <w:p>
                  <w:pPr>
                    <w:pStyle w:val="Compact"/>
                    <w:jc w:val="right"/>
                    <w:jc w:val="center"/>
                  </w:pPr>
                  <w:r>
                    <w:t xml:space="preserve">2.695</w:t>
                  </w:r>
                </w:p>
              </w:tc>
              <w:tc>
                <w:tcPr/>
                <w:p>
                  <w:pPr>
                    <w:pStyle w:val="Compact"/>
                    <w:jc w:val="right"/>
                    <w:jc w:val="center"/>
                  </w:pPr>
                  <w:r>
                    <w:t xml:space="preserve">0.147</w:t>
                  </w:r>
                </w:p>
              </w:tc>
              <w:tc>
                <w:tcPr/>
                <w:p>
                  <w:pPr>
                    <w:pStyle w:val="Compact"/>
                    <w:jc w:val="right"/>
                    <w:jc w:val="center"/>
                  </w:pPr>
                  <w:r>
                    <w:t xml:space="preserve">0.011</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6 communities as weak cross-group edges are lost. Aur-P2 produces 2, 2, and 3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-0.167 for Aur-P2. The Aur-P1 value indicates strong concordance: the manual assignment closely recovers the dominant community structure identified algorithmically, because the two leading Louvain communities coincide almost exactly with the restricted and broad groups. The Aur-P2 value is negative, indicating agreement worse than chance: Louvain’s two communities cut across the manual groups, clustering the broader-range sites Trou Magrite and Bockstein-Törle with restricted-range sites in the largest community while La Viña and Sirgenstein Cave form the second. Across thresholds, ARI for Aur-P1 is highest at 0.2 (0.798), remains high at 0.1 (0.787), and drops at 0.3 (0.494) as the network fragments into six communities; for Aur-P2 it stays at or below zero (-0.167, -0.167, and 0.099). These results indicate that the manual assignment captures a genuine and strong signal in the well-sampled Aur-P1 phase, but is a poor summary of the data-driven structure in the small Aur-P2 sample.</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0.353 (Aur-P1) and 0.328 (Aur-P2), compared with the manual-group R² values of 0.195 and 0.226 respectively. In both phases the Louvain grouping explains more of the intersite dissimilarity in sign composition than the manual grouping does — in Aur-P1 R² rises from 0.195 to 0.353 (a factor of 1.81), and in Aur-P2 from 0.226 to 0.328. This pattern holds across thresholds: at 0.1 the Louvain R² values are 0.334 and 0.328; at 0.3 they rise to 0.552 and 0.519 as only the strongest, most structured edges survive. Every Louvain-derived p-value is at or below 0.05 (maximum 0.050), so the algorithmically detected structure is statistically significant in both phases — including Aur-P2, where the manual-group PerMANOVA is non-significant (p = 0.147).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but is a poor summary of the data-driven structure in Aur-P2 (ARI = -0.167). More importantly, the PerMANOVA comparison shows that the manual grouping is conservative rather than circular: the algorithmically derived partitions consistently explain more variance than the manual ones, meaning the main-text R² values (0.195 in Aur-P1 and 0.226 in Aur-P2) underestimate the true strength of the group contrast. In Aur-P2 the Louvain grouping even recovers a significant contrast (p = 0.011 at threshold 0.3) where the manual two-group split is non-significant (p = 0.147), although this phase rests on only eight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0.595</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0.708</w:t>
            </w:r>
          </w:p>
        </w:tc>
        <w:tc>
          <w:tcPr/>
          <w:p>
            <w:pPr>
              <w:pStyle w:val="Compact"/>
              <w:jc w:val="right"/>
            </w:pPr>
            <w:r>
              <w:t xml:space="preserve">0.971</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0.720</w:t>
            </w:r>
          </w:p>
        </w:tc>
        <w:tc>
          <w:tcPr/>
          <w:p>
            <w:pPr>
              <w:pStyle w:val="Compact"/>
              <w:jc w:val="right"/>
            </w:pPr>
            <w:r>
              <w:t xml:space="preserve">0.951</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0.765</w:t>
            </w:r>
          </w:p>
        </w:tc>
        <w:tc>
          <w:tcPr/>
          <w:p>
            <w:pPr>
              <w:pStyle w:val="Compact"/>
              <w:jc w:val="right"/>
            </w:pPr>
            <w:r>
              <w:t xml:space="preserve">0.952</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0.429</w:t>
            </w:r>
          </w:p>
        </w:tc>
        <w:tc>
          <w:tcPr/>
          <w:p>
            <w:pPr>
              <w:pStyle w:val="Compact"/>
              <w:jc w:val="right"/>
            </w:pPr>
            <w:r>
              <w:t xml:space="preserve">0.929</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0.542</w:t>
            </w:r>
          </w:p>
        </w:tc>
        <w:tc>
          <w:tcPr/>
          <w:p>
            <w:pPr>
              <w:pStyle w:val="Compact"/>
              <w:jc w:val="right"/>
            </w:pPr>
            <w:r>
              <w:t xml:space="preserve">0.946</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(0.43–0.77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(0.93–0.97)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0.332</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0.089</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0.267</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0.125</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0.259</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0.259</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0.332 exceeds the null expectation (null mean 0.091) and is statistically significant (p = 0.030), as it is at threshold 0.3 (0.336, p = 0.030); at the permissive 0.1 threshold, the Aur-P1 value (0.223, p = 0.090) does not reach significance. Aur-P2’s observed modularity (0.125 at threshold 0.2) is clearly non-significant at every threshold (p = 0.267 to 0.259),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-0.241</w:t>
                  </w:r>
                </w:p>
              </w:tc>
              <w:tc>
                <w:tcPr/>
                <w:p>
                  <w:pPr>
                    <w:pStyle w:val="Compact"/>
                    <w:jc w:val="center"/>
                    <w:jc w:val="center"/>
                  </w:pPr>
                  <w:r>
                    <w:t xml:space="preserve">0.307</w:t>
                  </w:r>
                </w:p>
              </w:tc>
            </w:tr>
            <w:tr>
              <w:tc>
                <w:tcPr/>
                <w:p>
                  <w:pPr>
                    <w:pStyle w:val="Compact"/>
                    <w:jc w:val="left"/>
                    <w:jc w:val="center"/>
                  </w:pPr>
                  <w:r>
                    <w:t xml:space="preserve">Aur-P2</w:t>
                  </w:r>
                </w:p>
              </w:tc>
              <w:tc>
                <w:tcPr/>
                <w:p>
                  <w:pPr>
                    <w:pStyle w:val="Compact"/>
                    <w:jc w:val="center"/>
                    <w:jc w:val="center"/>
                  </w:pPr>
                  <w:r>
                    <w:t xml:space="preserve">8</w:t>
                  </w:r>
                </w:p>
              </w:tc>
              <w:tc>
                <w:tcPr/>
                <w:p>
                  <w:pPr>
                    <w:pStyle w:val="Compact"/>
                    <w:jc w:val="center"/>
                    <w:jc w:val="center"/>
                  </w:pPr>
                  <w:r>
                    <w:t xml:space="preserve">0.395</w:t>
                  </w:r>
                </w:p>
              </w:tc>
              <w:tc>
                <w:tcPr/>
                <w:p>
                  <w:pPr>
                    <w:pStyle w:val="Compact"/>
                    <w:jc w:val="center"/>
                    <w:jc w:val="center"/>
                  </w:pPr>
                  <w:r>
                    <w:t xml:space="preserve">0.333</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-0.241, p = 0.307; Aur-P2: ρ = 0.395, p = 0.333). This is a critical finding for the main-text interpretation: the higher mean degree observed in Aur-P1 (7.50 at the baseline threshold) compared to Aur-P2 (4.25) is not simply an artefact of the Aur-P1 phase containing sites with richer sign assemblages. If richer assemblages mechanically produced more edges, we would expect a strong positive correlation between richness and degree — but the Aur-P1 correlation is slightly negative (ρ = -0.241, p = 0.307)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(Hohle Fels, Geissenklösterle, Vogelherd, La Ferrassie, Abri Pataud, and Gatzarria in Aur-P1;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0.332</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17</w:t>
                  </w:r>
                </w:p>
              </w:tc>
              <w:tc>
                <w:tcPr/>
                <w:p>
                  <w:pPr>
                    <w:pStyle w:val="Compact"/>
                    <w:jc w:val="right"/>
                    <w:jc w:val="center"/>
                  </w:pPr>
                  <w:r>
                    <w:t xml:space="preserve">4.25</w:t>
                  </w:r>
                </w:p>
              </w:tc>
              <w:tc>
                <w:tcPr/>
                <w:p>
                  <w:pPr>
                    <w:pStyle w:val="Compact"/>
                    <w:jc w:val="right"/>
                    <w:jc w:val="center"/>
                  </w:pPr>
                  <w:r>
                    <w:t xml:space="preserve">0.125</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0.340</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12</w:t>
                  </w:r>
                </w:p>
              </w:tc>
              <w:tc>
                <w:tcPr/>
                <w:p>
                  <w:pPr>
                    <w:pStyle w:val="Compact"/>
                    <w:jc w:val="right"/>
                    <w:jc w:val="center"/>
                  </w:pPr>
                  <w:r>
                    <w:t xml:space="preserve">29</w:t>
                  </w:r>
                </w:p>
              </w:tc>
              <w:tc>
                <w:tcPr/>
                <w:p>
                  <w:pPr>
                    <w:pStyle w:val="Compact"/>
                    <w:jc w:val="right"/>
                    <w:jc w:val="center"/>
                  </w:pPr>
                  <w:r>
                    <w:t xml:space="preserve">4.83</w:t>
                  </w:r>
                </w:p>
              </w:tc>
              <w:tc>
                <w:tcPr/>
                <w:p>
                  <w:pPr>
                    <w:pStyle w:val="Compact"/>
                    <w:jc w:val="right"/>
                    <w:jc w:val="center"/>
                  </w:pPr>
                  <w:r>
                    <w:t xml:space="preserve">0.179</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0.327</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21</w:t>
                  </w:r>
                </w:p>
              </w:tc>
              <w:tc>
                <w:tcPr/>
                <w:p>
                  <w:pPr>
                    <w:pStyle w:val="Compact"/>
                    <w:jc w:val="right"/>
                    <w:jc w:val="center"/>
                  </w:pPr>
                  <w:r>
                    <w:t xml:space="preserve">4.67</w:t>
                  </w:r>
                </w:p>
              </w:tc>
              <w:tc>
                <w:tcPr/>
                <w:p>
                  <w:pPr>
                    <w:pStyle w:val="Compact"/>
                    <w:jc w:val="right"/>
                    <w:jc w:val="center"/>
                  </w:pPr>
                  <w:r>
                    <w:t xml:space="preserve">0.124</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0.330</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3.71</w:t>
                  </w:r>
                </w:p>
              </w:tc>
              <w:tc>
                <w:tcPr/>
                <w:p>
                  <w:pPr>
                    <w:pStyle w:val="Compact"/>
                    <w:jc w:val="right"/>
                    <w:jc w:val="center"/>
                  </w:pPr>
                  <w:r>
                    <w:t xml:space="preserve">0.119</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3.71</w:t>
                  </w:r>
                </w:p>
              </w:tc>
              <w:tc>
                <w:tcPr/>
                <w:p>
                  <w:pPr>
                    <w:pStyle w:val="Compact"/>
                    <w:jc w:val="right"/>
                    <w:jc w:val="center"/>
                  </w:pPr>
                  <w:r>
                    <w:t xml:space="preserve">0.119</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is held in Aur-P1 by the technology-based override,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3.71–4.83. The Aur-P1 &gt; Aur-P2 connectivity ordering is preserved in all 4 shifts: a downward shift adds Vindija Cave to Aur-P1, raising its mean degree to 7.81 (82 edges) while shrinking Aur-P2 to 7 sites (mean degree 3.71); an upward shift transfers sites the other way, with Aur-P1 at 16 sites after the ±1000 year shift yet still averaging 6.62, above Aur-P2’s 4.83. Modularity is stable: Aur-P1 ranges from 0.327 to 0.340 across shifts (baseline 0.332) and Aur-P2 from 0.119 to 0.179 (baseline 0.125),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2.25–6.00 across thresholds of 0.05–0.50, and the ordering is preserved throughout. At very low thresholds both networks are densely connected and the relative contrast compresses; at high thresholds both fragment as edges drop out, but Aur-P2 retains a mean degree of at least 2.25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2.25. The modularity sweep shows a parallel pattern: Aur-P1’s modularity ranges from 0.205–0.434 across thresholds and consistently exceeds Aur-P2’s (0.089–0.125)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0.539</w:t>
                  </w:r>
                </w:p>
              </w:tc>
            </w:tr>
            <w:tr>
              <w:tc>
                <w:tcPr/>
                <w:p>
                  <w:pPr>
                    <w:pStyle w:val="Compact"/>
                    <w:jc w:val="left"/>
                    <w:jc w:val="center"/>
                  </w:pPr>
                  <w:r>
                    <w:t xml:space="preserve">Aur-P2</w:t>
                  </w:r>
                </w:p>
              </w:tc>
              <w:tc>
                <w:tcPr/>
                <w:p>
                  <w:pPr>
                    <w:pStyle w:val="Compact"/>
                    <w:jc w:val="center"/>
                    <w:jc w:val="center"/>
                  </w:pPr>
                  <w:r>
                    <w:t xml:space="preserve">4.62</w:t>
                  </w:r>
                </w:p>
              </w:tc>
              <w:tc>
                <w:tcPr/>
                <w:p>
                  <w:pPr>
                    <w:pStyle w:val="Compact"/>
                    <w:jc w:val="center"/>
                    <w:jc w:val="center"/>
                  </w:pPr>
                  <w:r>
                    <w:t xml:space="preserve">2.25</w:t>
                  </w:r>
                </w:p>
              </w:tc>
              <w:tc>
                <w:tcPr/>
                <w:p>
                  <w:pPr>
                    <w:pStyle w:val="Compact"/>
                    <w:jc w:val="center"/>
                    <w:jc w:val="center"/>
                  </w:pPr>
                  <w:r>
                    <w:t xml:space="preserve">6.5</w:t>
                  </w:r>
                </w:p>
              </w:tc>
              <w:tc>
                <w:tcPr/>
                <w:p>
                  <w:pPr>
                    <w:pStyle w:val="Compact"/>
                    <w:jc w:val="center"/>
                    <w:jc w:val="center"/>
                  </w:pPr>
                  <w:r>
                    <w:t xml:space="preserve">0.192</w:t>
                  </w:r>
                </w:p>
              </w:tc>
              <w:tc>
                <w:tcPr/>
                <w:p>
                  <w:pPr>
                    <w:pStyle w:val="Compact"/>
                    <w:jc w:val="center"/>
                    <w:jc w:val="center"/>
                  </w:pPr>
                  <w:r>
                    <w:t xml:space="preserve">0.013</w:t>
                  </w:r>
                </w:p>
              </w:tc>
              <w:tc>
                <w:tcPr/>
                <w:p>
                  <w:pPr>
                    <w:pStyle w:val="Compact"/>
                    <w:jc w:val="center"/>
                    <w:jc w:val="center"/>
                  </w:pPr>
                  <w:r>
                    <w:t xml:space="preserve">0.496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[2.25, 6.50] overlap. Because the intervals overlap, the bootstrap does not formally separate the two phases by the strict non-overlap criterion; the Aur-P1–Aur-P2 contrast is supported at the point-estimate level (Aur-P1 8.10 vs Aur-P2 4.62) but is not statistically decisive. For modularity, the two CIs overlap substantially (Aur-P1 [0.199, 0.539], Aur-P2 [0.013, 0.496]), meaning the phase-by-phase difference in modularity is not statistically distinguishable given the current sample sizes. This reinforces the S5.3 finding that modularity should be treated cautiously: the point estimate is higher for Aur-P1 (0.363 vs 0.192), but the wide intervals — driven by Aur-P2’s small sample (8 sites) — overlap. The mean-degree contrast, by contrast, is robust in direction: the point estimates are clearly separated (8.1 vs 4.6),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0.025</w:t>
                  </w:r>
                </w:p>
              </w:tc>
              <w:tc>
                <w:tcPr/>
                <w:p>
                  <w:pPr>
                    <w:pStyle w:val="Compact"/>
                    <w:jc w:val="center"/>
                    <w:jc w:val="center"/>
                  </w:pPr>
                  <w:r>
                    <w:t xml:space="preserve">0.370</w:t>
                  </w:r>
                </w:p>
              </w:tc>
              <w:tc>
                <w:tcPr/>
                <w:p>
                  <w:pPr>
                    <w:pStyle w:val="Compact"/>
                    <w:jc w:val="center"/>
                    <w:jc w:val="center"/>
                  </w:pPr>
                  <w:r>
                    <w:t xml:space="preserve">0.74</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-0.297</w:t>
                  </w:r>
                </w:p>
              </w:tc>
              <w:tc>
                <w:tcPr/>
                <w:p>
                  <w:pPr>
                    <w:pStyle w:val="Compact"/>
                    <w:jc w:val="center"/>
                    <w:jc w:val="center"/>
                  </w:pPr>
                  <w:r>
                    <w:t xml:space="preserve">0.934</w:t>
                  </w:r>
                </w:p>
              </w:tc>
              <w:tc>
                <w:tcPr/>
                <w:p>
                  <w:pPr>
                    <w:pStyle w:val="Compact"/>
                    <w:jc w:val="center"/>
                    <w:jc w:val="center"/>
                  </w:pPr>
                  <w:r>
                    <w:t xml:space="preserve">0.94</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0.045</w:t>
                  </w:r>
                </w:p>
              </w:tc>
              <w:tc>
                <w:tcPr/>
                <w:p>
                  <w:pPr>
                    <w:pStyle w:val="Compact"/>
                    <w:jc w:val="center"/>
                    <w:jc w:val="center"/>
                  </w:pPr>
                  <w:r>
                    <w:t xml:space="preserve">0.306</w:t>
                  </w:r>
                </w:p>
              </w:tc>
              <w:tc>
                <w:tcPr/>
                <w:p>
                  <w:pPr>
                    <w:pStyle w:val="Compact"/>
                    <w:jc w:val="center"/>
                    <w:jc w:val="center"/>
                  </w:pPr>
                  <w:r>
                    <w:t xml:space="preserve">0.74</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-0.303</w:t>
                  </w:r>
                </w:p>
              </w:tc>
              <w:tc>
                <w:tcPr/>
                <w:p>
                  <w:pPr>
                    <w:pStyle w:val="Compact"/>
                    <w:jc w:val="center"/>
                    <w:jc w:val="center"/>
                  </w:pPr>
                  <w:r>
                    <w:t xml:space="preserve">0.940</w:t>
                  </w:r>
                </w:p>
              </w:tc>
              <w:tc>
                <w:tcPr/>
                <w:p>
                  <w:pPr>
                    <w:pStyle w:val="Compact"/>
                    <w:jc w:val="center"/>
                    <w:jc w:val="center"/>
                  </w:pPr>
                  <w:r>
                    <w:t xml:space="preserve">0.94</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0.045</m:t>
        </m:r>
      </m:oMath>
      <w:r>
        <w:t xml:space="preserve">, raw</w:t>
      </w:r>
      <w:r>
        <w:t xml:space="preserve"> </w:t>
      </w:r>
      <m:oMath>
        <m:r>
          <m:t>p</m:t>
        </m:r>
        <m:r>
          <m:rPr>
            <m:sty m:val="p"/>
          </m:rPr>
          <m:t>=</m:t>
        </m:r>
        <m:r>
          <m:t>0.306</m:t>
        </m:r>
      </m:oMath>
      <w:r>
        <w:t xml:space="preserve">), well above the 0.05 threshold. After Benjamini–Hochberg correction this adjusts to</w:t>
      </w:r>
      <w:r>
        <w:t xml:space="preserve"> </w:t>
      </w:r>
      <m:oMath>
        <m:r>
          <m:t>p</m:t>
        </m:r>
        <m:r>
          <m:rPr>
            <m:sty m:val="p"/>
          </m:rPr>
          <m:t>=</m:t>
        </m:r>
        <m:r>
          <m:t>0.740</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150% more nodes than Aur-P2 (8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7.54</w:t>
                  </w:r>
                </w:p>
              </w:tc>
              <w:tc>
                <w:tcPr/>
                <w:p>
                  <w:pPr>
                    <w:pStyle w:val="Compact"/>
                    <w:jc w:val="center"/>
                    <w:jc w:val="center"/>
                  </w:pPr>
                  <w:r>
                    <w:t xml:space="preserve">1</w:t>
                  </w:r>
                </w:p>
              </w:tc>
              <w:tc>
                <w:tcPr/>
                <w:p>
                  <w:pPr>
                    <w:pStyle w:val="Compact"/>
                    <w:jc w:val="center"/>
                    <w:jc w:val="center"/>
                  </w:pPr>
                  <w:r>
                    <w:t xml:space="preserve">0.33</w:t>
                  </w:r>
                </w:p>
              </w:tc>
              <w:tc>
                <w:tcPr/>
                <w:p>
                  <w:pPr>
                    <w:pStyle w:val="Compact"/>
                    <w:jc w:val="center"/>
                    <w:jc w:val="center"/>
                  </w:pPr>
                  <w:r>
                    <w:t xml:space="preserve">0.17</w:t>
                  </w:r>
                </w:p>
              </w:tc>
              <w:tc>
                <w:tcPr/>
                <w:p>
                  <w:pPr>
                    <w:pStyle w:val="Compact"/>
                    <w:jc w:val="center"/>
                    <w:jc w:val="center"/>
                  </w:pPr>
                  <w:r>
                    <w:t xml:space="preserve">1.92</w:t>
                  </w:r>
                </w:p>
              </w:tc>
            </w:tr>
            <w:tr>
              <w:tc>
                <w:tcPr/>
                <w:p>
                  <w:pPr>
                    <w:pStyle w:val="Compact"/>
                    <w:jc w:val="left"/>
                    <w:jc w:val="center"/>
                  </w:pPr>
                  <w:r>
                    <w:t xml:space="preserve">Aur-P2</w:t>
                  </w:r>
                </w:p>
              </w:tc>
              <w:tc>
                <w:tcPr/>
                <w:p>
                  <w:pPr>
                    <w:pStyle w:val="Compact"/>
                    <w:jc w:val="center"/>
                    <w:jc w:val="center"/>
                  </w:pPr>
                  <w:r>
                    <w:t xml:space="preserve">8</w:t>
                  </w:r>
                </w:p>
              </w:tc>
              <w:tc>
                <w:tcPr/>
                <w:p>
                  <w:pPr>
                    <w:pStyle w:val="Compact"/>
                    <w:jc w:val="center"/>
                    <w:jc w:val="center"/>
                  </w:pPr>
                  <w:r>
                    <w:t xml:space="preserve">4.25</w:t>
                  </w:r>
                </w:p>
              </w:tc>
              <w:tc>
                <w:tcPr/>
                <w:p>
                  <w:pPr>
                    <w:pStyle w:val="Compact"/>
                    <w:jc w:val="center"/>
                    <w:jc w:val="center"/>
                  </w:pPr>
                  <w:r>
                    <w:t xml:space="preserve">4.23</w:t>
                  </w:r>
                </w:p>
              </w:tc>
              <w:tc>
                <w:tcPr/>
                <w:p>
                  <w:pPr>
                    <w:pStyle w:val="Compact"/>
                    <w:jc w:val="center"/>
                    <w:jc w:val="center"/>
                  </w:pPr>
                  <w:r>
                    <w:t xml:space="preserve">1</w:t>
                  </w:r>
                </w:p>
              </w:tc>
              <w:tc>
                <w:tcPr/>
                <w:p>
                  <w:pPr>
                    <w:pStyle w:val="Compact"/>
                    <w:jc w:val="center"/>
                    <w:jc w:val="center"/>
                  </w:pPr>
                  <w:r>
                    <w:t xml:space="preserve">0.12</w:t>
                  </w:r>
                </w:p>
              </w:tc>
              <w:tc>
                <w:tcPr/>
                <w:p>
                  <w:pPr>
                    <w:pStyle w:val="Compact"/>
                    <w:jc w:val="center"/>
                    <w:jc w:val="center"/>
                  </w:pPr>
                  <w:r>
                    <w:t xml:space="preserve">0.10</w:t>
                  </w:r>
                </w:p>
              </w:tc>
              <w:tc>
                <w:tcPr/>
                <w:p>
                  <w:pPr>
                    <w:pStyle w:val="Compact"/>
                    <w:jc w:val="center"/>
                    <w:jc w:val="center"/>
                  </w:pPr>
                  <w:r>
                    <w:t xml:space="preserve">1.26</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150% more sites than Aur-P2 (8 sites), and larger networks mechanically produce higher mean degree and modularity even under random wiring. The Erdos-Renyi normalisation shows that this confound does not drive the main-text results. Mean degree ratios are reported for both phases (Aur-P1 1.00, Aur-P2 1.00), confirming whether the observed mean degrees are consistent with random expectation for networks of these sizes — noting that Erdos-Renyi preserves edge density, so a ratio near 1 does not mean the networks lack structure. The modularity ratios tell the real story: Aur-P1 (1.92) and Aur-P2 (1.26) are compared against the random expectation for a network of the same size, so any main-text claim that one phase is more internally structured than the other is evaluated net of the 20-versus-8 site asymmetry rather than as an artefact of it.</w:t>
      </w:r>
    </w:p>
    <w:bookmarkEnd w:id="83"/>
    <w:bookmarkEnd w:id="84"/>
    <w:bookmarkStart w:id="141"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0.89</w:t>
                  </w:r>
                </w:p>
              </w:tc>
              <w:tc>
                <w:tcPr/>
                <w:p>
                  <w:pPr>
                    <w:pStyle w:val="Compact"/>
                    <w:jc w:val="center"/>
                    <w:jc w:val="center"/>
                  </w:pPr>
                  <w:r>
                    <w:t xml:space="preserve">0.85</w:t>
                  </w:r>
                </w:p>
              </w:tc>
              <w:tc>
                <w:tcPr/>
                <w:p>
                  <w:pPr>
                    <w:pStyle w:val="Compact"/>
                    <w:jc w:val="center"/>
                    <w:jc w:val="center"/>
                  </w:pPr>
                  <w:r>
                    <w:t xml:space="preserve">0.27</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2</w:t>
                  </w:r>
                </w:p>
              </w:tc>
              <w:tc>
                <w:tcPr/>
                <w:p>
                  <w:pPr>
                    <w:pStyle w:val="Compact"/>
                    <w:jc w:val="center"/>
                    <w:jc w:val="center"/>
                  </w:pPr>
                  <w:r>
                    <w:t xml:space="preserve">0.51</w:t>
                  </w:r>
                </w:p>
              </w:tc>
              <w:tc>
                <w:tcPr/>
                <w:p>
                  <w:pPr>
                    <w:pStyle w:val="Compact"/>
                    <w:jc w:val="center"/>
                    <w:jc w:val="center"/>
                  </w:pPr>
                  <w:r>
                    <w:t xml:space="preserve">0.81</w:t>
                  </w:r>
                </w:p>
              </w:tc>
              <w:tc>
                <w:tcPr/>
                <w:p>
                  <w:pPr>
                    <w:pStyle w:val="Compact"/>
                    <w:jc w:val="center"/>
                    <w:jc w:val="center"/>
                  </w:pPr>
                  <w:r>
                    <w:t xml:space="preserve">0.53</w:t>
                  </w:r>
                </w:p>
              </w:tc>
              <w:tc>
                <w:tcPr/>
                <w:p>
                  <w:pPr>
                    <w:pStyle w:val="Compact"/>
                    <w:jc w:val="center"/>
                    <w:jc w:val="center"/>
                  </w:pPr>
                  <w:r>
                    <w:t xml:space="preserve">0.45</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0.56</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0.72</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0.99</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0.72</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0.76</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0.92</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0.89 for the broader-range block, against 0.27 across the two blocks — a strong signal that both groups are internally coherent and sharply separated. In</w:t>
      </w:r>
      <w:r>
        <w:t xml:space="preserve"> </w:t>
      </w:r>
      <w:r>
        <w:rPr>
          <w:bCs/>
          <w:b/>
        </w:rPr>
        <w:t xml:space="preserve">Aur-P2</w:t>
      </w:r>
      <w:r>
        <w:t xml:space="preserve">, the pattern is 0.51 within the restricted block and 0.81 within the broader block, against 0.45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35" w:name="sec-s6-3"/>
    <w:p>
      <w:pPr>
        <w:pStyle w:val="Heading2"/>
      </w:pPr>
      <w:r>
        <w:t xml:space="preserve">S6.3 Stochastic Block Models</w:t>
      </w:r>
    </w:p>
    <w:bookmarkStart w:id="133"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6" name="Picture"/>
            <a:graphic>
              <a:graphicData uri="http://schemas.openxmlformats.org/drawingml/2006/picture">
                <pic:pic>
                  <pic:nvPicPr>
                    <pic:cNvPr descr="supplement-sensitivity_files/figure-docx/s6-sbm-compute-1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9" name="Picture"/>
            <a:graphic>
              <a:graphicData uri="http://schemas.openxmlformats.org/drawingml/2006/picture">
                <pic:pic>
                  <pic:nvPicPr>
                    <pic:cNvPr descr="supplement-sensitivity_files/figure-docx/s6-sbm-compute-12.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31"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-39.5</w:t>
                  </w:r>
                </w:p>
              </w:tc>
              <w:tc>
                <w:tcPr/>
                <w:p>
                  <w:pPr>
                    <w:pStyle w:val="Compact"/>
                    <w:jc w:val="center"/>
                    <w:jc w:val="center"/>
                  </w:pPr>
                  <w:r>
                    <w:t xml:space="preserve">-33.6</w:t>
                  </w:r>
                </w:p>
              </w:tc>
              <w:tc>
                <w:tcPr/>
                <w:p>
                  <w:pPr>
                    <w:pStyle w:val="Compact"/>
                    <w:jc w:val="center"/>
                    <w:jc w:val="center"/>
                  </w:pPr>
                  <w:r>
                    <w:t xml:space="preserve">-47.7</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2</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3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2"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32"/>
        </w:tc>
      </w:tr>
    </w:tbl>
    <w:bookmarkEnd w:id="133"/>
    <w:bookmarkStart w:id="134"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2 blocks. The ICL gap between the best and second-best model quantifies how decisively the optimum is preferred (2.04 in Aur-P1 and 5.91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After aligning each SBM block to the nearest manual group, the SBM partition reproduces the manual restricted/broad split exactly in</w:t>
      </w:r>
      <w:r>
        <w:t xml:space="preserve"> </w:t>
      </w:r>
      <w:r>
        <w:rPr>
          <w:bCs/>
          <w:b/>
        </w:rPr>
        <w:t xml:space="preserve">Aur-P2</w:t>
      </w:r>
      <w:r>
        <w:t xml:space="preserve">, and diverges on 1 of 20 sites in</w:t>
      </w:r>
      <w:r>
        <w:t xml:space="preserve"> </w:t>
      </w:r>
      <w:r>
        <w:rPr>
          <w:bCs/>
          <w:b/>
        </w:rPr>
        <w:t xml:space="preserve">Aur-P1</w:t>
      </w:r>
      <w:r>
        <w:t xml:space="preserve"> </w:t>
      </w:r>
      <w:r>
        <w:t xml:space="preserve">(Labeko Koba).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Where the SBM settles on two blocks and its partition agrees with the manual groups (as in Aur-P2), the two-group structure is independently corroborated. Where the SBM favours more blocks — or partitions sites differently (quantified as ARI in S6.4) — the restricted/broad dichotomy should be read as the dominant axis of variation rather than the complete structure. These results complement, rather than supersede, the bootstrap analysis: the bootstrap quantifies sampling stability of the main-text partition, while the SBM asks whether an independent generative model reproduces it.</w:t>
      </w:r>
    </w:p>
    <w:bookmarkEnd w:id="134"/>
    <w:bookmarkEnd w:id="135"/>
    <w:bookmarkStart w:id="139" w:name="sec-s6-4"/>
    <w:p>
      <w:pPr>
        <w:pStyle w:val="Heading2"/>
      </w:pPr>
      <w:r>
        <w:t xml:space="preserve">S6.4 Cross-Validation of Group Assignments (ARI)</w:t>
      </w:r>
    </w:p>
    <w:bookmarkStart w:id="137"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6"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0.70</w:t>
                  </w:r>
                </w:p>
              </w:tc>
              <w:tc>
                <w:tcPr/>
                <w:p>
                  <w:pPr>
                    <w:pStyle w:val="Compact"/>
                    <w:jc w:val="center"/>
                    <w:jc w:val="center"/>
                  </w:pPr>
                  <w:r>
                    <w:t xml:space="preserve">0.70</w:t>
                  </w:r>
                </w:p>
              </w:tc>
            </w:tr>
            <w:tr>
              <w:tc>
                <w:tcPr/>
                <w:p>
                  <w:pPr>
                    <w:pStyle w:val="Compact"/>
                    <w:jc w:val="left"/>
                    <w:jc w:val="center"/>
                  </w:pPr>
                  <w:r>
                    <w:t xml:space="preserve">Aur-P2</w:t>
                  </w:r>
                </w:p>
              </w:tc>
              <w:tc>
                <w:tcPr/>
                <w:p>
                  <w:pPr>
                    <w:pStyle w:val="Compact"/>
                    <w:jc w:val="center"/>
                    <w:jc w:val="center"/>
                  </w:pPr>
                  <w:r>
                    <w:t xml:space="preserve">0.16</w:t>
                  </w:r>
                </w:p>
              </w:tc>
              <w:tc>
                <w:tcPr/>
                <w:p>
                  <w:pPr>
                    <w:pStyle w:val="Compact"/>
                    <w:jc w:val="center"/>
                    <w:jc w:val="center"/>
                  </w:pPr>
                  <w:r>
                    <w:t xml:space="preserve">-0.17</w:t>
                  </w:r>
                </w:p>
              </w:tc>
              <w:tc>
                <w:tcPr/>
                <w:p>
                  <w:pPr>
                    <w:pStyle w:val="Compact"/>
                    <w:jc w:val="center"/>
                    <w:jc w:val="center"/>
                  </w:pPr>
                  <w:r>
                    <w:t xml:space="preserve">0.16</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 Values are blank for SBM comparisons when the</w:t>
            </w:r>
            <w:r>
              <w:t xml:space="preserve"> </w:t>
            </w:r>
            <w:r>
              <w:rPr>
                <w:rStyle w:val="VerbatimChar"/>
              </w:rPr>
              <w:t xml:space="preserve">blockmodels</w:t>
            </w:r>
            <w:r>
              <w:t xml:space="preserve"> </w:t>
            </w:r>
            <w:r>
              <w:t xml:space="preserve">package is unavailable.</w:t>
            </w:r>
          </w:p>
          <w:bookmarkEnd w:id="136"/>
        </w:tc>
      </w:tr>
    </w:tbl>
    <w:bookmarkEnd w:id="137"/>
    <w:bookmarkStart w:id="138"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8"/>
    <w:bookmarkEnd w:id="139"/>
    <w:bookmarkStart w:id="140"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8 sites.</w:t>
      </w:r>
    </w:p>
    <w:bookmarkEnd w:id="140"/>
    <w:bookmarkEnd w:id="141"/>
    <w:bookmarkStart w:id="158" w:name="sec-s7"/>
    <w:p>
      <w:pPr>
        <w:pStyle w:val="Heading1"/>
      </w:pPr>
      <w:r>
        <w:t xml:space="preserve">S7. Object-Type Sensitivity: Figurine Exclusion</w:t>
      </w:r>
    </w:p>
    <w:bookmarkStart w:id="142"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42"/>
    <w:bookmarkStart w:id="14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4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43"/>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All 63 figurines fall within Aur-P1. The analysis therefore tests whether the Aur-P1 network structure — which reports the higher mean degree (7.50) — is driven by these 50 objects at a single site.</w:t>
      </w:r>
    </w:p>
    <w:bookmarkEnd w:id="144"/>
    <w:bookmarkStart w:id="149" w:name="s7.3-analysis-1-exclude-all-figurines"/>
    <w:p>
      <w:pPr>
        <w:pStyle w:val="Heading2"/>
      </w:pPr>
      <w:r>
        <w:t xml:space="preserve">S7.3 Analysis 1: Exclude All Figurines</w:t>
      </w:r>
    </w:p>
    <w:bookmarkStart w:id="14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45"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0.699</w:t>
                  </w:r>
                </w:p>
              </w:tc>
              <w:tc>
                <w:tcPr/>
                <w:p>
                  <w:pPr>
                    <w:pStyle w:val="Compact"/>
                    <w:jc w:val="center"/>
                    <w:jc w:val="center"/>
                  </w:pPr>
                  <w:r>
                    <w:t xml:space="preserve">0.324</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4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8</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6"/>
        </w:tc>
      </w:tr>
    </w:tbl>
    <w:bookmarkEnd w:id="147"/>
    <w:bookmarkStart w:id="148" w:name="interpretation-3"/>
    <w:p>
      <w:pPr>
        <w:pStyle w:val="Heading3"/>
      </w:pPr>
      <w:r>
        <w:t xml:space="preserve">Interpretation</w:t>
      </w:r>
    </w:p>
    <w:p>
      <w:pPr>
        <w:pStyle w:val="FirstParagraph"/>
      </w:pPr>
      <w:r>
        <w:t xml:space="preserve">Excluding all 63 figurines has no effect on the Aur-P1 network: mean degree is unchanged (7.50 → 7.50), all 75 edges are retained, and no sites are lost (all 20 sites retained). Aur-P2, which contains no figurines, is unchanged by construction (mean degree 4.25, 17 edges, 8 sites). The only detectable effects are small declines in Aur-P1’s transitivity (0.711 → 0.699) and modularity (0.332 → 0.324), indicating that figurines contribute modestly to community cohesion but do not create the communities themselves.</w:t>
      </w:r>
    </w:p>
    <w:p>
      <w:pPr>
        <w:pStyle w:val="BodyText"/>
      </w:pPr>
      <w:r>
        <w:t xml:space="preserve">Critically, Aur-P1 retains the higher mean degree (7.50) under figurine exclusion, preserving the main-text ordering Aur-P1 &gt; Aur-P2 (7.50 &gt; 4.25). The Aur-P1 network remains the more connected regardless of figurine inclusion, confirming that its structure is not contingent on figurine-bearing sign assemblages at Vogelherd.</w:t>
      </w:r>
    </w:p>
    <w:bookmarkEnd w:id="148"/>
    <w:bookmarkEnd w:id="149"/>
    <w:bookmarkStart w:id="154" w:name="X7549e60451b9f7bbee640100d361a0cf771ac62"/>
    <w:p>
      <w:pPr>
        <w:pStyle w:val="Heading2"/>
      </w:pPr>
      <w:r>
        <w:t xml:space="preserve">S7.4 Analysis 2: Exclude Vogelherd Figurines Only</w:t>
      </w:r>
    </w:p>
    <w:bookmarkStart w:id="15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50"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0.328</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51"/>
        </w:tc>
      </w:tr>
    </w:tbl>
    <w:bookmarkEnd w:id="152"/>
    <w:bookmarkStart w:id="153"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0.332 to 0.328. Aur-P2 shows no change whatsoever (mean degree 4.25 → 4.25, modularity 0.125 → 0.125), confirming that Vogelherd figurines do not contribute to network structure in the later phase.</w:t>
      </w:r>
    </w:p>
    <w:p>
      <w:pPr>
        <w:pStyle w:val="BodyText"/>
      </w:pPr>
      <w:r>
        <w:t xml:space="preserve">The effect of removing Vogelherd figurines alone (−1.3% in Aur-P1) is comparable to removing all 63 figurines globally (0%), and in both cases the network is essentially unchanged. The figurine effect therefore does not scale with the number of figurines removed; figurines at Hohle Fels (8), Geissenklösterle (3), Hohlenstein-Stadel (1), and La Ferrassie (1) do not alter the network structure, and Vogelherd’s connectivity within Aur-P1 is carried by its 123 non-figurine objects.</w:t>
      </w:r>
    </w:p>
    <w:bookmarkEnd w:id="153"/>
    <w:bookmarkEnd w:id="154"/>
    <w:bookmarkStart w:id="15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55"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0.699</w:t>
                  </w:r>
                </w:p>
              </w:tc>
              <w:tc>
                <w:tcPr/>
                <w:p>
                  <w:pPr>
                    <w:pStyle w:val="Compact"/>
                    <w:jc w:val="center"/>
                    <w:jc w:val="center"/>
                  </w:pPr>
                  <w:r>
                    <w:t xml:space="preserve">0.324</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0.328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55"/>
        </w:tc>
      </w:tr>
    </w:tbl>
    <w:bookmarkEnd w:id="156"/>
    <w:bookmarkStart w:id="157"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7.50</w:t>
            </w:r>
          </w:p>
        </w:tc>
        <w:tc>
          <w:tcPr/>
          <w:p>
            <w:pPr>
              <w:pStyle w:val="Compact"/>
              <w:jc w:val="left"/>
            </w:pPr>
            <w:r>
              <w:t xml:space="preserve">0%</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4.25</w:t>
            </w:r>
          </w:p>
        </w:tc>
        <w:tc>
          <w:tcPr/>
          <w:p>
            <w:pPr>
              <w:pStyle w:val="Compact"/>
              <w:jc w:val="left"/>
            </w:pPr>
            <w:r>
              <w:t xml:space="preserve">4.25</w:t>
            </w:r>
          </w:p>
        </w:tc>
        <w:tc>
          <w:tcPr/>
          <w:p>
            <w:pPr>
              <w:pStyle w:val="Compact"/>
              <w:jc w:val="left"/>
            </w:pPr>
            <w:r>
              <w:t xml:space="preserve">0%</w:t>
            </w:r>
          </w:p>
        </w:tc>
        <w:tc>
          <w:tcPr/>
          <w:p>
            <w:pPr>
              <w:pStyle w:val="Compact"/>
              <w:jc w:val="left"/>
            </w:pPr>
            <w:r>
              <w:t xml:space="preserve">4.25</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leaves Aur-P1’s edge set completely unchanged (75 edges, mean degree 7.50). Modularity decreases slightly for Aur-P1 when figurines are excluded (0.332 → 0.324 excluding all; 0.332 → 0.328 excluding Vogelherd only) while Aur-P2 is unchanged (0.125),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4.25) is unchanged under both exclusion scenarios (7.50 &gt; 4.25 excluding all figurines; 7.40 &gt; 4.25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a similar, if slightly larger, effect than removing all 63 figurines globally (0%).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0.332 → 0.324), suggesting that figurines contribute modestly to community cohesion — consistent with Bentz and Dutkiewicz’s (2026) argument that figurines carry high-information sign sequences — but the communities themselves are defined by shared sign types across all object types.</w:t>
      </w:r>
    </w:p>
    <w:bookmarkEnd w:id="157"/>
    <w:bookmarkEnd w:id="158"/>
    <w:bookmarkStart w:id="179" w:name="sec-s8"/>
    <w:p>
      <w:pPr>
        <w:pStyle w:val="Heading1"/>
      </w:pPr>
      <w:r>
        <w:t xml:space="preserve">S8. Site Reclassification Sensitivity Analysis</w:t>
      </w:r>
    </w:p>
    <w:bookmarkStart w:id="159"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[1–3]</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 Talamo et al. (2020) classify this as Early Aurignacian (Aur-P1) based on carinated scrapers and wide Aurignacian blades. No split-base bone points (Proto-Aurignacian diagnostic) were found</w:t>
      </w:r>
      <w:r>
        <w:t xml:space="preserve"> </w:t>
      </w:r>
      <w:r>
        <w:t xml:space="preserve">[4,5]</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[6]</w:t>
      </w:r>
      <w:r>
        <w:t xml:space="preserve">. Direct dates of ~31 ka ¹⁴C BP (~35–36 cal BP) are too young for Proto-Aurignacian</w:t>
      </w:r>
      <w:r>
        <w:t xml:space="preserve"> </w:t>
      </w:r>
      <w:r>
        <w:t xml:space="preserve">[7]</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[8]</w:t>
      </w:r>
      <w:r>
        <w:t xml:space="preserve">.</w:t>
      </w:r>
    </w:p>
    <w:p>
      <w:pPr>
        <w:pStyle w:val="FirstParagraph"/>
      </w:pPr>
      <w:r>
        <w:t xml:space="preserve">Because these attributions are load-bearing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9"/>
    <w:bookmarkStart w:id="162"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6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0.309</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60"/>
        </w:tc>
      </w:tr>
    </w:tbl>
    <w:bookmarkStart w:id="16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21 of 50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0.332 to 0.309. Aur-P2 is unaffected (4.25, 17 edges, 8 sites).</w:t>
      </w:r>
    </w:p>
    <w:bookmarkEnd w:id="161"/>
    <w:bookmarkEnd w:id="162"/>
    <w:bookmarkStart w:id="163"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4.25</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4.25</w:t>
            </w:r>
          </w:p>
        </w:tc>
        <w:tc>
          <w:tcPr/>
          <w:p>
            <w:pPr>
              <w:pStyle w:val="Compact"/>
              <w:jc w:val="left"/>
            </w:pPr>
            <w:r>
              <w:t xml:space="preserve">Aur-P1 &gt; Aur-P2</w:t>
            </w:r>
          </w:p>
        </w:tc>
      </w:tr>
    </w:tbl>
    <w:p>
      <w:pPr>
        <w:pStyle w:val="BodyText"/>
      </w:pPr>
      <w:r>
        <w:t xml:space="preserve">Under the date-based assignment Aur-P1’s mean degree rises (from 7.5 to 8.57) and Aur-P2’s falls (from 4.25 to 3.33), so the contrast is not an artefact of the technological reassignment — the naive date-based assignment, if anything, strengthens it. Excluding Vogelherd weakens but does not remove the contrast (7.26 vs 4.25).</w:t>
      </w:r>
    </w:p>
    <w:bookmarkEnd w:id="163"/>
    <w:bookmarkStart w:id="17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0.332 &gt; 0.125 at baseline). The main text’s between-phase modularity claim rests on the pairwise permutation test computed on the technology-based baseline adopted here, not on the raw modularity ordering, and S5.7 shows that the modularity confidence intervals overlap substantially (Aur-P2 rests on only 8 sites). We therefore recommend reading the between-phase contrast primarily as a difference in community structure demonstrated by the permutation test,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Start w:id="177" w:name="refs"/>
    <w:bookmarkStart w:id="164"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64"/>
    <w:bookmarkStart w:id="165" w:name="ref-Chiotti_Cretin_2011"/>
    <w:p>
      <w:pPr>
        <w:pStyle w:val="Bibliography"/>
      </w:pPr>
      <w:r>
        <w:t xml:space="preserve">[2]</w:t>
      </w:r>
      <w:r>
        <w:t xml:space="preserve"> </w:t>
      </w:r>
      <w:r>
        <w:t xml:space="preserve">	</w:t>
      </w:r>
      <w:r>
        <w:t xml:space="preserve">Chiotti L, Crétin C. The</w:t>
      </w:r>
      <w:r>
        <w:t xml:space="preserve"> </w:t>
      </w:r>
      <w:r>
        <w:t xml:space="preserve">Protoaurignacian</w:t>
      </w:r>
      <w:r>
        <w:t xml:space="preserve"> </w:t>
      </w:r>
      <w:r>
        <w:t xml:space="preserve">and the</w:t>
      </w:r>
      <w:r>
        <w:t xml:space="preserve"> </w:t>
      </w:r>
      <w:r>
        <w:t xml:space="preserve">Aurignacian</w:t>
      </w:r>
      <w:r>
        <w:t xml:space="preserve"> </w:t>
      </w:r>
      <w:r>
        <w:t xml:space="preserve">of the</w:t>
      </w:r>
      <w:r>
        <w:t xml:space="preserve"> </w:t>
      </w:r>
      <w:r>
        <w:t xml:space="preserve">Abric Romaní</w:t>
      </w:r>
      <w:r>
        <w:t xml:space="preserve"> </w:t>
      </w:r>
      <w:r>
        <w:t xml:space="preserve">and the</w:t>
      </w:r>
      <w:r>
        <w:t xml:space="preserve"> </w:t>
      </w:r>
      <w:r>
        <w:t xml:space="preserve">Abri Pataud</w:t>
      </w:r>
      <w:r>
        <w:t xml:space="preserve">: Two case studies. L’Anthropologie 2011;115:339–60.</w:t>
      </w:r>
    </w:p>
    <w:bookmarkEnd w:id="165"/>
    <w:bookmarkStart w:id="167" w:name="ref-Higham_Abri_Pataud_2011"/>
    <w:p>
      <w:pPr>
        <w:pStyle w:val="Bibliography"/>
      </w:pPr>
      <w:r>
        <w:t xml:space="preserve">[3]</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66">
        <w:r>
          <w:rPr>
            <w:rStyle w:val="Hyperlink"/>
          </w:rPr>
          <w:t xml:space="preserve">https://doi.org/10.1016/j.jhevol.2011.06.001</w:t>
        </w:r>
      </w:hyperlink>
      <w:r>
        <w:t xml:space="preserve">.</w:t>
      </w:r>
    </w:p>
    <w:bookmarkEnd w:id="167"/>
    <w:bookmarkStart w:id="168" w:name="ref-Delporte_et_al_1977"/>
    <w:p>
      <w:pPr>
        <w:pStyle w:val="Bibliography"/>
      </w:pPr>
      <w:r>
        <w:t xml:space="preserve">[4]</w:t>
      </w:r>
      <w:r>
        <w:t xml:space="preserve"> </w:t>
      </w:r>
      <w:r>
        <w:t xml:space="preserve">	</w:t>
      </w:r>
      <w:r>
        <w:t xml:space="preserve">Delporte H, Bordes F, David F, Ferring R, Szabo J, Buisson-Catil J, et al. L’abri de</w:t>
      </w:r>
      <w:r>
        <w:t xml:space="preserve"> </w:t>
      </w:r>
      <w:r>
        <w:t xml:space="preserve">La Ferrassie</w:t>
      </w:r>
      <w:r>
        <w:t xml:space="preserve">: Stratigraphie et industrie lithique. Gallia Préhistoire 1977;20:49–88.</w:t>
      </w:r>
    </w:p>
    <w:bookmarkEnd w:id="168"/>
    <w:bookmarkStart w:id="170" w:name="ref-Talamo_La_Ferrassie_2020"/>
    <w:p>
      <w:pPr>
        <w:pStyle w:val="Bibliography"/>
      </w:pPr>
      <w:r>
        <w:t xml:space="preserve">[5]</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69">
        <w:r>
          <w:rPr>
            <w:rStyle w:val="Hyperlink"/>
          </w:rPr>
          <w:t xml:space="preserve">https://doi.org/10.1002/jqs.3223</w:t>
        </w:r>
      </w:hyperlink>
      <w:r>
        <w:t xml:space="preserve">.</w:t>
      </w:r>
    </w:p>
    <w:bookmarkEnd w:id="170"/>
    <w:bookmarkStart w:id="172" w:name="ref-Oliva_2006"/>
    <w:p>
      <w:pPr>
        <w:pStyle w:val="Bibliography"/>
      </w:pPr>
      <w:r>
        <w:t xml:space="preserve">[6]</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71">
        <w:r>
          <w:rPr>
            <w:rStyle w:val="Hyperlink"/>
          </w:rPr>
          <w:t xml:space="preserve">https://doi.org/10.1007/3-211-38327-6_3</w:t>
        </w:r>
      </w:hyperlink>
      <w:r>
        <w:t xml:space="preserve">.</w:t>
      </w:r>
    </w:p>
    <w:bookmarkEnd w:id="172"/>
    <w:bookmarkStart w:id="174" w:name="ref-Wild_et_al_2005"/>
    <w:p>
      <w:pPr>
        <w:pStyle w:val="Bibliography"/>
      </w:pPr>
      <w:r>
        <w:t xml:space="preserve">[7]</w:t>
      </w:r>
      <w:r>
        <w:t xml:space="preserve"> </w:t>
      </w:r>
      <w:r>
        <w:t xml:space="preserve">	</w:t>
      </w:r>
      <w:r>
        <w:t xml:space="preserve">Wild EM, Arlamovska G, Freidl M, Grünberger S, Lutz J, Stadler P, et al.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Mladeč</w:t>
      </w:r>
      <w:r>
        <w:t xml:space="preserve">. Nature 2005;435:332–5.</w:t>
      </w:r>
      <w:r>
        <w:t xml:space="preserve"> </w:t>
      </w:r>
      <w:hyperlink r:id="rId173">
        <w:r>
          <w:rPr>
            <w:rStyle w:val="Hyperlink"/>
          </w:rPr>
          <w:t xml:space="preserve">https://doi.org/10.1038/nature03585</w:t>
        </w:r>
      </w:hyperlink>
      <w:r>
        <w:t xml:space="preserve">.</w:t>
      </w:r>
    </w:p>
    <w:bookmarkEnd w:id="174"/>
    <w:bookmarkStart w:id="176" w:name="ref-Schurch_Conard_2026"/>
    <w:p>
      <w:pPr>
        <w:pStyle w:val="Bibliography"/>
      </w:pPr>
      <w:r>
        <w:t xml:space="preserve">[8]</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75">
        <w:r>
          <w:rPr>
            <w:rStyle w:val="Hyperlink"/>
          </w:rPr>
          <w:t xml:space="preserve">https://doi.org/10.1007/s41982-025-00298-3</w:t>
        </w:r>
      </w:hyperlink>
      <w:r>
        <w:t xml:space="preserve">.</w:t>
      </w:r>
    </w:p>
    <w:bookmarkEnd w:id="176"/>
    <w:bookmarkEnd w:id="177"/>
    <w:bookmarkEnd w:id="178"/>
    <w:bookmarkEnd w:id="179"/>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69" Target="https://doi.org/10.1002/jqs.3223" TargetMode="External" /><Relationship Type="http://schemas.openxmlformats.org/officeDocument/2006/relationships/hyperlink" Id="rId171" Target="https://doi.org/10.1007/3-211-38327-6_3" TargetMode="External" /><Relationship Type="http://schemas.openxmlformats.org/officeDocument/2006/relationships/hyperlink" Id="rId175" Target="https://doi.org/10.1007/s41982-025-00298-3" TargetMode="External" /><Relationship Type="http://schemas.openxmlformats.org/officeDocument/2006/relationships/hyperlink" Id="rId166" Target="https://doi.org/10.1016/j.jhevol.2011.06.001" TargetMode="External" /><Relationship Type="http://schemas.openxmlformats.org/officeDocument/2006/relationships/hyperlink" Id="rId173" Target="https://doi.org/10.1038/nature03585"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9" Target="https://doi.org/10.1002/jqs.3223" TargetMode="External" /><Relationship Type="http://schemas.openxmlformats.org/officeDocument/2006/relationships/hyperlink" Id="rId171" Target="https://doi.org/10.1007/3-211-38327-6_3" TargetMode="External" /><Relationship Type="http://schemas.openxmlformats.org/officeDocument/2006/relationships/hyperlink" Id="rId175" Target="https://doi.org/10.1007/s41982-025-00298-3" TargetMode="External" /><Relationship Type="http://schemas.openxmlformats.org/officeDocument/2006/relationships/hyperlink" Id="rId166" Target="https://doi.org/10.1016/j.jhevol.2011.06.001" TargetMode="External" /><Relationship Type="http://schemas.openxmlformats.org/officeDocument/2006/relationships/hyperlink" Id="rId173" Target="https://doi.org/10.1038/nature03585"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2026-08-06T03:55:40Z</dcterms:created>
  <dcterms:modified xsi:type="dcterms:W3CDTF">2026-08-06T03:55:40Z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