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7400" w:rsidRDefault="00000000">
      <w:pPr>
        <w:pStyle w:val="Title"/>
      </w:pPr>
      <w:r>
        <w:t>Geometric signs as proxies for cultural connectivity during the Western Eurasian Aurignacian</w:t>
      </w:r>
    </w:p>
    <w:p w:rsidR="00E37400" w:rsidRDefault="00000000">
      <w:pPr>
        <w:pStyle w:val="Author"/>
      </w:pPr>
      <w:r>
        <w:t>Sophie Cooper</w:t>
      </w:r>
      <w:r>
        <w:rPr>
          <w:vertAlign w:val="superscript"/>
        </w:rPr>
        <w:t>1</w:t>
      </w:r>
      <w:r>
        <w:t>, Aleah Rosner</w:t>
      </w:r>
      <w:r>
        <w:rPr>
          <w:vertAlign w:val="superscript"/>
        </w:rPr>
        <w:t>1</w:t>
      </w:r>
      <w:r>
        <w:t>, Eva Oryn</w:t>
      </w:r>
      <w:r>
        <w:rPr>
          <w:vertAlign w:val="superscript"/>
        </w:rPr>
        <w:t>1</w:t>
      </w:r>
      <w:r>
        <w:t>, Kenneth B. Vernon</w:t>
      </w:r>
      <w:r>
        <w:rPr>
          <w:vertAlign w:val="superscript"/>
        </w:rPr>
        <w:t>2</w:t>
      </w:r>
      <w:r>
        <w:t>, and Ben Marwick</w:t>
      </w:r>
      <w:r>
        <w:rPr>
          <w:vertAlign w:val="superscript"/>
        </w:rPr>
        <w:t>1,✉</w:t>
      </w:r>
    </w:p>
    <w:p w:rsidR="00E37400" w:rsidRDefault="00000000">
      <w:pPr>
        <w:pStyle w:val="Date"/>
      </w:pPr>
      <w:r>
        <w:t>August 6, 2026</w:t>
      </w:r>
    </w:p>
    <w:p w:rsidR="00E37400" w:rsidRDefault="00000000">
      <w:pPr>
        <w:pStyle w:val="FirstParagraph"/>
      </w:pPr>
      <w:r>
        <w:rPr>
          <w:vertAlign w:val="superscript"/>
        </w:rPr>
        <w:t>1</w:t>
      </w:r>
      <w:r>
        <w:t xml:space="preserve"> Department of Anthropology, University of Washington, Seattle, USA</w:t>
      </w:r>
      <w:r>
        <w:br/>
      </w:r>
      <w:r>
        <w:rPr>
          <w:vertAlign w:val="superscript"/>
        </w:rPr>
        <w:t>2</w:t>
      </w:r>
      <w:r>
        <w:t xml:space="preserve"> Scientific Computing and Imaging Institute, University of Utah, Salt Lake City, USA</w:t>
      </w:r>
    </w:p>
    <w:p w:rsidR="00E37400" w:rsidRDefault="00000000">
      <w:pPr>
        <w:pStyle w:val="BodyText"/>
      </w:pPr>
      <w:r>
        <w:rPr>
          <w:vertAlign w:val="superscript"/>
        </w:rPr>
        <w:t>✉</w:t>
      </w:r>
      <w:r>
        <w:t xml:space="preserve"> Correspondence: </w:t>
      </w:r>
      <w:hyperlink r:id="rId7">
        <w:r>
          <w:rPr>
            <w:rStyle w:val="Hyperlink"/>
          </w:rPr>
          <w:t>Ben Marwick &lt;bmarwick@uw.edu&gt;</w:t>
        </w:r>
      </w:hyperlink>
    </w:p>
    <w:p w:rsidR="00E37400" w:rsidRDefault="00000000">
      <w:pPr>
        <w:pStyle w:val="BodyText"/>
      </w:pPr>
      <w:r>
        <w:t xml:space="preserve">Abstract: The Aurignacian technocomplex (ca. 43–30 ka cal BP) marks a pivotal expansion of </w:t>
      </w:r>
      <w:r>
        <w:rPr>
          <w:i/>
          <w:iCs/>
        </w:rPr>
        <w:t>Homo sapiens</w:t>
      </w:r>
      <w:r>
        <w:t xml:space="preserve"> 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sidR="00E37400" w:rsidRDefault="00414AA1">
      <w:r>
        <w:rPr>
          <w:noProof/>
        </w:rPr>
        <w:pict>
          <v:rect id="_x0000_i1025" alt="" style="width:468pt;height:.05pt;mso-width-percent:0;mso-height-percent:0;mso-width-percent:0;mso-height-percent:0" o:hralign="center" o:hrstd="t" o:hr="t"/>
        </w:pict>
      </w:r>
    </w:p>
    <w:p w:rsidR="00E37400" w:rsidRDefault="00000000">
      <w:pPr>
        <w:pStyle w:val="FirstParagraph"/>
      </w:pPr>
      <w:r>
        <w:t xml:space="preserve">Archaeological evidence from the Upper Palaeolithic period indicates increasingly complex social organization across Europe [1]. Archaeologists have frequently used ancient art, the abundance of which is a distinctive quality of the period, as a proxy for cultural difference in order to understand the shifting patterns of social organization and </w:t>
      </w:r>
      <w:r>
        <w:lastRenderedPageBreak/>
        <w:t xml:space="preserve">diversity of the Upper Palaeolithic [2–7]. The Aurignacian technocomplex (ca. 43–30 ka cal BP) is often linked to the dispersal of </w:t>
      </w:r>
      <w:r>
        <w:rPr>
          <w:i/>
          <w:iCs/>
        </w:rPr>
        <w:t>Homo sapiens</w:t>
      </w:r>
      <w:r>
        <w:t xml:space="preserve"> across Western Eurasia, and is characterized by lithic and osseous markers [8,9], some of which are decorated with geometric signs [10]. Personal ornaments, such as the 41,500 year-old decorated ivory pendant from Stajnia Cave [11],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p w:rsidR="00E37400" w:rsidRDefault="00000000">
      <w:pPr>
        <w:pStyle w:val="Heading2"/>
      </w:pPr>
      <w:bookmarkStart w:id="0" w:name="X06869f42bdedda871dbae178d8ab917db5544af"/>
      <w:r>
        <w:t>Cultural group identification in the Upper Palaeolithic</w:t>
      </w:r>
    </w:p>
    <w:p w:rsidR="00E37400" w:rsidRDefault="00000000">
      <w:pPr>
        <w:pStyle w:val="FirstParagraph"/>
      </w:pPr>
      <w:r>
        <w:t>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 [3]. Seriation analysis, PCoA, and network analysis were used to identify groups from 134 discrete bead types recovered from both burial and occupation sites. To validate their claims of cultural groups, [3] 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rsidR="00E37400" w:rsidRDefault="00000000">
      <w:pPr>
        <w:pStyle w:val="BodyText"/>
      </w:pPr>
      <w:r>
        <w:t>Similar analyses of personal ornament types from the Aurignacian identified fourteen geographically cohesive groups [6]. Drawing on ethnographic studies that show how body decoration and ornamentation indicate ethno-linguistic identity, [6] 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rsidR="00E37400" w:rsidRDefault="00000000">
      <w:pPr>
        <w:pStyle w:val="BodyText"/>
      </w:pPr>
      <w:r>
        <w:t>Cultural groups have also been identified from forty-two quadrilateral geometric signs from four cave sites in the Cantabrian region of Spain, likely associated with the Magdalenian period, spanning a distance of 30 kilometers [4]. Multivariate analysis of 45 morphological characteristics of the signs revealed two clusters. To interpret these clusters, [4] drew on case studies of geometric signs as identity markers, including South African engraved ostrich shells from 60 ka BP, maker’s marks on Gallo-Roman pottery, and 19th century French craft guild members’ personal marks. Using these case studies as analogies, [4] interpreted the Magdalenian geometric signs as identity markers, and the two clusters as representative of two cultural groups.</w:t>
      </w:r>
    </w:p>
    <w:p w:rsidR="00E37400" w:rsidRDefault="00000000">
      <w:pPr>
        <w:pStyle w:val="BodyText"/>
      </w:pPr>
      <w:r>
        <w:lastRenderedPageBreak/>
        <w:t xml:space="preserve">In this study, we extend this previous work using geometric signs as identity markers to investigate cultural group dynamics in the Aurignacian period, providing a novel approach to understanding how early groups of </w:t>
      </w:r>
      <w:r>
        <w:rPr>
          <w:i/>
          <w:iCs/>
        </w:rPr>
        <w:t>Homo sapiens</w:t>
      </w:r>
      <w:r>
        <w:t xml:space="preserve"> interacted with each other and their environments. Our archaeological and modelling results support the view that geometric signs are informative proxies for reconstructing past cultural diversity and correlate with past population dynamics.</w:t>
      </w:r>
    </w:p>
    <w:p w:rsidR="00E37400" w:rsidRDefault="00000000">
      <w:pPr>
        <w:pStyle w:val="Heading2"/>
      </w:pPr>
      <w:bookmarkStart w:id="1" w:name="periodization-of-the-aurignacian"/>
      <w:bookmarkEnd w:id="0"/>
      <w:r>
        <w:t>Periodization of the Aurignacian</w:t>
      </w:r>
    </w:p>
    <w:p w:rsidR="00E37400" w:rsidRDefault="00000000">
      <w:pPr>
        <w:pStyle w:val="FirstParagraph"/>
      </w:pPr>
      <w:r>
        <w:t>The Aurignacian period (~43–30 ka cal BP) is largely characterized by material culture indicators such as carinated scrapers, blades and bladelets, and split-based bone and ivory tools [12]. Periodization of the Aurignacian is complicated by regional variation with phases starting and ending at different times [13,14], and a lack of compositional integrity over time [15], with supposed index fossils persisting through multiple phases [16]. While earlier work on the Aquitaine/Périgord sequences proposed as many as five phases [17], recent work generally rejects notions of sharply-bounded, universally-portable cultures separated by neat horizons in favour of heterogeneous representations of diagnostic traits across and within temporal classes of assemblages [18]. For example, [19] divided the Aurignacian into two main phases, Aur-P1 (Proto/Early, 43–37 ka cal BP), and Aur-P2 (Evolved/Late, 37–32 ka cal BP), noting that the technological and chronological differences between the Proto and Early Aurignacian are difficult to distinguish . [20] 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rsidR="00E37400" w:rsidRDefault="00000000">
      <w:pPr>
        <w:pStyle w:val="BodyText"/>
      </w:pPr>
      <w:r>
        <w:t>We adopt the two-phase framework (Aur-P1/Aur-P2) of [19] and [21] as a first-order chronological scaffold, acknowledging that phases are analytical conveniences rather than discrete cultural entities [15,18]. The chronological and technological distinctness of the Proto- and Early Aurignacian is difficult to sustain [19], and some analyses suggest these represent coexisting facies rather than successive phases [22]. We therefore pool the Proto- and Early Aurignacian into Aur-P1 (43–37 ka cal BP) and treat the Evolved/Late Aurignacian as Aur-P2 (37–32 ka cal BP), following the two-phase scheme of [21].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 [23]; [19]; [22]).</w:t>
      </w:r>
    </w:p>
    <w:p w:rsidR="00E37400" w:rsidRDefault="00000000">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w:t>
      </w:r>
      <w:r>
        <w:lastRenderedPageBreak/>
        <w:t>technology [24,25], La Ferrassie in the Early Aurignacian (Aur-P1) on the basis of Layer 7 directly above the Châtelperronian [26], Mladeč in the Evolved Aurignacian (Aur-P2) on the basis of its massive-base bone points and ~31 ka cal BP dates [27], and the Swabian Jura site of Geissenklösterle in the Early Aurignacian [23,Aur-P1, 28].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 [13,23,28]. Two sites are excluded from the analysis because their assemblages are too mixed to assign to a single phase reliably: Spy [29,30] and El Castillo. The robustness of these assignments to reverting to purely date-based criteria is tested in S2 “Site Phase Assignments” S8, where stratigraphic mixing concerns at Vogelherd are also addressed [31]. We detail the rationale and procedure for assigning archaeological sites to Aurignacian phases in our S2 “Site Phase Assignments”. We test the sensitivity of our results to this baseline by also running four-phase and boundary-shift variants (S1 “Sensitivity Analyses”).</w:t>
      </w:r>
    </w:p>
    <w:tbl>
      <w:tblPr>
        <w:tblStyle w:val="Table"/>
        <w:tblW w:w="5000" w:type="pct"/>
        <w:tblLayout w:type="fixed"/>
        <w:tblLook w:val="0000" w:firstRow="0" w:lastRow="0" w:firstColumn="0" w:lastColumn="0" w:noHBand="0" w:noVBand="0"/>
      </w:tblPr>
      <w:tblGrid>
        <w:gridCol w:w="9576"/>
      </w:tblGrid>
      <w:tr w:rsidR="00E37400">
        <w:tc>
          <w:tcPr>
            <w:tcW w:w="7920" w:type="dxa"/>
          </w:tcPr>
          <w:tbl>
            <w:tblPr>
              <w:tblStyle w:val="Table"/>
              <w:tblW w:w="10350" w:type="dxa"/>
              <w:tblLayout w:type="fixed"/>
              <w:tblLook w:val="0020" w:firstRow="1" w:lastRow="0" w:firstColumn="0" w:lastColumn="0" w:noHBand="0" w:noVBand="0"/>
            </w:tblPr>
            <w:tblGrid>
              <w:gridCol w:w="1350"/>
              <w:gridCol w:w="720"/>
              <w:gridCol w:w="6660"/>
              <w:gridCol w:w="1620"/>
            </w:tblGrid>
            <w:tr w:rsidR="00B32A2B" w:rsidTr="00B32A2B">
              <w:trPr>
                <w:cnfStyle w:val="100000000000" w:firstRow="1" w:lastRow="0" w:firstColumn="0" w:lastColumn="0" w:oddVBand="0" w:evenVBand="0" w:oddHBand="0" w:evenHBand="0" w:firstRowFirstColumn="0" w:firstRowLastColumn="0" w:lastRowFirstColumn="0" w:lastRowLastColumn="0"/>
                <w:tblHeader/>
              </w:trPr>
              <w:tc>
                <w:tcPr>
                  <w:tcW w:w="1350" w:type="dxa"/>
                </w:tcPr>
                <w:p w:rsidR="00E37400" w:rsidRDefault="00000000">
                  <w:pPr>
                    <w:pStyle w:val="Compact"/>
                    <w:jc w:val="center"/>
                  </w:pPr>
                  <w:bookmarkStart w:id="2" w:name="tbl-aur-table"/>
                  <w:r>
                    <w:t>Time Period Name</w:t>
                  </w:r>
                </w:p>
              </w:tc>
              <w:tc>
                <w:tcPr>
                  <w:tcW w:w="720" w:type="dxa"/>
                </w:tcPr>
                <w:p w:rsidR="00E37400" w:rsidRDefault="00000000">
                  <w:pPr>
                    <w:pStyle w:val="Compact"/>
                    <w:jc w:val="center"/>
                  </w:pPr>
                  <w:r>
                    <w:t>Dates (ka cal BP)</w:t>
                  </w:r>
                </w:p>
              </w:tc>
              <w:tc>
                <w:tcPr>
                  <w:tcW w:w="6660" w:type="dxa"/>
                </w:tcPr>
                <w:p w:rsidR="00E37400" w:rsidRDefault="00000000">
                  <w:pPr>
                    <w:pStyle w:val="Compact"/>
                    <w:jc w:val="center"/>
                  </w:pPr>
                  <w:r>
                    <w:t>Material Culture Markers</w:t>
                  </w:r>
                </w:p>
              </w:tc>
              <w:tc>
                <w:tcPr>
                  <w:tcW w:w="1620" w:type="dxa"/>
                </w:tcPr>
                <w:p w:rsidR="00E37400" w:rsidRDefault="00000000">
                  <w:pPr>
                    <w:pStyle w:val="Compact"/>
                    <w:jc w:val="center"/>
                  </w:pPr>
                  <w:r>
                    <w:t>Environmental Context</w:t>
                  </w:r>
                </w:p>
              </w:tc>
            </w:tr>
            <w:tr w:rsidR="00B32A2B" w:rsidTr="00B32A2B">
              <w:tc>
                <w:tcPr>
                  <w:tcW w:w="1350" w:type="dxa"/>
                </w:tcPr>
                <w:p w:rsidR="00E37400" w:rsidRDefault="00000000">
                  <w:pPr>
                    <w:pStyle w:val="Compact"/>
                    <w:jc w:val="center"/>
                  </w:pPr>
                  <w:r>
                    <w:t>Aur-P1 (Proto/Early)</w:t>
                  </w:r>
                </w:p>
              </w:tc>
              <w:tc>
                <w:tcPr>
                  <w:tcW w:w="720" w:type="dxa"/>
                </w:tcPr>
                <w:p w:rsidR="00E37400" w:rsidRDefault="00000000">
                  <w:pPr>
                    <w:pStyle w:val="Compact"/>
                    <w:jc w:val="center"/>
                  </w:pPr>
                  <w:r>
                    <w:t>43 - 37</w:t>
                  </w:r>
                </w:p>
              </w:tc>
              <w:tc>
                <w:tcPr>
                  <w:tcW w:w="6660" w:type="dxa"/>
                </w:tcPr>
                <w:p w:rsidR="00E37400" w:rsidRDefault="00000000">
                  <w:pPr>
                    <w:pStyle w:val="Compact"/>
                    <w:jc w:val="center"/>
                  </w:pPr>
                  <w:r>
                    <w:t>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tcW w:w="1620" w:type="dxa"/>
                </w:tcPr>
                <w:p w:rsidR="00E37400" w:rsidRDefault="00000000">
                  <w:pPr>
                    <w:pStyle w:val="Compact"/>
                    <w:jc w:val="center"/>
                  </w:pPr>
                  <w:r>
                    <w:t>Starts at Greenland Stadial 12, ends at Greenland Interstadial 8</w:t>
                  </w:r>
                </w:p>
              </w:tc>
            </w:tr>
            <w:tr w:rsidR="00B32A2B" w:rsidTr="00B32A2B">
              <w:tc>
                <w:tcPr>
                  <w:tcW w:w="1350" w:type="dxa"/>
                </w:tcPr>
                <w:p w:rsidR="00E37400" w:rsidRDefault="00000000">
                  <w:pPr>
                    <w:pStyle w:val="Compact"/>
                    <w:jc w:val="center"/>
                  </w:pPr>
                  <w:r>
                    <w:t>Aur-P2 (Evolved/Late)</w:t>
                  </w:r>
                </w:p>
              </w:tc>
              <w:tc>
                <w:tcPr>
                  <w:tcW w:w="720" w:type="dxa"/>
                </w:tcPr>
                <w:p w:rsidR="00E37400" w:rsidRDefault="00000000">
                  <w:pPr>
                    <w:pStyle w:val="Compact"/>
                    <w:jc w:val="center"/>
                  </w:pPr>
                  <w:r>
                    <w:t>37 - 32</w:t>
                  </w:r>
                </w:p>
              </w:tc>
              <w:tc>
                <w:tcPr>
                  <w:tcW w:w="6660" w:type="dxa"/>
                </w:tcPr>
                <w:p w:rsidR="00E37400" w:rsidRDefault="00000000">
                  <w:pPr>
                    <w:pStyle w:val="Compact"/>
                    <w:jc w:val="center"/>
                  </w:pPr>
                  <w:r>
                    <w:t>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tcW w:w="1620" w:type="dxa"/>
                </w:tcPr>
                <w:p w:rsidR="00E37400" w:rsidRDefault="00000000">
                  <w:pPr>
                    <w:pStyle w:val="Compact"/>
                    <w:jc w:val="center"/>
                  </w:pPr>
                  <w:r>
                    <w:t>GI 8 - 6</w:t>
                  </w:r>
                </w:p>
              </w:tc>
            </w:tr>
          </w:tbl>
          <w:p w:rsidR="00E37400" w:rsidRDefault="00000000">
            <w:pPr>
              <w:pStyle w:val="ImageCaption"/>
              <w:spacing w:before="200"/>
            </w:pPr>
            <w:r>
              <w:t>Table 1: Summary of chronological, cultural and environmental characteristics of Aurignacian periods [12,20,21,32]</w:t>
            </w:r>
          </w:p>
        </w:tc>
        <w:bookmarkEnd w:id="2"/>
      </w:tr>
    </w:tbl>
    <w:p w:rsidR="00E37400" w:rsidRDefault="00000000">
      <w:pPr>
        <w:pStyle w:val="BodyText"/>
      </w:pPr>
      <w:r>
        <w:t>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p w:rsidR="00E37400" w:rsidRDefault="00000000">
      <w:pPr>
        <w:pStyle w:val="Heading2"/>
      </w:pPr>
      <w:bookmarkStart w:id="3" w:name="geometric-signs-from-the-aurignacian"/>
      <w:bookmarkEnd w:id="1"/>
      <w:r>
        <w:lastRenderedPageBreak/>
        <w:t>Geometric signs from the Aurignacian</w:t>
      </w:r>
    </w:p>
    <w:p w:rsidR="00E37400" w:rsidRDefault="00000000">
      <w:pPr>
        <w:pStyle w:val="FirstParagraph"/>
      </w:pPr>
      <w:r>
        <w:t>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 [10]. The data set consists of 531 objects found at 65 sites in 13 countries, and records 55 geometric sign types. We excluded signs classified by [10] as “other”.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 “Site Phase Assignments”. Our sample for analysis includes 409 objects found at 28 unique geographic sites, yielding 29 site-phase assemblages in 7 countries, and 54 sign types (</w:t>
      </w:r>
      <w:hyperlink w:anchor="fig-site-map">
        <w:r>
          <w:rPr>
            <w:rStyle w:val="Hyperlink"/>
          </w:rPr>
          <w:t>Figure 1</w:t>
        </w:r>
      </w:hyperlink>
      <w:r>
        <w:t>).</w:t>
      </w:r>
    </w:p>
    <w:tbl>
      <w:tblPr>
        <w:tblStyle w:val="Table"/>
        <w:tblW w:w="5000" w:type="pct"/>
        <w:tblLayout w:type="fixed"/>
        <w:tblLook w:val="0000" w:firstRow="0" w:lastRow="0" w:firstColumn="0" w:lastColumn="0" w:noHBand="0" w:noVBand="0"/>
      </w:tblPr>
      <w:tblGrid>
        <w:gridCol w:w="9576"/>
      </w:tblGrid>
      <w:tr w:rsidR="00E37400">
        <w:tc>
          <w:tcPr>
            <w:tcW w:w="7920" w:type="dxa"/>
          </w:tcPr>
          <w:p w:rsidR="00E37400" w:rsidRDefault="00000000">
            <w:pPr>
              <w:pStyle w:val="Compact"/>
              <w:jc w:val="center"/>
            </w:pPr>
            <w:bookmarkStart w:id="4" w:name="fig-site-map"/>
            <w:r>
              <w:rPr>
                <w:noProof/>
              </w:rPr>
              <w:lastRenderedPageBreak/>
              <w:drawing>
                <wp:inline distT="0" distB="0" distL="0" distR="0">
                  <wp:extent cx="5943600" cy="4953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map-and-hist-plot.png"/>
                          <pic:cNvPicPr>
                            <a:picLocks noChangeAspect="1" noChangeArrowheads="1"/>
                          </pic:cNvPicPr>
                        </pic:nvPicPr>
                        <pic:blipFill>
                          <a:blip r:embed="rId8"/>
                          <a:stretch>
                            <a:fillRect/>
                          </a:stretch>
                        </pic:blipFill>
                        <pic:spPr bwMode="auto">
                          <a:xfrm>
                            <a:off x="0" y="0"/>
                            <a:ext cx="5943600" cy="4953000"/>
                          </a:xfrm>
                          <a:prstGeom prst="rect">
                            <a:avLst/>
                          </a:prstGeom>
                          <a:noFill/>
                          <a:ln w="9525">
                            <a:noFill/>
                            <a:headEnd/>
                            <a:tailEnd/>
                          </a:ln>
                        </pic:spPr>
                      </pic:pic>
                    </a:graphicData>
                  </a:graphic>
                </wp:inline>
              </w:drawing>
            </w:r>
          </w:p>
          <w:p w:rsidR="00E37400" w:rsidRDefault="00000000">
            <w:pPr>
              <w:pStyle w:val="ImageCaption"/>
              <w:spacing w:before="200"/>
            </w:pPr>
            <w:r>
              <w:t>Figure 1: A: Map of sites in each Aurignacian phase that contain geometric signs on mobile objects. B: Abundance of signs over time, phases indicated by colours. C. Distribution of object count by site, phases indicated by colours. Map data from naturalearthdata.com and [33]</w:t>
            </w:r>
          </w:p>
        </w:tc>
        <w:bookmarkEnd w:id="4"/>
      </w:tr>
    </w:tbl>
    <w:p w:rsidR="00E37400" w:rsidRDefault="00000000">
      <w:pPr>
        <w:pStyle w:val="BodyText"/>
      </w:pPr>
      <w:r>
        <w:t>Ages of the objects were determined by calibrating the uncalibrated ages provided by SignBase using the rcarbon package [34].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Table 1</w:t>
        </w:r>
      </w:hyperlink>
      <w:r>
        <w:t xml:space="preserve"> and see our S2 “Site Phase Assignments” 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p w:rsidR="00E37400" w:rsidRDefault="00000000">
      <w:pPr>
        <w:pStyle w:val="Heading1"/>
      </w:pPr>
      <w:bookmarkStart w:id="5" w:name="methods"/>
      <w:bookmarkEnd w:id="3"/>
      <w:r>
        <w:lastRenderedPageBreak/>
        <w:t>Methods</w:t>
      </w:r>
    </w:p>
    <w:p w:rsidR="00E37400" w:rsidRDefault="00000000">
      <w:pPr>
        <w:pStyle w:val="FirstParagraph"/>
      </w:pPr>
      <w:r>
        <w:t xml:space="preserve">The distribution of objects across sites is highly skewed, as seen in </w:t>
      </w:r>
      <w:hyperlink w:anchor="fig-site-map">
        <w:r>
          <w:rPr>
            <w:rStyle w:val="Hyperlink"/>
          </w:rPr>
          <w:t>Figure 1</w:t>
        </w:r>
      </w:hyperlink>
      <w:r>
        <w:t xml:space="preserve"> C. To minimize the influence of this skewed distribution, we followed [35] 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 [36],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 [37]. The test indicated that there was no significant correlation between object abundance and sign type distribution (R = 0.151, p = 0.082), validating our decision to use presence/absence data.</w:t>
      </w:r>
    </w:p>
    <w:p w:rsidR="00E37400" w:rsidRDefault="00000000">
      <w:pPr>
        <w:pStyle w:val="BodyText"/>
      </w:pPr>
      <w:r>
        <w:t xml:space="preserve">If the distribution of sign types can be mostly explained by geographic distance, then we would see similarity in sign type distribution decreasing as geographic distance increases [38]. This relationship can be investigated using the isolation-by-distance framework, which proposes that cultural difference can be primarily explained by geographic distance [35].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 </w:t>
      </w:r>
      <w:hyperlink w:anchor="tbl-mantel-table">
        <w:r>
          <w:rPr>
            <w:rStyle w:val="Hyperlink"/>
          </w:rPr>
          <w:t>Table 2</w:t>
        </w:r>
      </w:hyperlink>
      <w:r>
        <w:t>.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 “Sensitivity Analyses” S5.8). Further verification these results using geodesic distances in kilometres rather than flat-coordinate Euclidean distances also shows a null result (see our S1 “Sensitivity Analyses” S3).</w:t>
      </w:r>
    </w:p>
    <w:tbl>
      <w:tblPr>
        <w:tblStyle w:val="Table"/>
        <w:tblW w:w="5000" w:type="pct"/>
        <w:tblLayout w:type="fixed"/>
        <w:tblLook w:val="0000" w:firstRow="0" w:lastRow="0" w:firstColumn="0" w:lastColumn="0" w:noHBand="0" w:noVBand="0"/>
      </w:tblPr>
      <w:tblGrid>
        <w:gridCol w:w="9576"/>
      </w:tblGrid>
      <w:tr w:rsidR="00E37400">
        <w:tc>
          <w:tcPr>
            <w:tcW w:w="7920" w:type="dxa"/>
          </w:tcPr>
          <w:tbl>
            <w:tblPr>
              <w:tblStyle w:val="Table"/>
              <w:tblW w:w="0" w:type="auto"/>
              <w:tblLayout w:type="fixed"/>
              <w:tblLook w:val="0020" w:firstRow="1" w:lastRow="0" w:firstColumn="0" w:lastColumn="0" w:noHBand="0" w:noVBand="0"/>
            </w:tblPr>
            <w:tblGrid>
              <w:gridCol w:w="2640"/>
              <w:gridCol w:w="2640"/>
              <w:gridCol w:w="2640"/>
            </w:tblGrid>
            <w:tr w:rsidR="00E37400" w:rsidTr="00E37400">
              <w:trPr>
                <w:cnfStyle w:val="100000000000" w:firstRow="1" w:lastRow="0" w:firstColumn="0" w:lastColumn="0" w:oddVBand="0" w:evenVBand="0" w:oddHBand="0" w:evenHBand="0" w:firstRowFirstColumn="0" w:firstRowLastColumn="0" w:lastRowFirstColumn="0" w:lastRowLastColumn="0"/>
                <w:tblHeader/>
              </w:trPr>
              <w:tc>
                <w:tcPr>
                  <w:tcW w:w="2640" w:type="dxa"/>
                </w:tcPr>
                <w:p w:rsidR="00E37400" w:rsidRDefault="00000000">
                  <w:pPr>
                    <w:pStyle w:val="Compact"/>
                    <w:jc w:val="center"/>
                  </w:pPr>
                  <w:bookmarkStart w:id="6" w:name="tbl-mantel-table"/>
                  <w:r>
                    <w:t>Aurignacian phase</w:t>
                  </w:r>
                </w:p>
              </w:tc>
              <w:tc>
                <w:tcPr>
                  <w:tcW w:w="2640" w:type="dxa"/>
                </w:tcPr>
                <w:p w:rsidR="00E37400" w:rsidRDefault="00000000">
                  <w:pPr>
                    <w:pStyle w:val="Compact"/>
                    <w:jc w:val="center"/>
                  </w:pPr>
                  <w:r>
                    <w:t>Mantel R</w:t>
                  </w:r>
                </w:p>
              </w:tc>
              <w:tc>
                <w:tcPr>
                  <w:tcW w:w="2640" w:type="dxa"/>
                </w:tcPr>
                <w:p w:rsidR="00E37400" w:rsidRDefault="00000000">
                  <w:pPr>
                    <w:pStyle w:val="Compact"/>
                    <w:jc w:val="center"/>
                  </w:pPr>
                  <w:r>
                    <w:t>Mantel p</w:t>
                  </w:r>
                </w:p>
              </w:tc>
            </w:tr>
            <w:tr w:rsidR="00E37400">
              <w:tc>
                <w:tcPr>
                  <w:tcW w:w="2640" w:type="dxa"/>
                </w:tcPr>
                <w:p w:rsidR="00E37400" w:rsidRDefault="00000000">
                  <w:pPr>
                    <w:pStyle w:val="Compact"/>
                    <w:jc w:val="center"/>
                  </w:pPr>
                  <w:r>
                    <w:t>Aur-P1</w:t>
                  </w:r>
                </w:p>
              </w:tc>
              <w:tc>
                <w:tcPr>
                  <w:tcW w:w="2640" w:type="dxa"/>
                </w:tcPr>
                <w:p w:rsidR="00E37400" w:rsidRDefault="00000000">
                  <w:pPr>
                    <w:pStyle w:val="Compact"/>
                    <w:jc w:val="center"/>
                  </w:pPr>
                  <w:r>
                    <w:t>0.046</w:t>
                  </w:r>
                </w:p>
              </w:tc>
              <w:tc>
                <w:tcPr>
                  <w:tcW w:w="2640" w:type="dxa"/>
                </w:tcPr>
                <w:p w:rsidR="00E37400" w:rsidRDefault="00000000">
                  <w:pPr>
                    <w:pStyle w:val="Compact"/>
                    <w:jc w:val="center"/>
                  </w:pPr>
                  <w:r>
                    <w:t>0.301</w:t>
                  </w:r>
                </w:p>
              </w:tc>
            </w:tr>
            <w:tr w:rsidR="00E37400">
              <w:tc>
                <w:tcPr>
                  <w:tcW w:w="2640" w:type="dxa"/>
                </w:tcPr>
                <w:p w:rsidR="00E37400" w:rsidRDefault="00000000">
                  <w:pPr>
                    <w:pStyle w:val="Compact"/>
                    <w:jc w:val="center"/>
                  </w:pPr>
                  <w:r>
                    <w:t>Aur-P2</w:t>
                  </w:r>
                </w:p>
              </w:tc>
              <w:tc>
                <w:tcPr>
                  <w:tcW w:w="2640" w:type="dxa"/>
                </w:tcPr>
                <w:p w:rsidR="00E37400" w:rsidRDefault="00000000">
                  <w:pPr>
                    <w:pStyle w:val="Compact"/>
                    <w:jc w:val="center"/>
                  </w:pPr>
                  <w:r>
                    <w:t>-0.299</w:t>
                  </w:r>
                </w:p>
              </w:tc>
              <w:tc>
                <w:tcPr>
                  <w:tcW w:w="2640" w:type="dxa"/>
                </w:tcPr>
                <w:p w:rsidR="00E37400" w:rsidRDefault="00000000">
                  <w:pPr>
                    <w:pStyle w:val="Compact"/>
                    <w:jc w:val="center"/>
                  </w:pPr>
                  <w:r>
                    <w:t>0.933</w:t>
                  </w:r>
                </w:p>
              </w:tc>
            </w:tr>
          </w:tbl>
          <w:p w:rsidR="00E37400" w:rsidRDefault="00000000">
            <w:pPr>
              <w:pStyle w:val="ImageCaption"/>
              <w:spacing w:before="200"/>
            </w:pPr>
            <w:r>
              <w:t>Table 2: Table of the results per phase for the Mantel test between a Jaccard dissimilarity matrix of sign type diversity and a geographic distance matrix</w:t>
            </w:r>
          </w:p>
        </w:tc>
        <w:bookmarkEnd w:id="6"/>
      </w:tr>
    </w:tbl>
    <w:p w:rsidR="00E37400" w:rsidRDefault="00000000">
      <w:pPr>
        <w:pStyle w:val="Heading2"/>
      </w:pPr>
      <w:bookmarkStart w:id="7" w:name="X46fb7fbb72b706c03a53d156cc51de5c114d6b9"/>
      <w:r>
        <w:t>Cultural Group Detection Using Seriation and Network Analysis</w:t>
      </w:r>
    </w:p>
    <w:p w:rsidR="00E37400" w:rsidRDefault="00000000">
      <w:pPr>
        <w:pStyle w:val="FirstParagraph"/>
      </w:pPr>
      <w:r>
        <w:t>Seriation analysis is the arrangement of data into a linear order to reveal patterns [39]. We used the Brower-Kile [40] 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rsidR="00E37400" w:rsidRDefault="00000000">
      <w:pPr>
        <w:pStyle w:val="BodyText"/>
      </w:pPr>
      <w:r>
        <w:lastRenderedPageBreak/>
        <w:t>To investigate connectivity among clusters of sites in the seriation solution, we used network analysis to represent and quantify the relationship between sites [41].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“Sensitivity Analyses” S1, S2, S5.2, S5.6). Results were plotted with the Fruchterman-Reingold layout [42], a force-directed graph layout for uniform edge lengths, and network analysis was performed using the vegan [37], statnet [43] and igraph [44] packages.</w:t>
      </w:r>
    </w:p>
    <w:p w:rsidR="00E37400" w:rsidRDefault="00000000">
      <w:pPr>
        <w:pStyle w:val="Heading2"/>
      </w:pPr>
      <w:bookmarkStart w:id="8" w:name="Xda1c626f4bbd9fdc06551ef7388072be9db3264"/>
      <w:bookmarkEnd w:id="7"/>
      <w:r>
        <w:t>PerMANOVA for Cultural Connection Strength</w:t>
      </w:r>
    </w:p>
    <w:p w:rsidR="00E37400" w:rsidRDefault="00000000">
      <w:pPr>
        <w:pStyle w:val="FirstParagraph"/>
      </w:pPr>
      <w:r>
        <w:t>PerMANOVA quantifies the level of variation between groups versus the level of variation within groups [45,46]. The results are expressed by an R</w:t>
      </w:r>
      <w:r>
        <w:rPr>
          <w:vertAlign w:val="superscript"/>
        </w:rPr>
        <w:t>2</w:t>
      </w:r>
      <w:r>
        <w:t xml:space="preserve"> 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 [37] and igraph [44] packages. Because the restricted/broad group assignments were derived from visual inspection of the seriation results using the same sign data tested here, we validate these assignments against data-driven Louvain community detection and report the comparison in our S1 “Sensitivity Analyses” S5. We further test the robustness of the partition with bootstrap consensus clustering of sites and with stochastic block models, which select the number of groups model-independently and assign posterior membership probabilities to each site (see our S1 “Sensitivity Analyses” S6).</w:t>
      </w:r>
    </w:p>
    <w:p w:rsidR="00E37400" w:rsidRDefault="00000000">
      <w:pPr>
        <w:pStyle w:val="Heading1"/>
      </w:pPr>
      <w:bookmarkStart w:id="9" w:name="data-availability"/>
      <w:bookmarkEnd w:id="5"/>
      <w:bookmarkEnd w:id="8"/>
      <w:r>
        <w:t>Data Availability</w:t>
      </w:r>
    </w:p>
    <w:p w:rsidR="00E37400" w:rsidRDefault="00000000">
      <w:pPr>
        <w:pStyle w:val="FirstParagraph"/>
      </w:pPr>
      <w:r>
        <w:t xml:space="preserve">All data and code needed to reproduce the analyses in this paper are publicly available. The original unprocessed dataset is available in the signBase_Version1.0.csv file from the SignBase repository [10].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 </w:t>
      </w:r>
      <w:r>
        <w:rPr>
          <w:rStyle w:val="VerbatimChar"/>
        </w:rPr>
        <w:t>paper.qmd</w:t>
      </w:r>
      <w:r>
        <w:t xml:space="preserve">, </w:t>
      </w:r>
      <w:r>
        <w:rPr>
          <w:rStyle w:val="VerbatimChar"/>
        </w:rPr>
        <w:t>S1-supplement-sensitivity.qmd</w:t>
      </w:r>
      <w:r>
        <w:t xml:space="preserve">, and </w:t>
      </w:r>
      <w:r>
        <w:rPr>
          <w:rStyle w:val="VerbatimChar"/>
        </w:rPr>
        <w:t>S2-supplement-site-assignment.qmd</w:t>
      </w:r>
      <w:r>
        <w:t xml:space="preserve"> which can be rendered to reproduce the full analysis pipeline. This </w:t>
      </w:r>
      <w:r>
        <w:lastRenderedPageBreak/>
        <w:t>computational reproducibility approach follows best practices for transparent and open archaeological science [47,48].</w:t>
      </w:r>
    </w:p>
    <w:p w:rsidR="00E37400" w:rsidRDefault="00000000">
      <w:pPr>
        <w:pStyle w:val="Heading1"/>
      </w:pPr>
      <w:bookmarkStart w:id="10" w:name="results"/>
      <w:bookmarkEnd w:id="9"/>
      <w:r>
        <w:lastRenderedPageBreak/>
        <w:t>Results</w:t>
      </w:r>
    </w:p>
    <w:p w:rsidR="00E37400" w:rsidRDefault="00000000">
      <w:pPr>
        <w:pStyle w:val="Heading2"/>
      </w:pPr>
      <w:bookmarkStart w:id="11" w:name="cultural-group-detection"/>
      <w:r>
        <w:t>Cultural Group Detection</w:t>
      </w:r>
    </w:p>
    <w:tbl>
      <w:tblPr>
        <w:tblStyle w:val="Table"/>
        <w:tblW w:w="5000" w:type="pct"/>
        <w:tblLayout w:type="fixed"/>
        <w:tblLook w:val="0000" w:firstRow="0" w:lastRow="0" w:firstColumn="0" w:lastColumn="0" w:noHBand="0" w:noVBand="0"/>
      </w:tblPr>
      <w:tblGrid>
        <w:gridCol w:w="9576"/>
      </w:tblGrid>
      <w:tr w:rsidR="00E37400">
        <w:tc>
          <w:tcPr>
            <w:tcW w:w="7920" w:type="dxa"/>
          </w:tcPr>
          <w:p w:rsidR="00E37400" w:rsidRDefault="00000000">
            <w:pPr>
              <w:pStyle w:val="Compact"/>
              <w:jc w:val="center"/>
            </w:pPr>
            <w:bookmarkStart w:id="12" w:name="fig-seriation"/>
            <w:r>
              <w:rPr>
                <w:noProof/>
              </w:rPr>
              <w:drawing>
                <wp:inline distT="0" distB="0" distL="0" distR="0">
                  <wp:extent cx="5943600" cy="7429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seriation-plot.png"/>
                          <pic:cNvPicPr>
                            <a:picLocks noChangeAspect="1" noChangeArrowheads="1"/>
                          </pic:cNvPicPr>
                        </pic:nvPicPr>
                        <pic:blipFill>
                          <a:blip r:embed="rId9"/>
                          <a:stretch>
                            <a:fillRect/>
                          </a:stretch>
                        </pic:blipFill>
                        <pic:spPr bwMode="auto">
                          <a:xfrm>
                            <a:off x="0" y="0"/>
                            <a:ext cx="5943600" cy="7429499"/>
                          </a:xfrm>
                          <a:prstGeom prst="rect">
                            <a:avLst/>
                          </a:prstGeom>
                          <a:noFill/>
                          <a:ln w="9525">
                            <a:noFill/>
                            <a:headEnd/>
                            <a:tailEnd/>
                          </a:ln>
                        </pic:spPr>
                      </pic:pic>
                    </a:graphicData>
                  </a:graphic>
                </wp:inline>
              </w:drawing>
            </w:r>
          </w:p>
          <w:p w:rsidR="00E37400" w:rsidRDefault="00000000">
            <w:pPr>
              <w:pStyle w:val="ImageCaption"/>
              <w:spacing w:before="200"/>
            </w:pPr>
            <w:r>
              <w:lastRenderedPageBreak/>
              <w:t>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tc>
        <w:bookmarkEnd w:id="12"/>
      </w:tr>
    </w:tbl>
    <w:p w:rsidR="00E37400" w:rsidRDefault="00000000">
      <w:pPr>
        <w:pStyle w:val="BodyText"/>
      </w:pPr>
      <w:r>
        <w:lastRenderedPageBreak/>
        <w:t>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(S1 “Sensitivity Analyses” S6.3).</w:t>
      </w:r>
    </w:p>
    <w:p w:rsidR="00E37400" w:rsidRDefault="00000000">
      <w:pPr>
        <w:pStyle w:val="BodyText"/>
      </w:pPr>
      <w:r>
        <w:t>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rsidR="00E37400" w:rsidRDefault="00000000">
      <w:pPr>
        <w:pStyle w:val="BodyText"/>
      </w:pPr>
      <w:r>
        <w:t>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w="5000" w:type="pct"/>
        <w:tblLayout w:type="fixed"/>
        <w:tblLook w:val="0000" w:firstRow="0" w:lastRow="0" w:firstColumn="0" w:lastColumn="0" w:noHBand="0" w:noVBand="0"/>
      </w:tblPr>
      <w:tblGrid>
        <w:gridCol w:w="9576"/>
      </w:tblGrid>
      <w:tr w:rsidR="00E37400">
        <w:tc>
          <w:tcPr>
            <w:tcW w:w="7920" w:type="dxa"/>
          </w:tcPr>
          <w:p w:rsidR="00E37400" w:rsidRDefault="00000000">
            <w:pPr>
              <w:pStyle w:val="Compact"/>
              <w:jc w:val="center"/>
            </w:pPr>
            <w:bookmarkStart w:id="13" w:name="fig-neighbor-net"/>
            <w:r>
              <w:rPr>
                <w:noProof/>
              </w:rPr>
              <w:lastRenderedPageBreak/>
              <w:drawing>
                <wp:inline distT="0" distB="0" distL="0" distR="0">
                  <wp:extent cx="5943600" cy="356616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network-plot.png"/>
                          <pic:cNvPicPr>
                            <a:picLocks noChangeAspect="1" noChangeArrowheads="1"/>
                          </pic:cNvPicPr>
                        </pic:nvPicPr>
                        <pic:blipFill>
                          <a:blip r:embed="rId10"/>
                          <a:stretch>
                            <a:fillRect/>
                          </a:stretch>
                        </pic:blipFill>
                        <pic:spPr bwMode="auto">
                          <a:xfrm>
                            <a:off x="0" y="0"/>
                            <a:ext cx="5943600" cy="3566160"/>
                          </a:xfrm>
                          <a:prstGeom prst="rect">
                            <a:avLst/>
                          </a:prstGeom>
                          <a:noFill/>
                          <a:ln w="9525">
                            <a:noFill/>
                            <a:headEnd/>
                            <a:tailEnd/>
                          </a:ln>
                        </pic:spPr>
                      </pic:pic>
                    </a:graphicData>
                  </a:graphic>
                </wp:inline>
              </w:drawing>
            </w:r>
          </w:p>
          <w:p w:rsidR="00E37400" w:rsidRDefault="00000000">
            <w:pPr>
              <w:pStyle w:val="ImageCaption"/>
              <w:spacing w:before="200"/>
            </w:pPr>
            <w:r>
              <w:t>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tc>
        <w:bookmarkEnd w:id="13"/>
      </w:tr>
      <w:tr w:rsidR="00E37400">
        <w:tc>
          <w:tcPr>
            <w:tcW w:w="7920" w:type="dxa"/>
          </w:tcPr>
          <w:p w:rsidR="00E37400" w:rsidRDefault="00000000">
            <w:pPr>
              <w:pStyle w:val="Compact"/>
              <w:jc w:val="center"/>
            </w:pPr>
            <w:bookmarkStart w:id="14" w:name="fig-neighbor-net-stats"/>
            <w:r>
              <w:rPr>
                <w:noProof/>
              </w:rPr>
              <w:lastRenderedPageBreak/>
              <w:drawing>
                <wp:inline distT="0" distB="0" distL="0" distR="0">
                  <wp:extent cx="5943600" cy="4086225"/>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s/network-stats-plot.png"/>
                          <pic:cNvPicPr>
                            <a:picLocks noChangeAspect="1" noChangeArrowheads="1"/>
                          </pic:cNvPicPr>
                        </pic:nvPicPr>
                        <pic:blipFill>
                          <a:blip r:embed="rId11"/>
                          <a:stretch>
                            <a:fillRect/>
                          </a:stretch>
                        </pic:blipFill>
                        <pic:spPr bwMode="auto">
                          <a:xfrm>
                            <a:off x="0" y="0"/>
                            <a:ext cx="5943600" cy="4086225"/>
                          </a:xfrm>
                          <a:prstGeom prst="rect">
                            <a:avLst/>
                          </a:prstGeom>
                          <a:noFill/>
                          <a:ln w="9525">
                            <a:noFill/>
                            <a:headEnd/>
                            <a:tailEnd/>
                          </a:ln>
                        </pic:spPr>
                      </pic:pic>
                    </a:graphicData>
                  </a:graphic>
                </wp:inline>
              </w:drawing>
            </w:r>
          </w:p>
          <w:p w:rsidR="00E37400" w:rsidRDefault="00000000">
            <w:pPr>
              <w:pStyle w:val="ImageCaption"/>
              <w:spacing w:before="200"/>
            </w:pPr>
            <w:r>
              <w:t>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tc>
        <w:bookmarkEnd w:id="14"/>
      </w:tr>
    </w:tbl>
    <w:p w:rsidR="00E37400" w:rsidRDefault="00000000">
      <w:pPr>
        <w:pStyle w:val="BodyText"/>
      </w:pPr>
      <w:r>
        <w:t xml:space="preserve">The results of the network analysis support the restricted-broad groupings identified in </w:t>
      </w:r>
      <w:hyperlink w:anchor="fig-seriation">
        <w:r>
          <w:rPr>
            <w:rStyle w:val="Hyperlink"/>
          </w:rPr>
          <w:t>Figure 2</w:t>
        </w:r>
      </w:hyperlink>
      <w:r>
        <w:t>,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rsidR="00E37400" w:rsidRDefault="00000000">
      <w:pPr>
        <w:pStyle w:val="BodyText"/>
      </w:pPr>
      <w:r>
        <w:t>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rsidR="00E37400" w:rsidRDefault="00000000">
      <w:pPr>
        <w:pStyle w:val="BodyText"/>
      </w:pPr>
      <w:hyperlink w:anchor="fig-neighbor-net-stats">
        <w:r>
          <w:rPr>
            <w:rStyle w:val="Hyperlink"/>
          </w:rPr>
          <w:t>Figure 4</w:t>
        </w:r>
      </w:hyperlink>
      <w:r>
        <w:t xml:space="preserve"> shows the results of permutation tests (n = 10</w:t>
      </w:r>
      <w:r>
        <w:rPr>
          <w:vertAlign w:val="superscript"/>
        </w:rPr>
        <w:t>4</w:t>
      </w:r>
      <w:r>
        <w:t xml:space="preserve">) assessing whether the observed statistics differ from a phase-randomized null distribution, and pairwise randomisation tests comparing the two phases. Under phase randomization, none of the tested statistics </w:t>
      </w:r>
      <w:r>
        <w:lastRenderedPageBreak/>
        <w:t>—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 “Sensitivity Analyses” (S5.1,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rsidR="00E37400" w:rsidRDefault="00000000">
      <w:pPr>
        <w:pStyle w:val="BodyText"/>
      </w:pPr>
      <w:r>
        <w:t>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w="5000" w:type="pct"/>
        <w:tblLayout w:type="fixed"/>
        <w:tblLook w:val="0000" w:firstRow="0" w:lastRow="0" w:firstColumn="0" w:lastColumn="0" w:noHBand="0" w:noVBand="0"/>
      </w:tblPr>
      <w:tblGrid>
        <w:gridCol w:w="9576"/>
      </w:tblGrid>
      <w:tr w:rsidR="00E37400">
        <w:tc>
          <w:tcPr>
            <w:tcW w:w="7920" w:type="dxa"/>
          </w:tcPr>
          <w:p w:rsidR="00E37400" w:rsidRDefault="00000000">
            <w:pPr>
              <w:pStyle w:val="Compact"/>
              <w:jc w:val="center"/>
            </w:pPr>
            <w:bookmarkStart w:id="15" w:name="fig-group-map"/>
            <w:r>
              <w:rPr>
                <w:noProof/>
              </w:rPr>
              <w:lastRenderedPageBreak/>
              <w:drawing>
                <wp:inline distT="0" distB="0" distL="0" distR="0">
                  <wp:extent cx="5943600" cy="475488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paper_files/figure-docx/fig-group-map-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rsidR="00E37400" w:rsidRDefault="00000000">
            <w:pPr>
              <w:pStyle w:val="ImageCaption"/>
              <w:spacing w:before="200"/>
            </w:pPr>
            <w:r>
              <w:t>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 [33]</w:t>
            </w:r>
          </w:p>
        </w:tc>
        <w:bookmarkEnd w:id="15"/>
      </w:tr>
    </w:tbl>
    <w:p w:rsidR="00E37400" w:rsidRDefault="00000000">
      <w:pPr>
        <w:pStyle w:val="BodyText"/>
      </w:pPr>
      <w:r>
        <w:t>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Figure 5</w:t>
        </w:r>
      </w:hyperlink>
      <w:r>
        <w:t>).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p w:rsidR="00E37400" w:rsidRDefault="00000000">
      <w:pPr>
        <w:pStyle w:val="Heading2"/>
      </w:pPr>
      <w:bookmarkStart w:id="16" w:name="cultural-connection-strength"/>
      <w:bookmarkEnd w:id="11"/>
      <w:r>
        <w:t>Cultural Connection Strength</w:t>
      </w:r>
    </w:p>
    <w:tbl>
      <w:tblPr>
        <w:tblStyle w:val="Table"/>
        <w:tblW w:w="5000" w:type="pct"/>
        <w:tblLayout w:type="fixed"/>
        <w:tblLook w:val="0000" w:firstRow="0" w:lastRow="0" w:firstColumn="0" w:lastColumn="0" w:noHBand="0" w:noVBand="0"/>
      </w:tblPr>
      <w:tblGrid>
        <w:gridCol w:w="9576"/>
      </w:tblGrid>
      <w:tr w:rsidR="00E37400">
        <w:tc>
          <w:tcPr>
            <w:tcW w:w="7920" w:type="dxa"/>
          </w:tcPr>
          <w:tbl>
            <w:tblPr>
              <w:tblStyle w:val="Table"/>
              <w:tblW w:w="0" w:type="auto"/>
              <w:tblLayout w:type="fixed"/>
              <w:tblLook w:val="0020" w:firstRow="1" w:lastRow="0" w:firstColumn="0" w:lastColumn="0" w:noHBand="0" w:noVBand="0"/>
            </w:tblPr>
            <w:tblGrid>
              <w:gridCol w:w="1980"/>
              <w:gridCol w:w="1980"/>
              <w:gridCol w:w="1980"/>
              <w:gridCol w:w="1980"/>
            </w:tblGrid>
            <w:tr w:rsidR="00E37400" w:rsidTr="00E37400">
              <w:trPr>
                <w:cnfStyle w:val="100000000000" w:firstRow="1" w:lastRow="0" w:firstColumn="0" w:lastColumn="0" w:oddVBand="0" w:evenVBand="0" w:oddHBand="0" w:evenHBand="0" w:firstRowFirstColumn="0" w:firstRowLastColumn="0" w:lastRowFirstColumn="0" w:lastRowLastColumn="0"/>
                <w:tblHeader/>
              </w:trPr>
              <w:tc>
                <w:tcPr>
                  <w:tcW w:w="1980" w:type="dxa"/>
                </w:tcPr>
                <w:p w:rsidR="00E37400" w:rsidRDefault="00000000">
                  <w:pPr>
                    <w:pStyle w:val="Compact"/>
                    <w:jc w:val="center"/>
                  </w:pPr>
                  <w:bookmarkStart w:id="17" w:name="tbl-strength-table"/>
                  <w:r>
                    <w:t>Aurignacian phase</w:t>
                  </w:r>
                </w:p>
              </w:tc>
              <w:tc>
                <w:tcPr>
                  <w:tcW w:w="1980" w:type="dxa"/>
                </w:tcPr>
                <w:p w:rsidR="00E37400" w:rsidRDefault="00000000">
                  <w:pPr>
                    <w:pStyle w:val="Compact"/>
                    <w:jc w:val="center"/>
                  </w:pPr>
                  <w:r>
                    <w:t>PerMANOVA R2</w:t>
                  </w:r>
                </w:p>
              </w:tc>
              <w:tc>
                <w:tcPr>
                  <w:tcW w:w="1980" w:type="dxa"/>
                </w:tcPr>
                <w:p w:rsidR="00E37400" w:rsidRDefault="00000000">
                  <w:pPr>
                    <w:pStyle w:val="Compact"/>
                    <w:jc w:val="center"/>
                  </w:pPr>
                  <w:r>
                    <w:t>PerMANOVA F</w:t>
                  </w:r>
                </w:p>
              </w:tc>
              <w:tc>
                <w:tcPr>
                  <w:tcW w:w="1980" w:type="dxa"/>
                </w:tcPr>
                <w:p w:rsidR="00E37400" w:rsidRDefault="00000000">
                  <w:pPr>
                    <w:pStyle w:val="Compact"/>
                    <w:jc w:val="center"/>
                  </w:pPr>
                  <w:r>
                    <w:t>PerMANOVA p</w:t>
                  </w:r>
                </w:p>
              </w:tc>
            </w:tr>
            <w:tr w:rsidR="00E37400">
              <w:tc>
                <w:tcPr>
                  <w:tcW w:w="1980" w:type="dxa"/>
                </w:tcPr>
                <w:p w:rsidR="00E37400" w:rsidRDefault="00000000">
                  <w:pPr>
                    <w:pStyle w:val="Compact"/>
                    <w:jc w:val="center"/>
                  </w:pPr>
                  <w:r>
                    <w:t>Aur-P1</w:t>
                  </w:r>
                </w:p>
              </w:tc>
              <w:tc>
                <w:tcPr>
                  <w:tcW w:w="1980" w:type="dxa"/>
                </w:tcPr>
                <w:p w:rsidR="00E37400" w:rsidRDefault="00000000">
                  <w:pPr>
                    <w:pStyle w:val="Compact"/>
                    <w:jc w:val="center"/>
                  </w:pPr>
                  <w:r>
                    <w:t>0.196</w:t>
                  </w:r>
                </w:p>
              </w:tc>
              <w:tc>
                <w:tcPr>
                  <w:tcW w:w="1980" w:type="dxa"/>
                </w:tcPr>
                <w:p w:rsidR="00E37400" w:rsidRDefault="00000000">
                  <w:pPr>
                    <w:pStyle w:val="Compact"/>
                    <w:jc w:val="center"/>
                  </w:pPr>
                  <w:r>
                    <w:t>4.382</w:t>
                  </w:r>
                </w:p>
              </w:tc>
              <w:tc>
                <w:tcPr>
                  <w:tcW w:w="1980" w:type="dxa"/>
                </w:tcPr>
                <w:p w:rsidR="00E37400" w:rsidRDefault="00000000">
                  <w:pPr>
                    <w:pStyle w:val="Compact"/>
                    <w:jc w:val="center"/>
                  </w:pPr>
                  <w:r>
                    <w:t>0.001</w:t>
                  </w:r>
                </w:p>
              </w:tc>
            </w:tr>
            <w:tr w:rsidR="00E37400">
              <w:tc>
                <w:tcPr>
                  <w:tcW w:w="1980" w:type="dxa"/>
                </w:tcPr>
                <w:p w:rsidR="00E37400" w:rsidRDefault="00000000">
                  <w:pPr>
                    <w:pStyle w:val="Compact"/>
                    <w:jc w:val="center"/>
                  </w:pPr>
                  <w:r>
                    <w:t>Aur-P2</w:t>
                  </w:r>
                </w:p>
              </w:tc>
              <w:tc>
                <w:tcPr>
                  <w:tcW w:w="1980" w:type="dxa"/>
                </w:tcPr>
                <w:p w:rsidR="00E37400" w:rsidRDefault="00000000">
                  <w:pPr>
                    <w:pStyle w:val="Compact"/>
                    <w:jc w:val="center"/>
                  </w:pPr>
                  <w:r>
                    <w:t>0.223</w:t>
                  </w:r>
                </w:p>
              </w:tc>
              <w:tc>
                <w:tcPr>
                  <w:tcW w:w="1980" w:type="dxa"/>
                </w:tcPr>
                <w:p w:rsidR="00E37400" w:rsidRDefault="00000000">
                  <w:pPr>
                    <w:pStyle w:val="Compact"/>
                    <w:jc w:val="center"/>
                  </w:pPr>
                  <w:r>
                    <w:t>2.008</w:t>
                  </w:r>
                </w:p>
              </w:tc>
              <w:tc>
                <w:tcPr>
                  <w:tcW w:w="1980" w:type="dxa"/>
                </w:tcPr>
                <w:p w:rsidR="00E37400" w:rsidRDefault="00000000">
                  <w:pPr>
                    <w:pStyle w:val="Compact"/>
                    <w:jc w:val="center"/>
                  </w:pPr>
                  <w:r>
                    <w:t>0.076</w:t>
                  </w:r>
                </w:p>
              </w:tc>
            </w:tr>
          </w:tbl>
          <w:p w:rsidR="00E37400" w:rsidRDefault="00000000">
            <w:pPr>
              <w:pStyle w:val="ImageCaption"/>
              <w:spacing w:before="200"/>
            </w:pPr>
            <w:r>
              <w:lastRenderedPageBreak/>
              <w:t>Table 3: Table of the results per phase for the perMANOVA</w:t>
            </w:r>
          </w:p>
        </w:tc>
        <w:bookmarkEnd w:id="17"/>
      </w:tr>
    </w:tbl>
    <w:p w:rsidR="00E37400" w:rsidRDefault="00000000">
      <w:pPr>
        <w:pStyle w:val="BodyText"/>
      </w:pPr>
      <w:r>
        <w:lastRenderedPageBreak/>
        <w:t>The perMANOVA results show that group membership explains approximately 0.196 of the variance in sign composition in the Aur-P1 phase and 0.223 in the Aur-P2 phase (</w:t>
      </w:r>
      <w:hyperlink w:anchor="tbl-strength-table">
        <w:r>
          <w:rPr>
            <w:rStyle w:val="Hyperlink"/>
          </w:rPr>
          <w:t>Table 3</w:t>
        </w:r>
      </w:hyperlink>
      <w:r>
        <w:t>).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p w:rsidR="00E37400" w:rsidRDefault="00000000">
      <w:pPr>
        <w:pStyle w:val="Heading1"/>
      </w:pPr>
      <w:bookmarkStart w:id="18" w:name="discussion"/>
      <w:bookmarkEnd w:id="10"/>
      <w:bookmarkEnd w:id="16"/>
      <w:r>
        <w:t>Discussion</w:t>
      </w:r>
    </w:p>
    <w:p w:rsidR="00E37400" w:rsidRDefault="00000000">
      <w:pPr>
        <w:pStyle w:val="Heading2"/>
      </w:pPr>
      <w:bookmarkStart w:id="19" w:name="Xafef6faeacafea72fa60e49cb13139f797d1b47"/>
      <w:r>
        <w:t>Group Dynamics Within and Between the Two Aurignacian Phases</w:t>
      </w:r>
    </w:p>
    <w:p w:rsidR="00E37400" w:rsidRDefault="00000000">
      <w:pPr>
        <w:pStyle w:val="FirstParagraph"/>
      </w:pPr>
      <w:r>
        <w:t xml:space="preserve">Our first aim was to determine whether any structure in sign type composition exists within each phase, and how diversity, size, connectivity, and distribution vary between the phases. The results from </w:t>
      </w:r>
      <w:hyperlink w:anchor="fig-seriation">
        <w:r>
          <w:rPr>
            <w:rStyle w:val="Hyperlink"/>
          </w:rPr>
          <w:t>Figure 2</w:t>
        </w:r>
      </w:hyperlink>
      <w:r>
        <w:t xml:space="preserve"> 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 “Sensitivity Analyses”. The removal of Vogelherd does not change the fundamental restricted/broad group structure.</w:t>
      </w:r>
    </w:p>
    <w:p w:rsidR="00E37400" w:rsidRDefault="00000000">
      <w:pPr>
        <w:pStyle w:val="BodyText"/>
      </w:pPr>
      <w:hyperlink w:anchor="fig-neighbor-net">
        <w:r>
          <w:rPr>
            <w:rStyle w:val="Hyperlink"/>
          </w:rPr>
          <w:t>Figure 3</w:t>
        </w:r>
      </w:hyperlink>
      <w:r>
        <w:t xml:space="preserve"> 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rsidR="00E37400" w:rsidRDefault="00000000">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 [49–56]. Studies have established how variation in ornamentation and other forms of material culture can be used to communicate information about the numbers and types of social roles and statuses within groups [4,56–67]. Drawing on this work, we speculate that </w:t>
      </w:r>
      <w:r>
        <w:lastRenderedPageBreak/>
        <w:t>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rsidR="00E37400" w:rsidRDefault="00000000">
      <w:pPr>
        <w:pStyle w:val="BodyText"/>
      </w:pPr>
      <w:r>
        <w:t>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 “Sensitivity Analyses” 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Figure 6</w:t>
        </w:r>
      </w:hyperlink>
      <w:r>
        <w:t>)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rsidR="00E37400" w:rsidRDefault="00000000">
      <w:pPr>
        <w:pStyle w:val="BodyText"/>
      </w:pPr>
      <w:r>
        <w:t xml:space="preserve">The connectivity between sites represented in </w:t>
      </w:r>
      <w:hyperlink w:anchor="fig-neighbor-net">
        <w:r>
          <w:rPr>
            <w:rStyle w:val="Hyperlink"/>
          </w:rPr>
          <w:t>Figure 3</w:t>
        </w:r>
      </w:hyperlink>
      <w:r>
        <w:t xml:space="preserve"> may reflect non-utilitarian mobility among these larger communities. Our Mantel tests did not detect a significant correlation between sign-type distribution and geographic distance in any phase (</w:t>
      </w:r>
      <w:hyperlink w:anchor="tbl-mantel-table">
        <w:r>
          <w:rPr>
            <w:rStyle w:val="Hyperlink"/>
          </w:rPr>
          <w:t>Table 2</w:t>
        </w:r>
      </w:hyperlink>
      <w:r>
        <w:t>), although this null result should be interpreted cautiously given the small sample sizes and limited statistical power (our S1 “Sensitivity Analyses” 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 [68]; [69]; [54]; [70]; [55]. Non-utilitarian mobility establishes regional social networks which facilitate the spread of information and the survival of hunter-gatherers in uncertain environments [71]; [72]; [73]; [74]; [75]. The exchange and production of decorative items, such as objects with geometric signs, has been associated with non-utilitarian mobility and recognized as an indicator of social contact [71]; [76]; [77]; [78]; [79]. We stress, however, that connectivity in shared sign types cannot by itself establish the direction or mechanism of contact, which our data do not measure directly.</w:t>
      </w:r>
    </w:p>
    <w:p w:rsidR="00E37400" w:rsidRDefault="00000000">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w:t>
      </w:r>
      <w:r>
        <w:lastRenderedPageBreak/>
        <w:t xml:space="preserve">and congregate in large groups, typically for subsistence or social reasons [80].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[80], including, in some cases, decorative objects [76];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 </w:t>
      </w:r>
      <w:hyperlink w:anchor="fig-neighbor-net">
        <w:r>
          <w:rPr>
            <w:rStyle w:val="Hyperlink"/>
          </w:rPr>
          <w:t>Figure 3</w:t>
        </w:r>
      </w:hyperlink>
      <w:r>
        <w:t>. This is consistent with a decoupling between aggregation contexts and long-distance cultural connectivity, which we discuss further below. Previous studies have also identified evidence of aggregation/dispersion patterns among the early modern humans of the Upper Palaeolithic [2,81–87].</w:t>
      </w:r>
    </w:p>
    <w:p w:rsidR="00E37400" w:rsidRDefault="00000000">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 </w:t>
      </w:r>
      <w:hyperlink w:anchor="fig-div-plot">
        <w:r>
          <w:rPr>
            <w:rStyle w:val="Hyperlink"/>
          </w:rPr>
          <w:t>Figure 6</w:t>
        </w:r>
      </w:hyperlink>
      <w:r>
        <w:t xml:space="preserve"> 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 [88,89]. The sign-type pool — the number of distinct geometric signs recovered in each phase — was 26 in Aur-P1 and 15 in Aur-P2.</w:t>
      </w:r>
    </w:p>
    <w:p w:rsidR="00E37400" w:rsidRDefault="00000000">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 </w:t>
      </w:r>
      <w:hyperlink w:anchor="fig-neighbor-net">
        <w:r>
          <w:rPr>
            <w:rStyle w:val="Hyperlink"/>
          </w:rPr>
          <w:t>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 </w:t>
      </w:r>
      <w:hyperlink w:anchor="fig-neighbor-net">
        <w:r>
          <w:rPr>
            <w:rStyle w:val="Hyperlink"/>
          </w:rPr>
          <w:t>Figure 3</w:t>
        </w:r>
      </w:hyperlink>
      <w:r>
        <w:t xml:space="preserve">) and longer-term residential movement for aggregation (e.g. the sites with higher than expected diversity in </w:t>
      </w:r>
      <w:hyperlink w:anchor="fig-div-plot">
        <w:r>
          <w:rPr>
            <w:rStyle w:val="Hyperlink"/>
          </w:rPr>
          <w:t>Figure 6</w:t>
        </w:r>
      </w:hyperlink>
      <w:r>
        <w:t>).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w="5000" w:type="pct"/>
        <w:tblLayout w:type="fixed"/>
        <w:tblLook w:val="0000" w:firstRow="0" w:lastRow="0" w:firstColumn="0" w:lastColumn="0" w:noHBand="0" w:noVBand="0"/>
      </w:tblPr>
      <w:tblGrid>
        <w:gridCol w:w="9576"/>
      </w:tblGrid>
      <w:tr w:rsidR="00E37400">
        <w:tc>
          <w:tcPr>
            <w:tcW w:w="7920" w:type="dxa"/>
          </w:tcPr>
          <w:p w:rsidR="00E37400" w:rsidRDefault="00000000">
            <w:pPr>
              <w:pStyle w:val="Compact"/>
              <w:jc w:val="center"/>
            </w:pPr>
            <w:bookmarkStart w:id="20" w:name="fig-div-plot"/>
            <w:r>
              <w:rPr>
                <w:noProof/>
              </w:rPr>
              <w:lastRenderedPageBreak/>
              <w:drawing>
                <wp:inline distT="0" distB="0" distL="0" distR="0">
                  <wp:extent cx="3669832" cy="733966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ures/diversity-plot.png"/>
                          <pic:cNvPicPr>
                            <a:picLocks noChangeAspect="1" noChangeArrowheads="1"/>
                          </pic:cNvPicPr>
                        </pic:nvPicPr>
                        <pic:blipFill>
                          <a:blip r:embed="rId13"/>
                          <a:stretch>
                            <a:fillRect/>
                          </a:stretch>
                        </pic:blipFill>
                        <pic:spPr bwMode="auto">
                          <a:xfrm>
                            <a:off x="0" y="0"/>
                            <a:ext cx="3669832" cy="7339665"/>
                          </a:xfrm>
                          <a:prstGeom prst="rect">
                            <a:avLst/>
                          </a:prstGeom>
                          <a:noFill/>
                          <a:ln w="9525">
                            <a:noFill/>
                            <a:headEnd/>
                            <a:tailEnd/>
                          </a:ln>
                        </pic:spPr>
                      </pic:pic>
                    </a:graphicData>
                  </a:graphic>
                </wp:inline>
              </w:drawing>
            </w:r>
          </w:p>
          <w:p w:rsidR="00E37400" w:rsidRDefault="00000000">
            <w:pPr>
              <w:pStyle w:val="ImageCaption"/>
              <w:spacing w:before="200"/>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w:t>
            </w:r>
            <w:r>
              <w:lastRenderedPageBreak/>
              <w:t>aggregation.</w:t>
            </w:r>
          </w:p>
        </w:tc>
        <w:bookmarkEnd w:id="20"/>
      </w:tr>
    </w:tbl>
    <w:p w:rsidR="00E37400" w:rsidRDefault="00000000">
      <w:pPr>
        <w:pStyle w:val="Heading2"/>
      </w:pPr>
      <w:bookmarkStart w:id="21" w:name="Xebf6942352f41a988f05700517178ca340da310"/>
      <w:bookmarkEnd w:id="19"/>
      <w:r>
        <w:lastRenderedPageBreak/>
        <w:t>Interpreting Network Patterns: Population, Transmission, and Social Structure</w:t>
      </w:r>
    </w:p>
    <w:p w:rsidR="00E37400" w:rsidRDefault="00000000">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 </w:t>
      </w:r>
      <w:hyperlink w:anchor="tbl-mantel-table">
        <w:r>
          <w:rPr>
            <w:rStyle w:val="Hyperlink"/>
          </w:rPr>
          <w:t>Table 2</w:t>
        </w:r>
      </w:hyperlink>
      <w:r>
        <w:t>),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rsidR="00E37400" w:rsidRDefault="00000000">
      <w:pPr>
        <w:pStyle w:val="BodyText"/>
      </w:pPr>
      <w:r>
        <w:t>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 [90]. This was followed by rapid expansion from 43.25–41 ka cal BP, with the maximum extent of early Aurignacian (Aur-P1) settlement being reached around 41 ka cal BP ([19]).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 [91–99]. Quantitative demographic reconstructions suggest that western and central European Aurignacian populations numbered approximately 1500 individuals [19], a relatively small number that may partly explain why our networks remain small and sparsely connected across both phases. [19] distinguish “Core Areas” of viable, year-round occupation from “Extended Areas” 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rsidR="00E37400" w:rsidRDefault="00000000">
      <w:pPr>
        <w:pStyle w:val="BodyText"/>
      </w:pPr>
      <w:r>
        <w:lastRenderedPageBreak/>
        <w:t>Our results partially align with [20],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 [21] developed a human-existence probability model for the Aurignacian, finding an expanded, more dispersed settlement area for the Evolved/Late Aurignacian, and [90] 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rsidR="00E37400" w:rsidRDefault="00000000">
      <w:pPr>
        <w:pStyle w:val="BodyText"/>
      </w:pPr>
      <w:r>
        <w:t>Our results support a general theory of geometric signs as a form of cultural identification and communication during the Palaeolithic, as proposed by previous work [3]. However, our results do not identify geographically distinct cultural groups: geographic distance had little influence on sign distribution in either phase (Aur-P1: R = 0.046; Aur-P2: R = -0.299), and so our findings contrast with previous work such as [6] and [3] who found distinct cultural clusters in their analysis of personal ornaments. One possible explanation for this contrast is that the geometric signs studied here encode different kinds of group information compared to the personal ornament objects studied by [6]. Another explanation may be that a distinguishing factor between the Aurignacian and Gravettian is the appearance of geographically distinct cultural groups in the Gravettian, as reported by [3]. We might hypothesize that the distribution found in the Aur-P2 phase (</w:t>
      </w:r>
      <w:hyperlink w:anchor="fig-group-map">
        <w:r>
          <w:rPr>
            <w:rStyle w:val="Hyperlink"/>
          </w:rPr>
          <w:t>Figure 5</w:t>
        </w:r>
      </w:hyperlink>
      <w:r>
        <w:t>) evolved into the clusters proposed by [3] for the Gravettian period. This transition is consistent with recent evidence for cultural continuity in personal ornaments between these technocomplexes [2], though our geometric sign data do not show the same pattern. The data used by [6] was also analyzed by [100],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[100] complicate claims by [6] for geographically distinct cultural groups in the Aurignacian, and validate our findings. To understand how these patterns of sign sharing might have been produced, we now turn to cultural transmission theory.</w:t>
      </w:r>
    </w:p>
    <w:p w:rsidR="00E37400" w:rsidRDefault="00000000">
      <w:pPr>
        <w:pStyle w:val="BodyText"/>
      </w:pPr>
      <w:r>
        <w:t xml:space="preserve">Our results can be interpreted through the lens of cultural transmission theory [101–103]. Smaller populations are predicted to experience greater drift and reduced capacity to </w:t>
      </w:r>
      <w:r>
        <w:lastRenderedPageBreak/>
        <w:t>maintain complex cultural repertoires [104],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 [105,106], while more clustered networks promote localised conformist transmission and differentiation within subgroups [107].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 [104,108],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rsidR="00E37400" w:rsidRDefault="00000000">
      <w:pPr>
        <w:pStyle w:val="BodyText"/>
      </w:pPr>
      <w:r>
        <w:t>The contrast with personal ornaments is informative. [6] identified nine geographically structured Aurignacian groups using ornaments; [3] 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 [11] exemplifies the rich personal ornament tradition that contrasts with our geometric sign patterns. This aligns with work by [109] (sign sequences having protocuneiform-like information density, suggesting notational function) and [110] (some signs recording seasonal prey information). However, both hypotheses are contested: [111] note methodological issues in Bentz &amp; Dutkiewicz; [112] and [113] argue the lunar calendar hypothesis is untestable, circular, and selectively uses data; [114] finds multiple theoretical weaknesses. Our results neither confirm nor rule out these hypotheses, and sign-type ambiguity remains a limitation.</w:t>
      </w:r>
    </w:p>
    <w:p w:rsidR="00E37400" w:rsidRDefault="00000000">
      <w:pPr>
        <w:pStyle w:val="Heading1"/>
      </w:pPr>
      <w:bookmarkStart w:id="22" w:name="conclusion"/>
      <w:bookmarkEnd w:id="18"/>
      <w:bookmarkEnd w:id="21"/>
      <w:r>
        <w:t>Conclusion</w:t>
      </w:r>
    </w:p>
    <w:p w:rsidR="00E37400" w:rsidRDefault="00000000">
      <w:pPr>
        <w:pStyle w:val="FirstParagraph"/>
      </w:pPr>
      <w:r>
        <w:t xml:space="preserve">This study adds to our knowledge of social networks within the Aurignacian period, as our results document structured patterns of social exchange and connection. Previous work [3,82,115–118] has used material culture analysis to reconstruct Upper Palaeolithic social </w:t>
      </w:r>
      <w:r>
        <w:lastRenderedPageBreak/>
        <w:t>networks, which have been argued to be a driver of cultural and evolutionary change [2,75,119–123].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 [124] by working with two internally coherent phases. Additionally, by comparing the phases rather than assuming a single trajectory, we are able to see social networks as fluid and dynamic, rather than static and bounded [81]. Our results do not support the conclusions drawn in [6], where Aurignacian artwork is found to be a symbolic marker of structured ethnic identity, but are supported by [100], which utilizes the same data as [6] to conclude that cultural identity by-descent with modification is a more likely explanation for the distribution of Aurignacian ornaments.</w:t>
      </w:r>
    </w:p>
    <w:p w:rsidR="00E37400" w:rsidRDefault="00000000">
      <w:pPr>
        <w:pStyle w:val="BodyText"/>
      </w:pPr>
      <w:r>
        <w:t>Our study has three important limitations. First is the potential ambiguity that arises with some of the sign types. While [125] 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 [126], and additionally, greater quantities of included sign types serve to establish stronger connections [124]. This ambiguity may be addressed in the future through the usage of the data recently released in SignBase 2.0 covering sites in Germany, which contains more detailed information on the specific order and patterns in which signs occurred on individual objects [109].</w:t>
      </w:r>
    </w:p>
    <w:p w:rsidR="00E37400" w:rsidRDefault="00000000">
      <w:pPr>
        <w:pStyle w:val="BodyText"/>
      </w:pPr>
      <w:r>
        <w:t>A second limitation concerns the effects of time-averaging on our network reconstructions. [127] 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[70] 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rsidR="00E37400" w:rsidRDefault="00000000">
      <w:pPr>
        <w:pStyle w:val="BodyText"/>
      </w:pPr>
      <w:r>
        <w:lastRenderedPageBreak/>
        <w:t>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 [24,25], La Ferrassie’s Aurignacian begins with the Early Aurignacian directly above the Châtelperronian [26], and Mladeč’s massive-base bone points and ~31 ka cal BP dates indicate an Evolved (Aur-P2) attribution [27]. Additionally, Vogelherd Cave’s stratigraphy is compromised by excavation methodology and post-depositional disturbance, with documented mixing between Aurignacian, Gravettian, and Magdalenian layers [31].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 “Sensitivity Analysis” S8 and find that the main structures are generally robust.</w:t>
      </w:r>
    </w:p>
    <w:p w:rsidR="00E37400" w:rsidRDefault="00000000">
      <w:pPr>
        <w:pStyle w:val="Heading1"/>
      </w:pPr>
      <w:bookmarkStart w:id="23" w:name="references"/>
      <w:bookmarkEnd w:id="22"/>
      <w:r>
        <w:t>References</w:t>
      </w:r>
    </w:p>
    <w:p w:rsidR="00E37400" w:rsidRDefault="00000000">
      <w:pPr>
        <w:pStyle w:val="Bibliography"/>
      </w:pPr>
      <w:bookmarkStart w:id="24" w:name="ref-Boyd_Silk_2020"/>
      <w:bookmarkStart w:id="25" w:name="refs"/>
      <w:r>
        <w:t xml:space="preserve">[1] </w:t>
      </w:r>
      <w:r>
        <w:tab/>
        <w:t xml:space="preserve">Boyd R, Silk JB. </w:t>
      </w:r>
      <w:hyperlink r:id="rId14">
        <w:r>
          <w:rPr>
            <w:rStyle w:val="Hyperlink"/>
          </w:rPr>
          <w:t>How humans evolved</w:t>
        </w:r>
      </w:hyperlink>
      <w:r>
        <w:t>. W.W. Norton; 2020.</w:t>
      </w:r>
    </w:p>
    <w:p w:rsidR="00E37400" w:rsidRDefault="00000000">
      <w:pPr>
        <w:pStyle w:val="Bibliography"/>
      </w:pPr>
      <w:bookmarkStart w:id="26" w:name="ref-dErrico_Baker_Rigaud_2025"/>
      <w:bookmarkEnd w:id="24"/>
      <w:r>
        <w:t xml:space="preserve">[2] </w:t>
      </w:r>
      <w:r>
        <w:tab/>
        <w:t xml:space="preserve">d’Errico F, Baker J, Pereira D, Álvarez-Fernández E, Lázničková-Galetová M, Rigaud S. Multivariate analyses of Aurignacian and Gravettian personal ornaments support cultural continuity in the Early Upper Palaeolithic. PLOS ONE 2025;20:1–24. </w:t>
      </w:r>
      <w:hyperlink r:id="rId15">
        <w:r>
          <w:rPr>
            <w:rStyle w:val="Hyperlink"/>
          </w:rPr>
          <w:t>https://doi.org/10.1371/journal.pone.0323148</w:t>
        </w:r>
      </w:hyperlink>
      <w:r>
        <w:t>.</w:t>
      </w:r>
    </w:p>
    <w:p w:rsidR="00E37400" w:rsidRDefault="00000000">
      <w:pPr>
        <w:pStyle w:val="Bibliography"/>
      </w:pPr>
      <w:bookmarkStart w:id="27" w:name="ref-baker2024evidence"/>
      <w:bookmarkEnd w:id="26"/>
      <w:r>
        <w:t xml:space="preserve">[3] </w:t>
      </w:r>
      <w:r>
        <w:tab/>
        <w:t>Baker J, Rigaud S, Pereira D, Courtenay LA, d’Errico F. Evidence from personal ornaments suggest nine distinct cultural groups between 34,000 and 24,000 years ago in Europe. Nature Human Behaviour 2024;8:431–44.</w:t>
      </w:r>
    </w:p>
    <w:p w:rsidR="00E37400" w:rsidRDefault="00000000">
      <w:pPr>
        <w:pStyle w:val="Bibliography"/>
      </w:pPr>
      <w:bookmarkStart w:id="28" w:name="ref-Sauvet_2018"/>
      <w:bookmarkEnd w:id="27"/>
      <w:r>
        <w:t xml:space="preserve">[4] </w:t>
      </w:r>
      <w:r>
        <w:tab/>
        <w:t xml:space="preserve">Sauvet G, Bourrillon R, Garate D, Petrognani S, Rivero O, Robert E, et al. The function of graphic signs in prehistoric societies: The case of Cantabrian quadrilateral signs. Quaternary International 2018;491:99–109. </w:t>
      </w:r>
      <w:hyperlink r:id="rId16">
        <w:r>
          <w:rPr>
            <w:rStyle w:val="Hyperlink"/>
          </w:rPr>
          <w:t>https://doi.org/10.1016/j.quaint.2017.01.039</w:t>
        </w:r>
      </w:hyperlink>
      <w:r>
        <w:t>.</w:t>
      </w:r>
    </w:p>
    <w:p w:rsidR="00E37400" w:rsidRDefault="00000000">
      <w:pPr>
        <w:pStyle w:val="Bibliography"/>
      </w:pPr>
      <w:bookmarkStart w:id="29" w:name="ref-Kuhn_Stiner_2007"/>
      <w:bookmarkEnd w:id="28"/>
      <w:r>
        <w:t xml:space="preserve">[5] </w:t>
      </w:r>
      <w:r>
        <w:tab/>
        <w:t xml:space="preserve">Kuhn SL, Stiner MC. Paleolithic ornaments: Implications for cognition, demography and identity. Diogenes 2007;54:40–8. </w:t>
      </w:r>
      <w:hyperlink r:id="rId17">
        <w:r>
          <w:rPr>
            <w:rStyle w:val="Hyperlink"/>
          </w:rPr>
          <w:t>https://doi.org/10.1177/0392192107076870</w:t>
        </w:r>
      </w:hyperlink>
      <w:r>
        <w:t>.</w:t>
      </w:r>
    </w:p>
    <w:p w:rsidR="00E37400" w:rsidRDefault="00000000">
      <w:pPr>
        <w:pStyle w:val="Bibliography"/>
      </w:pPr>
      <w:bookmarkStart w:id="30" w:name="ref-Vanhaeren_d"/>
      <w:bookmarkEnd w:id="29"/>
      <w:r>
        <w:t xml:space="preserve">[6] </w:t>
      </w:r>
      <w:r>
        <w:tab/>
        <w:t xml:space="preserve">Vanhaeren M, d’Errico F. Aurignacian ethno-linguistic geography of Europe revealed by personal ornaments. Journal of Archaeological Science 2006;33:1105–28. </w:t>
      </w:r>
      <w:hyperlink r:id="rId18">
        <w:r>
          <w:rPr>
            <w:rStyle w:val="Hyperlink"/>
          </w:rPr>
          <w:t>https://doi.org/10.1016/j.jas.2005.11.017</w:t>
        </w:r>
      </w:hyperlink>
      <w:r>
        <w:t>.</w:t>
      </w:r>
    </w:p>
    <w:p w:rsidR="00E37400" w:rsidRDefault="00000000">
      <w:pPr>
        <w:pStyle w:val="Bibliography"/>
      </w:pPr>
      <w:bookmarkStart w:id="31" w:name="ref-Fuentes_Lucas_Robert_2019"/>
      <w:bookmarkEnd w:id="30"/>
      <w:r>
        <w:t xml:space="preserve">[7] </w:t>
      </w:r>
      <w:r>
        <w:tab/>
        <w:t xml:space="preserve">Fuentes O, Lucas C, Robert E. An approach to Palaeolithic networks: The question of symbolic territories and their interpretation through Magdalenian art. Quaternary International 2019;503:233–47. </w:t>
      </w:r>
      <w:hyperlink r:id="rId19">
        <w:r>
          <w:rPr>
            <w:rStyle w:val="Hyperlink"/>
          </w:rPr>
          <w:t>https://doi.org/10.1016/j.quaint.2017.12.017</w:t>
        </w:r>
      </w:hyperlink>
      <w:r>
        <w:t>.</w:t>
      </w:r>
    </w:p>
    <w:p w:rsidR="00E37400" w:rsidRDefault="00000000">
      <w:pPr>
        <w:pStyle w:val="Bibliography"/>
      </w:pPr>
      <w:bookmarkStart w:id="32" w:name="ref-Tejero_Grimaldi_2015"/>
      <w:bookmarkEnd w:id="31"/>
      <w:r>
        <w:lastRenderedPageBreak/>
        <w:t xml:space="preserve">[8] </w:t>
      </w:r>
      <w:r>
        <w:tab/>
        <w:t xml:space="preserve">Tejero J-M, Grimaldi S. Assessing bone and antler exploitation at riparo mochi (Balzi Rossi, Italy): Implications for the characterization of the Aurignacian in South-Western Europe. Journal of Archaeological Science 2015;61:59–77. </w:t>
      </w:r>
      <w:hyperlink r:id="rId20">
        <w:r>
          <w:rPr>
            <w:rStyle w:val="Hyperlink"/>
          </w:rPr>
          <w:t>https://doi.org/10.1016/j.jas.2015.05.003</w:t>
        </w:r>
      </w:hyperlink>
      <w:r>
        <w:t>.</w:t>
      </w:r>
    </w:p>
    <w:p w:rsidR="00E37400" w:rsidRDefault="00000000">
      <w:pPr>
        <w:pStyle w:val="Bibliography"/>
      </w:pPr>
      <w:bookmarkStart w:id="33" w:name="ref-Tartar_2012"/>
      <w:bookmarkEnd w:id="32"/>
      <w:r>
        <w:t xml:space="preserve">[9] </w:t>
      </w:r>
      <w:r>
        <w:tab/>
        <w:t xml:space="preserve">Tartar E. The recognition of a new type of bone tools in early Aurignacian assemblages: Implications for understanding the appearance of osseous technology in Europe. Journal of Archaeological Science 2012;39:2348–60. </w:t>
      </w:r>
      <w:hyperlink r:id="rId21">
        <w:r>
          <w:rPr>
            <w:rStyle w:val="Hyperlink"/>
          </w:rPr>
          <w:t>https://doi.org/10.1016/j.jas.2012.02.003</w:t>
        </w:r>
      </w:hyperlink>
      <w:r>
        <w:t>.</w:t>
      </w:r>
    </w:p>
    <w:p w:rsidR="00E37400" w:rsidRDefault="00000000">
      <w:pPr>
        <w:pStyle w:val="Bibliography"/>
      </w:pPr>
      <w:bookmarkStart w:id="34" w:name="ref-dutkiewicz2020"/>
      <w:bookmarkEnd w:id="33"/>
      <w:r>
        <w:t xml:space="preserve">[10] </w:t>
      </w:r>
      <w:r>
        <w:tab/>
        <w:t xml:space="preserve">Dutkiewicz E, Russo G, Lee S, Bentz C. SignBase, a collection of geometric signs on mobile objects in the Paleolithic. Scientific Data 2020;7:364. </w:t>
      </w:r>
      <w:hyperlink r:id="rId22">
        <w:r>
          <w:rPr>
            <w:rStyle w:val="Hyperlink"/>
          </w:rPr>
          <w:t>https://doi.org/10.1038/s41597-020-00704-x</w:t>
        </w:r>
      </w:hyperlink>
      <w:r>
        <w:t>.</w:t>
      </w:r>
    </w:p>
    <w:p w:rsidR="00E37400" w:rsidRDefault="00000000">
      <w:pPr>
        <w:pStyle w:val="Bibliography"/>
      </w:pPr>
      <w:bookmarkStart w:id="35" w:name="ref-Talamo_2022"/>
      <w:bookmarkEnd w:id="34"/>
      <w:r>
        <w:t xml:space="preserve">[11] </w:t>
      </w:r>
      <w:r>
        <w:tab/>
        <w:t xml:space="preserve">Talamo S, Jacobs Z, Conard NJ, Grote K, Grimaldi S, Kirchner L, et al. A 41,500 year-old decorated ivory pendant from Stajnia Cave (Poland). Scientific Reports 2022;12:2031. </w:t>
      </w:r>
      <w:hyperlink r:id="rId23">
        <w:r>
          <w:rPr>
            <w:rStyle w:val="Hyperlink"/>
          </w:rPr>
          <w:t>https://doi.org/10.1038/s41598-021-01221-6</w:t>
        </w:r>
      </w:hyperlink>
      <w:r>
        <w:t>.</w:t>
      </w:r>
    </w:p>
    <w:p w:rsidR="00E37400" w:rsidRDefault="00000000">
      <w:pPr>
        <w:pStyle w:val="Bibliography"/>
      </w:pPr>
      <w:bookmarkStart w:id="36" w:name="ref-Chu_Richter_2020"/>
      <w:bookmarkEnd w:id="35"/>
      <w:r>
        <w:t xml:space="preserve">[12] </w:t>
      </w:r>
      <w:r>
        <w:tab/>
        <w:t xml:space="preserve">Chu W, Richter J. Aurignacian cultural unit. Encyclopedia of global archaeology, Cham: Springer International Publishing; 2020, p. 1–10. </w:t>
      </w:r>
      <w:hyperlink r:id="rId24">
        <w:r>
          <w:rPr>
            <w:rStyle w:val="Hyperlink"/>
          </w:rPr>
          <w:t>https://doi.org/10.1007/978-3-319-51726-1_3441-1</w:t>
        </w:r>
      </w:hyperlink>
      <w:r>
        <w:t>.</w:t>
      </w:r>
    </w:p>
    <w:p w:rsidR="00E37400" w:rsidRDefault="00000000">
      <w:pPr>
        <w:pStyle w:val="Bibliography"/>
      </w:pPr>
      <w:bookmarkStart w:id="37" w:name="ref-Dinnis_et_al_2019"/>
      <w:bookmarkEnd w:id="36"/>
      <w:r>
        <w:t xml:space="preserve">[13] </w:t>
      </w:r>
      <w:r>
        <w:tab/>
        <w:t xml:space="preserve">Dinnis R, Bessudnov A, Chiotti L, Flas D, Michel A. Thoughts on the structure of the European Aurignacian, with particular focus on Hohle Fels IV. Proceedings of the Prehistoric Society 2019;85:29–60. </w:t>
      </w:r>
      <w:hyperlink r:id="rId25">
        <w:r>
          <w:rPr>
            <w:rStyle w:val="Hyperlink"/>
          </w:rPr>
          <w:t>https://doi.org/10.1017/ppr.2019.11</w:t>
        </w:r>
      </w:hyperlink>
      <w:r>
        <w:t>.</w:t>
      </w:r>
    </w:p>
    <w:p w:rsidR="00E37400" w:rsidRDefault="00000000">
      <w:pPr>
        <w:pStyle w:val="Bibliography"/>
      </w:pPr>
      <w:bookmarkStart w:id="38" w:name="ref-falcucci2020breaking"/>
      <w:bookmarkEnd w:id="37"/>
      <w:r>
        <w:t xml:space="preserve">[14] </w:t>
      </w:r>
      <w:r>
        <w:tab/>
        <w:t>Falcucci A, Conard NJ, Peresani M, et al. Breaking through the Aquitaine frame: A re-evaluation on the significance of regional variants during the Aurignacian as seen from a key record in southern Europe. Journal of Anthropological Sciences 2020;98:99–140.</w:t>
      </w:r>
    </w:p>
    <w:p w:rsidR="00E37400" w:rsidRDefault="00000000">
      <w:pPr>
        <w:pStyle w:val="Bibliography"/>
      </w:pPr>
      <w:bookmarkStart w:id="39" w:name="ref-clark200917"/>
      <w:bookmarkEnd w:id="38"/>
      <w:r>
        <w:t xml:space="preserve">[15] </w:t>
      </w:r>
      <w:r>
        <w:tab/>
        <w:t>Clark GA, Riel-Salvatore J. What’s in a name? Observations on the compositional integrity of the Aurignacian. The Mediterranean from 50 000 to 25 000 BP, vol. 323, Oxbow Books; 2009.</w:t>
      </w:r>
    </w:p>
    <w:p w:rsidR="00E37400" w:rsidRDefault="00000000">
      <w:pPr>
        <w:pStyle w:val="Bibliography"/>
      </w:pPr>
      <w:bookmarkStart w:id="40" w:name="ref-zilhao2024data"/>
      <w:bookmarkEnd w:id="39"/>
      <w:r>
        <w:t xml:space="preserve">[16] </w:t>
      </w:r>
      <w:r>
        <w:tab/>
        <w:t>Zilhão J, d’Errico F, Banks WE, Teyssandier N. A data-driven paradigm shift for the Middle-to-Upper Palaeolithic transition and the Neandertal debate. Quaternary Environments and Humans 2024;2:100037.</w:t>
      </w:r>
    </w:p>
    <w:p w:rsidR="00E37400" w:rsidRDefault="00000000">
      <w:pPr>
        <w:pStyle w:val="Bibliography"/>
      </w:pPr>
      <w:bookmarkStart w:id="41" w:name="ref-bordes2006news"/>
      <w:bookmarkEnd w:id="40"/>
      <w:r>
        <w:t xml:space="preserve">[17] </w:t>
      </w:r>
      <w:r>
        <w:tab/>
        <w:t>Bordes J-G. News from the west: A reevaluation of the classical Aurignacian sequence of the Périgord. Towards a Definition of the Aurignacian 2006;45:147–71.</w:t>
      </w:r>
    </w:p>
    <w:p w:rsidR="00E37400" w:rsidRDefault="00000000">
      <w:pPr>
        <w:pStyle w:val="Bibliography"/>
      </w:pPr>
      <w:bookmarkStart w:id="42" w:name="ref-canessa2026unpacking"/>
      <w:bookmarkEnd w:id="41"/>
      <w:r>
        <w:t xml:space="preserve">[18] </w:t>
      </w:r>
      <w:r>
        <w:tab/>
        <w:t>Canessa T, Peña P de la. Unpacking lithic assemblage variability in the Early Upper Palaeolithic: A multivariate approach to the structure of the Iberian Aurignacian. Plos One 2026;21:e0345202.</w:t>
      </w:r>
    </w:p>
    <w:p w:rsidR="00E37400" w:rsidRDefault="00000000">
      <w:pPr>
        <w:pStyle w:val="Bibliography"/>
      </w:pPr>
      <w:bookmarkStart w:id="43" w:name="ref-Schmidt_Zimmermann_2019"/>
      <w:bookmarkEnd w:id="42"/>
      <w:r>
        <w:lastRenderedPageBreak/>
        <w:t xml:space="preserve">[19] </w:t>
      </w:r>
      <w:r>
        <w:tab/>
        <w:t xml:space="preserve">Schmidt I, Zimmermann A. Population dynamics and socio-spatial organization of the Aurignacian: Scalable quantitative demographic data for western and Central Europe. PLoS ONE 2019;14:e0211562. </w:t>
      </w:r>
      <w:hyperlink r:id="rId26">
        <w:r>
          <w:rPr>
            <w:rStyle w:val="Hyperlink"/>
          </w:rPr>
          <w:t>https://doi.org/10.1371/journal.pone.0211562</w:t>
        </w:r>
      </w:hyperlink>
      <w:r>
        <w:t>.</w:t>
      </w:r>
    </w:p>
    <w:p w:rsidR="00E37400" w:rsidRDefault="00000000">
      <w:pPr>
        <w:pStyle w:val="Bibliography"/>
      </w:pPr>
      <w:bookmarkStart w:id="44" w:name="ref-Banks_dErrico_Zilhao_2013"/>
      <w:bookmarkEnd w:id="43"/>
      <w:r>
        <w:t xml:space="preserve">[20] </w:t>
      </w:r>
      <w:r>
        <w:tab/>
        <w:t>Banks WE, d’Errico F, Zilhão J. Human–climate interaction during the Early Upper Paleolithic: Testing the hypothesis of an adaptive shift between the Proto-Aurignacian and the early Aurignacian. Journal of Human Evolution 2013;64:39–55. https://doi.org/</w:t>
      </w:r>
      <w:hyperlink r:id="rId27">
        <w:r>
          <w:rPr>
            <w:rStyle w:val="Hyperlink"/>
          </w:rPr>
          <w:t>https://doi.org/10.1016/j.jhevol.2012.10.001</w:t>
        </w:r>
      </w:hyperlink>
      <w:r>
        <w:t>.</w:t>
      </w:r>
    </w:p>
    <w:p w:rsidR="00E37400" w:rsidRDefault="00000000">
      <w:pPr>
        <w:pStyle w:val="Bibliography"/>
      </w:pPr>
      <w:bookmarkStart w:id="45" w:name="X68cdd7ba62fc5dd3e1e9b497937717305f7b9a0"/>
      <w:bookmarkEnd w:id="44"/>
      <w:r>
        <w:t xml:space="preserve">[21] </w:t>
      </w:r>
      <w:r>
        <w:tab/>
        <w:t>Shao Y, Limberg H, Klein K, Wegener C, Schmidt I, Weniger G-C, et al. Human-existence probability of the Aurignacian techno-complex under extreme climate conditions. Quaternary Science Reviews 2021;263:106995. https://doi.org/</w:t>
      </w:r>
      <w:hyperlink r:id="rId28">
        <w:r>
          <w:rPr>
            <w:rStyle w:val="Hyperlink"/>
          </w:rPr>
          <w:t>https://doi.org/10.1016/j.quascirev.2021.106995</w:t>
        </w:r>
      </w:hyperlink>
      <w:r>
        <w:t>.</w:t>
      </w:r>
    </w:p>
    <w:p w:rsidR="00E37400" w:rsidRDefault="00000000">
      <w:pPr>
        <w:pStyle w:val="Bibliography"/>
      </w:pPr>
      <w:bookmarkStart w:id="46" w:name="ref-Falcucci_Peresani_2017"/>
      <w:bookmarkEnd w:id="45"/>
      <w:r>
        <w:t xml:space="preserve">[22] </w:t>
      </w:r>
      <w:r>
        <w:tab/>
        <w:t xml:space="preserve">Falcucci A, Conard NJ, Peresani M. A critical assessment of the Protoaurignacian lithic technology at Fumane Cave and its implications for the definition of the earliest Aurignacian. PLoS ONE 2017;12:e0189241. </w:t>
      </w:r>
      <w:hyperlink r:id="rId29">
        <w:r>
          <w:rPr>
            <w:rStyle w:val="Hyperlink"/>
          </w:rPr>
          <w:t>https://doi.org/10.1371/journal.pone.0189241</w:t>
        </w:r>
      </w:hyperlink>
      <w:r>
        <w:t>.</w:t>
      </w:r>
    </w:p>
    <w:p w:rsidR="00E37400" w:rsidRDefault="00000000">
      <w:pPr>
        <w:pStyle w:val="Bibliography"/>
      </w:pPr>
      <w:bookmarkStart w:id="47" w:name="ref-Bataille_Conard_2019"/>
      <w:bookmarkEnd w:id="46"/>
      <w:r>
        <w:t xml:space="preserve">[23] </w:t>
      </w:r>
      <w:r>
        <w:tab/>
        <w:t xml:space="preserve">Bataille G, Conard NJ. Burin-core technology in Aurignacian horizons IIIa and IV of Hohle Fels cave (Southwestern Germany). Quartär 2018;65:7–30. </w:t>
      </w:r>
      <w:hyperlink r:id="rId30">
        <w:r>
          <w:rPr>
            <w:rStyle w:val="Hyperlink"/>
          </w:rPr>
          <w:t>https://doi.org/10.7485/QU65_1</w:t>
        </w:r>
      </w:hyperlink>
      <w:r>
        <w:t>.</w:t>
      </w:r>
    </w:p>
    <w:p w:rsidR="00E37400" w:rsidRDefault="00000000">
      <w:pPr>
        <w:pStyle w:val="Bibliography"/>
      </w:pPr>
      <w:bookmarkStart w:id="48" w:name="ref-Chiotti_2005"/>
      <w:bookmarkEnd w:id="47"/>
      <w:r>
        <w:t xml:space="preserve">[24] </w:t>
      </w:r>
      <w:r>
        <w:tab/>
        <w:t>Chiotti L. Les industries lithiques aurignaciennes de l’abri Pataud. Oxford: Archaeopress; 2005.</w:t>
      </w:r>
    </w:p>
    <w:p w:rsidR="00E37400" w:rsidRDefault="00000000">
      <w:pPr>
        <w:pStyle w:val="Bibliography"/>
      </w:pPr>
      <w:bookmarkStart w:id="49" w:name="ref-Higham_Abri_Pataud_2011"/>
      <w:bookmarkEnd w:id="48"/>
      <w:r>
        <w:t xml:space="preserve">[25] </w:t>
      </w:r>
      <w:r>
        <w:tab/>
        <w:t xml:space="preserve">Higham TFG, Jacobi RM, Julien C, Ramsey CB, Studenik C, Trinkaus E. The earliest evidence for anatomically modern humans in northwestern Europe. Journal of Human Evolution 2011;61:549–63. </w:t>
      </w:r>
      <w:hyperlink r:id="rId31">
        <w:r>
          <w:rPr>
            <w:rStyle w:val="Hyperlink"/>
          </w:rPr>
          <w:t>https://doi.org/10.1016/j.jhevol.2011.06.001</w:t>
        </w:r>
      </w:hyperlink>
      <w:r>
        <w:t>.</w:t>
      </w:r>
    </w:p>
    <w:p w:rsidR="00E37400" w:rsidRDefault="00000000">
      <w:pPr>
        <w:pStyle w:val="Bibliography"/>
      </w:pPr>
      <w:bookmarkStart w:id="50" w:name="ref-Talamo_La_Ferrassie_2020"/>
      <w:bookmarkEnd w:id="49"/>
      <w:r>
        <w:t xml:space="preserve">[26] </w:t>
      </w:r>
      <w:r>
        <w:tab/>
        <w:t>Talamo S, Aldeias V, Goldberg P, Chiotti L, Dibble HL, Guérin G, et al. The new 14C chronology for the palaeolithic site of La Ferrassie, France: The disappearance of Neanderthals and the arrival of Homo sapiens in France. Journal of Quaternary Science 2020;35:961–73. https://doi.org/</w:t>
      </w:r>
      <w:hyperlink r:id="rId32">
        <w:r>
          <w:rPr>
            <w:rStyle w:val="Hyperlink"/>
          </w:rPr>
          <w:t>https://doi.org/10.1002/jqs.3236</w:t>
        </w:r>
      </w:hyperlink>
      <w:r>
        <w:t>.</w:t>
      </w:r>
    </w:p>
    <w:p w:rsidR="00E37400" w:rsidRDefault="00000000">
      <w:pPr>
        <w:pStyle w:val="Bibliography"/>
      </w:pPr>
      <w:bookmarkStart w:id="51" w:name="ref-Oliva_2006"/>
      <w:bookmarkEnd w:id="50"/>
      <w:r>
        <w:t xml:space="preserve">[27] </w:t>
      </w:r>
      <w:r>
        <w:tab/>
        <w:t xml:space="preserve">Oliva M. The upper paleolithic finds from the Mladeč Cave. In: Teschler-Nicola M, editor. Early modern humans at the Moravian Gate: The Mladeč Caves and their remains, Vienna: Springer; 2006, p. 41–74. </w:t>
      </w:r>
      <w:hyperlink r:id="rId33">
        <w:r>
          <w:rPr>
            <w:rStyle w:val="Hyperlink"/>
          </w:rPr>
          <w:t>https://doi.org/10.1007/978-3-211-49294-9_4</w:t>
        </w:r>
      </w:hyperlink>
      <w:r>
        <w:t>.</w:t>
      </w:r>
    </w:p>
    <w:p w:rsidR="00E37400" w:rsidRDefault="00000000">
      <w:pPr>
        <w:pStyle w:val="Bibliography"/>
      </w:pPr>
      <w:bookmarkStart w:id="52" w:name="ref-Bataille_Conard_2018"/>
      <w:bookmarkEnd w:id="51"/>
      <w:r>
        <w:t xml:space="preserve">[28] </w:t>
      </w:r>
      <w:r>
        <w:tab/>
        <w:t xml:space="preserve">Bataille G, Conard NJ. Blade and bladelet production at Hohle Fels Cave, AH IV in the Swabian Jura and its importance for characterizing the technological variability of the Aurignacian in Central Europe. PLoS ONE 2018;13:e0194097. </w:t>
      </w:r>
      <w:hyperlink r:id="rId34">
        <w:r>
          <w:rPr>
            <w:rStyle w:val="Hyperlink"/>
          </w:rPr>
          <w:t>https://doi.org/10.1371/journal.pone.0194097</w:t>
        </w:r>
      </w:hyperlink>
      <w:r>
        <w:t>.</w:t>
      </w:r>
    </w:p>
    <w:p w:rsidR="00E37400" w:rsidRDefault="00000000">
      <w:pPr>
        <w:pStyle w:val="Bibliography"/>
      </w:pPr>
      <w:bookmarkStart w:id="53" w:name="ref-Flas_et_al_2013"/>
      <w:bookmarkEnd w:id="52"/>
      <w:r>
        <w:t xml:space="preserve">[29] </w:t>
      </w:r>
      <w:r>
        <w:tab/>
        <w:t xml:space="preserve">Flas D, Tartar É, Bordes J-G, Le Brun-Ricalens F, Zwyns N. New perspectives on the Aurignacian from Spy: Lithic assemblage, osseous artefacts and chronocultural sequence. In: Rougier H, Semal P, editors. Spy cave. 125 years of multidisciplinary research at the Betche aux Rotches (Jemeppe-sur-Sambre, province of Namur, Belgium), volume 1, vol. </w:t>
      </w:r>
      <w:r>
        <w:lastRenderedPageBreak/>
        <w:t>123/2012, Royal Belgian Institute of Natural Sciences, Royal Belgian Society of Anthropology; Prehistory,; NESPOS Society; 2013, p. 231–55.</w:t>
      </w:r>
    </w:p>
    <w:p w:rsidR="00E37400" w:rsidRDefault="00000000">
      <w:pPr>
        <w:pStyle w:val="Bibliography"/>
      </w:pPr>
      <w:bookmarkStart w:id="54" w:name="ref-Flas_2015"/>
      <w:bookmarkEnd w:id="53"/>
      <w:r>
        <w:t xml:space="preserve">[30] </w:t>
      </w:r>
      <w:r>
        <w:tab/>
        <w:t xml:space="preserve">Flas D. The chronocultural sequence of Belgian complexes in the European Aurignacian context. In: White R, Bourrillon R, editors. Aurignacian genius: Art, technology and society of the first modern humans in Europe, vol. 7, Paleothnology, Toulouse; 2015, p. 57–75. </w:t>
      </w:r>
      <w:hyperlink r:id="rId35">
        <w:r>
          <w:rPr>
            <w:rStyle w:val="Hyperlink"/>
          </w:rPr>
          <w:t>https://doi.org/10.4000/palethnologie.736</w:t>
        </w:r>
      </w:hyperlink>
      <w:r>
        <w:t>.</w:t>
      </w:r>
    </w:p>
    <w:p w:rsidR="00E37400" w:rsidRDefault="00000000">
      <w:pPr>
        <w:pStyle w:val="Bibliography"/>
      </w:pPr>
      <w:bookmarkStart w:id="55" w:name="ref-Schurch_Conard_2026_reassess"/>
      <w:bookmarkEnd w:id="54"/>
      <w:r>
        <w:t xml:space="preserve">[31] </w:t>
      </w:r>
      <w:r>
        <w:tab/>
        <w:t xml:space="preserve">Schürch B, Conard NJ. Reassessing the Aurignacian, Gravettian and Magdalenian at Vogelherd cave. Journal of Paleolithic Archaeology 2026;9. </w:t>
      </w:r>
      <w:hyperlink r:id="rId36">
        <w:r>
          <w:rPr>
            <w:rStyle w:val="Hyperlink"/>
          </w:rPr>
          <w:t>https://doi.org/10.1007/s41982-025-00246-x</w:t>
        </w:r>
      </w:hyperlink>
      <w:r>
        <w:t>.</w:t>
      </w:r>
    </w:p>
    <w:p w:rsidR="00E37400" w:rsidRDefault="00000000">
      <w:pPr>
        <w:pStyle w:val="Bibliography"/>
      </w:pPr>
      <w:bookmarkStart w:id="56" w:name="ref-Fletcher_Sánchez"/>
      <w:bookmarkEnd w:id="55"/>
      <w:r>
        <w:t xml:space="preserve">[32] </w:t>
      </w:r>
      <w:r>
        <w:tab/>
        <w:t xml:space="preserve">Fletcher WJ, Sánchez Goñi MF, Allen JRM, Cheddadi R, Combourieu-Nebout N, Huntley B, et al. Millennial-scale variability during the last glacial in vegetation records from Europe. Quaternary Science Reviews 2010;29:2839–64. </w:t>
      </w:r>
      <w:hyperlink r:id="rId37">
        <w:r>
          <w:rPr>
            <w:rStyle w:val="Hyperlink"/>
          </w:rPr>
          <w:t>https://doi.org/10.1016/j.quascirev.2009.11.015</w:t>
        </w:r>
      </w:hyperlink>
      <w:r>
        <w:t>.</w:t>
      </w:r>
    </w:p>
    <w:p w:rsidR="00E37400" w:rsidRDefault="00000000">
      <w:pPr>
        <w:pStyle w:val="Bibliography"/>
      </w:pPr>
      <w:bookmarkStart w:id="57" w:name="ref-rnaturalearth"/>
      <w:bookmarkEnd w:id="56"/>
      <w:r>
        <w:t xml:space="preserve">[33] </w:t>
      </w:r>
      <w:r>
        <w:tab/>
        <w:t xml:space="preserve">Massicotte P, South A. </w:t>
      </w:r>
      <w:hyperlink r:id="rId38">
        <w:r>
          <w:rPr>
            <w:rStyle w:val="Hyperlink"/>
          </w:rPr>
          <w:t>Rnaturalearth: World map data from natural earth</w:t>
        </w:r>
      </w:hyperlink>
      <w:r>
        <w:t>. 2026.</w:t>
      </w:r>
    </w:p>
    <w:p w:rsidR="00E37400" w:rsidRDefault="00000000">
      <w:pPr>
        <w:pStyle w:val="Bibliography"/>
      </w:pPr>
      <w:bookmarkStart w:id="58" w:name="ref-Crema_Bevan_2021"/>
      <w:bookmarkEnd w:id="57"/>
      <w:r>
        <w:t xml:space="preserve">[34] </w:t>
      </w:r>
      <w:r>
        <w:tab/>
        <w:t xml:space="preserve">Crema ER, Bevan A. INFERENCE FROM LARGE SETS OF RADIOCARBON DATES: SOFTWARE AND METHODS. Radiocarbon 2021;63:23–39. </w:t>
      </w:r>
      <w:hyperlink r:id="rId39">
        <w:r>
          <w:rPr>
            <w:rStyle w:val="Hyperlink"/>
          </w:rPr>
          <w:t>https://doi.org/10.1017/RDC.2020.95</w:t>
        </w:r>
      </w:hyperlink>
      <w:r>
        <w:t>.</w:t>
      </w:r>
    </w:p>
    <w:p w:rsidR="00E37400" w:rsidRDefault="00000000">
      <w:pPr>
        <w:pStyle w:val="Bibliography"/>
      </w:pPr>
      <w:bookmarkStart w:id="59" w:name="ref-Lycett_2019"/>
      <w:bookmarkEnd w:id="58"/>
      <w:r>
        <w:t xml:space="preserve">[35] </w:t>
      </w:r>
      <w:r>
        <w:tab/>
        <w:t xml:space="preserve">Lycett SJ. Confirmation of the role of geographic isolation by distance in among-tribe variations in beadwork designs and manufacture on the High Plains. Archaeological and Anthropological Sciences 2019;11:2837–47. </w:t>
      </w:r>
      <w:hyperlink r:id="rId40">
        <w:r>
          <w:rPr>
            <w:rStyle w:val="Hyperlink"/>
          </w:rPr>
          <w:t>https://doi.org/10.1007/s12520-018-0742-3</w:t>
        </w:r>
      </w:hyperlink>
      <w:r>
        <w:t>.</w:t>
      </w:r>
    </w:p>
    <w:p w:rsidR="00E37400" w:rsidRDefault="00000000">
      <w:pPr>
        <w:pStyle w:val="Bibliography"/>
      </w:pPr>
      <w:bookmarkStart w:id="60" w:name="ref-Mantel_Smouse"/>
      <w:bookmarkEnd w:id="59"/>
      <w:r>
        <w:t xml:space="preserve">[36] </w:t>
      </w:r>
      <w:r>
        <w:tab/>
        <w:t>Smouse PE, Long JC. Matrix correlation analysis in anthropology and genetics. American Journal of Physical Anthropology 1992;35:187–213. https://doi.org/</w:t>
      </w:r>
      <w:hyperlink r:id="rId41">
        <w:r>
          <w:rPr>
            <w:rStyle w:val="Hyperlink"/>
          </w:rPr>
          <w:t>https://doi.org/10.1002/ajpa.1330350608</w:t>
        </w:r>
      </w:hyperlink>
      <w:r>
        <w:t>.</w:t>
      </w:r>
    </w:p>
    <w:p w:rsidR="00E37400" w:rsidRDefault="00000000">
      <w:pPr>
        <w:pStyle w:val="Bibliography"/>
      </w:pPr>
      <w:bookmarkStart w:id="61" w:name="ref-Vegan2001"/>
      <w:bookmarkEnd w:id="60"/>
      <w:r>
        <w:t xml:space="preserve">[37] </w:t>
      </w:r>
      <w:r>
        <w:tab/>
        <w:t xml:space="preserve">Oksanen J, Simpson GL, Blanchet FG, Kindt R, Legendre P, Minchin PR, et al. Vegan: Community ecology package 2001:25–31. </w:t>
      </w:r>
      <w:hyperlink r:id="rId42">
        <w:r>
          <w:rPr>
            <w:rStyle w:val="Hyperlink"/>
          </w:rPr>
          <w:t>https://doi.org/10.32614/CRAN.package.vegan</w:t>
        </w:r>
      </w:hyperlink>
      <w:r>
        <w:t>.</w:t>
      </w:r>
    </w:p>
    <w:p w:rsidR="00E37400" w:rsidRDefault="00000000">
      <w:pPr>
        <w:pStyle w:val="Bibliography"/>
      </w:pPr>
      <w:bookmarkStart w:id="62" w:name="ref-Rigaud_dErrico_Vanhaeren_2015"/>
      <w:bookmarkEnd w:id="61"/>
      <w:r>
        <w:t xml:space="preserve">[38] </w:t>
      </w:r>
      <w:r>
        <w:tab/>
        <w:t xml:space="preserve">Rigaud S, d’Errico F, Vanhaeren M. Ornaments reveal resistance of North European cultures to the spread of farming. PLOS ONE 2015;10:e0121166. </w:t>
      </w:r>
      <w:hyperlink r:id="rId43">
        <w:r>
          <w:rPr>
            <w:rStyle w:val="Hyperlink"/>
          </w:rPr>
          <w:t>https://doi.org/10.1371/journal.pone.0121166</w:t>
        </w:r>
      </w:hyperlink>
      <w:r>
        <w:t>.</w:t>
      </w:r>
    </w:p>
    <w:p w:rsidR="00E37400" w:rsidRDefault="00000000">
      <w:pPr>
        <w:pStyle w:val="Bibliography"/>
      </w:pPr>
      <w:bookmarkStart w:id="63" w:name="ref-seriation_pckge"/>
      <w:bookmarkEnd w:id="62"/>
      <w:r>
        <w:t xml:space="preserve">[39] </w:t>
      </w:r>
      <w:r>
        <w:tab/>
        <w:t xml:space="preserve">Hahsler M, Hornik K, Buchta C. Getting things in order: An introduction to the r package seriation. Journal of Statistical Software 2008;25:1–34. </w:t>
      </w:r>
      <w:hyperlink r:id="rId44">
        <w:r>
          <w:rPr>
            <w:rStyle w:val="Hyperlink"/>
          </w:rPr>
          <w:t>https://doi.org/10.18637/jss.v025.i03</w:t>
        </w:r>
      </w:hyperlink>
      <w:r>
        <w:t>.</w:t>
      </w:r>
    </w:p>
    <w:p w:rsidR="00E37400" w:rsidRDefault="00000000">
      <w:pPr>
        <w:pStyle w:val="Bibliography"/>
      </w:pPr>
      <w:bookmarkStart w:id="64" w:name="ref-Brower_Kile_1988"/>
      <w:bookmarkEnd w:id="63"/>
      <w:r>
        <w:t xml:space="preserve">[40] </w:t>
      </w:r>
      <w:r>
        <w:tab/>
        <w:t xml:space="preserve">Brower JC, Kile KM. Seriation of an original data matrix as applied to paleoecology. Lethaia 1988;21:79–93. </w:t>
      </w:r>
      <w:hyperlink r:id="rId45">
        <w:r>
          <w:rPr>
            <w:rStyle w:val="Hyperlink"/>
          </w:rPr>
          <w:t>https://doi.org/10.1111/j.1502-3931.1988.tb01756.x</w:t>
        </w:r>
      </w:hyperlink>
      <w:r>
        <w:t>.</w:t>
      </w:r>
    </w:p>
    <w:p w:rsidR="00E37400" w:rsidRDefault="00000000">
      <w:pPr>
        <w:pStyle w:val="Bibliography"/>
      </w:pPr>
      <w:bookmarkStart w:id="65" w:name="ref-Mills_2017"/>
      <w:bookmarkEnd w:id="64"/>
      <w:r>
        <w:t xml:space="preserve">[41] </w:t>
      </w:r>
      <w:r>
        <w:tab/>
        <w:t xml:space="preserve">Mills BJ. Social network analysis in archaeology. Annual Review of Anthropology 2017;46:379–97. </w:t>
      </w:r>
      <w:hyperlink r:id="rId46">
        <w:r>
          <w:rPr>
            <w:rStyle w:val="Hyperlink"/>
          </w:rPr>
          <w:t>https://doi.org/10.1146/annurev-anthro-102116-041423</w:t>
        </w:r>
      </w:hyperlink>
      <w:r>
        <w:t>.</w:t>
      </w:r>
    </w:p>
    <w:p w:rsidR="00E37400" w:rsidRDefault="00000000">
      <w:pPr>
        <w:pStyle w:val="Bibliography"/>
      </w:pPr>
      <w:bookmarkStart w:id="66" w:name="ref-Fruchterman_Reingold_1991"/>
      <w:bookmarkEnd w:id="65"/>
      <w:r>
        <w:lastRenderedPageBreak/>
        <w:t xml:space="preserve">[42] </w:t>
      </w:r>
      <w:r>
        <w:tab/>
        <w:t xml:space="preserve">Fruchterman TMJ, Reingold EM. Graph drawing by force-directed placement. Software: Practice and Experience 1991;21:1129–64. </w:t>
      </w:r>
      <w:hyperlink r:id="rId47">
        <w:r>
          <w:rPr>
            <w:rStyle w:val="Hyperlink"/>
          </w:rPr>
          <w:t>https://doi.org/10.1002/spe.4380211102</w:t>
        </w:r>
      </w:hyperlink>
      <w:r>
        <w:t>.</w:t>
      </w:r>
    </w:p>
    <w:p w:rsidR="00E37400" w:rsidRDefault="00000000">
      <w:pPr>
        <w:pStyle w:val="Bibliography"/>
      </w:pPr>
      <w:bookmarkStart w:id="67" w:name="ref-statnet_package"/>
      <w:bookmarkEnd w:id="66"/>
      <w:r>
        <w:t xml:space="preserve">[43] </w:t>
      </w:r>
      <w:r>
        <w:tab/>
        <w:t xml:space="preserve">Pavel N. Krivitsky MSH, Hunter DR, Butts CT, Bojanowski M, Klumb C, Goodreau SM, et al. </w:t>
      </w:r>
      <w:hyperlink r:id="rId48">
        <w:r>
          <w:rPr>
            <w:rStyle w:val="Hyperlink"/>
          </w:rPr>
          <w:t>Statnet: Tools for the statistical modeling of network data</w:t>
        </w:r>
      </w:hyperlink>
      <w:r>
        <w:t xml:space="preserve"> 2003–2024.</w:t>
      </w:r>
    </w:p>
    <w:p w:rsidR="00E37400" w:rsidRDefault="00000000">
      <w:pPr>
        <w:pStyle w:val="Bibliography"/>
      </w:pPr>
      <w:bookmarkStart w:id="68" w:name="ref-igraph_package"/>
      <w:bookmarkEnd w:id="67"/>
      <w:r>
        <w:t xml:space="preserve">[44] </w:t>
      </w:r>
      <w:r>
        <w:tab/>
        <w:t xml:space="preserve">Csardi G, Nepusz T. </w:t>
      </w:r>
      <w:hyperlink r:id="rId49">
        <w:r>
          <w:rPr>
            <w:rStyle w:val="Hyperlink"/>
          </w:rPr>
          <w:t>The igraph software package for complex network research</w:t>
        </w:r>
      </w:hyperlink>
      <w:r>
        <w:t>. InterJournal 2006;Complex Systems:1695.</w:t>
      </w:r>
    </w:p>
    <w:p w:rsidR="00E37400" w:rsidRDefault="00000000">
      <w:pPr>
        <w:pStyle w:val="Bibliography"/>
      </w:pPr>
      <w:bookmarkStart w:id="69" w:name="ref-Anderson_2017"/>
      <w:bookmarkEnd w:id="68"/>
      <w:r>
        <w:t xml:space="preserve">[45] </w:t>
      </w:r>
      <w:r>
        <w:tab/>
        <w:t xml:space="preserve">Anderson MJ. Permutational multivariate analysis of variance (PERMANOVA). Wiley StatsRef: Statistics reference online, John Wiley &amp; Sons, Ltd; 2017, p. 1–15. </w:t>
      </w:r>
      <w:hyperlink r:id="rId50">
        <w:r>
          <w:rPr>
            <w:rStyle w:val="Hyperlink"/>
          </w:rPr>
          <w:t>https://doi.org/10.1002/9781118445112.stat07841</w:t>
        </w:r>
      </w:hyperlink>
      <w:r>
        <w:t>.</w:t>
      </w:r>
    </w:p>
    <w:p w:rsidR="00E37400" w:rsidRDefault="00000000">
      <w:pPr>
        <w:pStyle w:val="Bibliography"/>
      </w:pPr>
      <w:bookmarkStart w:id="70" w:name="ref-Shennan_Crema_Kerig_2015"/>
      <w:bookmarkEnd w:id="69"/>
      <w:r>
        <w:t xml:space="preserve">[46] </w:t>
      </w:r>
      <w:r>
        <w:tab/>
        <w:t xml:space="preserve">Shennan SJ, Crema ER, Kerig T. Isolation-by-distance, homophily, and “core” vs. “Package” cultural evolution models in Neolithic Europe. Evolution and Human Behavior 2015;36:103–9. </w:t>
      </w:r>
      <w:hyperlink r:id="rId51">
        <w:r>
          <w:rPr>
            <w:rStyle w:val="Hyperlink"/>
          </w:rPr>
          <w:t>https://doi.org/10.1016/j.evolhumbehav.2014.09.006</w:t>
        </w:r>
      </w:hyperlink>
      <w:r>
        <w:t>.</w:t>
      </w:r>
    </w:p>
    <w:p w:rsidR="00E37400" w:rsidRDefault="00000000">
      <w:pPr>
        <w:pStyle w:val="Bibliography"/>
      </w:pPr>
      <w:bookmarkStart w:id="71" w:name="ref-Marwick2017"/>
      <w:bookmarkEnd w:id="70"/>
      <w:r>
        <w:t xml:space="preserve">[47] </w:t>
      </w:r>
      <w:r>
        <w:tab/>
        <w:t xml:space="preserve">Marwick B. Computational reproducibility in archaeological research: Basic principles and a case study of their implementation. Journal of Archaeological Method and Theory 2017;24:424–50. </w:t>
      </w:r>
      <w:hyperlink r:id="rId52">
        <w:r>
          <w:rPr>
            <w:rStyle w:val="Hyperlink"/>
          </w:rPr>
          <w:t>https://doi.org/10.1007/s10816-015-9272-9</w:t>
        </w:r>
      </w:hyperlink>
      <w:r>
        <w:t>.</w:t>
      </w:r>
    </w:p>
    <w:p w:rsidR="00E37400" w:rsidRDefault="00000000">
      <w:pPr>
        <w:pStyle w:val="Bibliography"/>
      </w:pPr>
      <w:bookmarkStart w:id="72" w:name="ref-Marwick_2025"/>
      <w:bookmarkEnd w:id="71"/>
      <w:r>
        <w:t xml:space="preserve">[48] </w:t>
      </w:r>
      <w:r>
        <w:tab/>
        <w:t xml:space="preserve">Marwick B. Is archaeology a science? Insights and imperatives from 10,000 articles and a year of reproducibility reviews. Journal of Archaeological Science 2025;180:106281. </w:t>
      </w:r>
      <w:hyperlink r:id="rId53">
        <w:r>
          <w:rPr>
            <w:rStyle w:val="Hyperlink"/>
          </w:rPr>
          <w:t>https://doi.org/10.1016/j.jas.2025.106281</w:t>
        </w:r>
      </w:hyperlink>
      <w:r>
        <w:t>.</w:t>
      </w:r>
    </w:p>
    <w:p w:rsidR="00E37400" w:rsidRDefault="00000000">
      <w:pPr>
        <w:pStyle w:val="Bibliography"/>
      </w:pPr>
      <w:bookmarkStart w:id="73" w:name="ref-Finlayson_Warren_2017"/>
      <w:bookmarkEnd w:id="72"/>
      <w:r>
        <w:t xml:space="preserve">[49] </w:t>
      </w:r>
      <w:r>
        <w:tab/>
        <w:t xml:space="preserve">Finlayson B, Warren G. </w:t>
      </w:r>
      <w:hyperlink r:id="rId54">
        <w:r>
          <w:rPr>
            <w:rStyle w:val="Hyperlink"/>
          </w:rPr>
          <w:t>The diversity of hunter-gatherer pasts: An introduction</w:t>
        </w:r>
      </w:hyperlink>
      <w:r>
        <w:t>. In: Finlayson B, Warren G, editors. The diversity of hunter gatherer pasts. 1st ed., Oxbow Books; 2017, p. 1–14.</w:t>
      </w:r>
    </w:p>
    <w:p w:rsidR="00E37400" w:rsidRDefault="00000000">
      <w:pPr>
        <w:pStyle w:val="Bibliography"/>
      </w:pPr>
      <w:bookmarkStart w:id="74" w:name="ref-Riches_1995"/>
      <w:bookmarkEnd w:id="73"/>
      <w:r>
        <w:t xml:space="preserve">[50] </w:t>
      </w:r>
      <w:r>
        <w:tab/>
        <w:t xml:space="preserve">Riches D. Hunter-gatherer structural transformations. The Journal of the Royal Anthropological Institute 1995;1:679–701. </w:t>
      </w:r>
      <w:hyperlink r:id="rId55">
        <w:r>
          <w:rPr>
            <w:rStyle w:val="Hyperlink"/>
          </w:rPr>
          <w:t>https://doi.org/10.2307/3034956</w:t>
        </w:r>
      </w:hyperlink>
      <w:r>
        <w:t>.</w:t>
      </w:r>
    </w:p>
    <w:p w:rsidR="00E37400" w:rsidRDefault="00000000">
      <w:pPr>
        <w:pStyle w:val="Bibliography"/>
      </w:pPr>
      <w:bookmarkStart w:id="75" w:name="ref-Price_Brown_1985"/>
      <w:bookmarkEnd w:id="74"/>
      <w:r>
        <w:t xml:space="preserve">[51] </w:t>
      </w:r>
      <w:r>
        <w:tab/>
        <w:t>Price TD, Brown JA. Aspects of hunter–gatherer complexity. In: Price TD, Brown JA, editors. Prehistoric hunters-gatherers, Academic Press; 1985, p. 3–20. https://doi.org/</w:t>
      </w:r>
      <w:hyperlink r:id="rId56">
        <w:r>
          <w:rPr>
            <w:rStyle w:val="Hyperlink"/>
          </w:rPr>
          <w:t>https://doi.org/10.1016/B978-0-12-564750-2.50006-8</w:t>
        </w:r>
      </w:hyperlink>
      <w:r>
        <w:t>.</w:t>
      </w:r>
    </w:p>
    <w:p w:rsidR="00E37400" w:rsidRDefault="00000000">
      <w:pPr>
        <w:pStyle w:val="Bibliography"/>
      </w:pPr>
      <w:bookmarkStart w:id="76" w:name="ref-Lane_2017"/>
      <w:bookmarkEnd w:id="75"/>
      <w:r>
        <w:t xml:space="preserve">[52] </w:t>
      </w:r>
      <w:r>
        <w:tab/>
        <w:t xml:space="preserve">Lane PJ. </w:t>
      </w:r>
      <w:hyperlink r:id="rId57">
        <w:r>
          <w:rPr>
            <w:rStyle w:val="Hyperlink"/>
          </w:rPr>
          <w:t>Archaeological dimensions of past and present hunter-fisher-gatherer diversity</w:t>
        </w:r>
      </w:hyperlink>
      <w:r>
        <w:t>. In: Finlayson B, Warren G, editors. The diversity of hunter gatherer pasts. 1st ed., Oxbow Books; 2017, p. 185–96.</w:t>
      </w:r>
    </w:p>
    <w:p w:rsidR="00E37400" w:rsidRDefault="00000000">
      <w:pPr>
        <w:pStyle w:val="Bibliography"/>
      </w:pPr>
      <w:bookmarkStart w:id="77" w:name="ref-Pate_2006"/>
      <w:bookmarkEnd w:id="76"/>
      <w:r>
        <w:t xml:space="preserve">[53] </w:t>
      </w:r>
      <w:r>
        <w:tab/>
        <w:t>Pate F. Hunter-gatherer social complexity at roonka flat, south australia. The social archaeology of Australian Indigenous societies, Aboriginal Studies Press; 2006, p. 226–41.</w:t>
      </w:r>
    </w:p>
    <w:p w:rsidR="00E37400" w:rsidRDefault="00000000">
      <w:pPr>
        <w:pStyle w:val="Bibliography"/>
      </w:pPr>
      <w:bookmarkStart w:id="78" w:name="ref-Johnson_2014"/>
      <w:bookmarkEnd w:id="77"/>
      <w:r>
        <w:t xml:space="preserve">[54] </w:t>
      </w:r>
      <w:r>
        <w:tab/>
        <w:t xml:space="preserve">Johnson AL. Exploring adaptive variation among hunter-gatherers with binford’s frames of reference. Journal of Archaeological Research 2014;22:1–42. </w:t>
      </w:r>
      <w:hyperlink r:id="rId58">
        <w:r>
          <w:rPr>
            <w:rStyle w:val="Hyperlink"/>
          </w:rPr>
          <w:t>https://doi.org/10.1007/s10814-013-9068-y</w:t>
        </w:r>
      </w:hyperlink>
      <w:r>
        <w:t>.</w:t>
      </w:r>
    </w:p>
    <w:p w:rsidR="00E37400" w:rsidRDefault="00000000">
      <w:pPr>
        <w:pStyle w:val="Bibliography"/>
      </w:pPr>
      <w:bookmarkStart w:id="79" w:name="ref-Singh_Glowacki_2022"/>
      <w:bookmarkEnd w:id="78"/>
      <w:r>
        <w:lastRenderedPageBreak/>
        <w:t xml:space="preserve">[55] </w:t>
      </w:r>
      <w:r>
        <w:tab/>
        <w:t>Singh M, Glowacki L. Human social organization during the Late Pleistocene: Beyond the nomadic-egalitarian model. Evolution and Human Behavior 2022;43:418–31. https://doi.org/</w:t>
      </w:r>
      <w:hyperlink r:id="rId59">
        <w:r>
          <w:rPr>
            <w:rStyle w:val="Hyperlink"/>
          </w:rPr>
          <w:t>https://doi.org/10.1016/j.evolhumbehav.2022.07.003</w:t>
        </w:r>
      </w:hyperlink>
      <w:r>
        <w:t>.</w:t>
      </w:r>
    </w:p>
    <w:p w:rsidR="00E37400" w:rsidRDefault="00000000">
      <w:pPr>
        <w:pStyle w:val="Bibliography"/>
      </w:pPr>
      <w:bookmarkStart w:id="80" w:name="ref-Schwendler_2012"/>
      <w:bookmarkEnd w:id="79"/>
      <w:r>
        <w:t xml:space="preserve">[56] </w:t>
      </w:r>
      <w:r>
        <w:tab/>
        <w:t>Schwendler RH. Diversity in social organization across Magdalenian Western Europe ca. 17–12,000 BP. Quaternary International 2012;272–273:333–53. https://doi.org/</w:t>
      </w:r>
      <w:hyperlink r:id="rId60">
        <w:r>
          <w:rPr>
            <w:rStyle w:val="Hyperlink"/>
          </w:rPr>
          <w:t>https://doi.org/10.1016/j.quaint.2012.03.054</w:t>
        </w:r>
      </w:hyperlink>
      <w:r>
        <w:t>.</w:t>
      </w:r>
    </w:p>
    <w:p w:rsidR="00E37400" w:rsidRDefault="00000000">
      <w:pPr>
        <w:pStyle w:val="Bibliography"/>
      </w:pPr>
      <w:bookmarkStart w:id="81" w:name="ref-Morwood_1987"/>
      <w:bookmarkEnd w:id="80"/>
      <w:r>
        <w:t xml:space="preserve">[57] </w:t>
      </w:r>
      <w:r>
        <w:tab/>
        <w:t xml:space="preserve">Morwood MJ. The archaeology of social complexity in South-east Queensland. Proceedings of the Prehistoric Society 1987;53:337–50. </w:t>
      </w:r>
      <w:hyperlink r:id="rId61">
        <w:r>
          <w:rPr>
            <w:rStyle w:val="Hyperlink"/>
          </w:rPr>
          <w:t>https://doi.org/10.1017/S0079497X00006265</w:t>
        </w:r>
      </w:hyperlink>
      <w:r>
        <w:t>.</w:t>
      </w:r>
    </w:p>
    <w:p w:rsidR="00E37400" w:rsidRDefault="00000000">
      <w:pPr>
        <w:pStyle w:val="Bibliography"/>
      </w:pPr>
      <w:bookmarkStart w:id="82" w:name="ref-Mattson_2021"/>
      <w:bookmarkEnd w:id="81"/>
      <w:r>
        <w:t xml:space="preserve">[58] </w:t>
      </w:r>
      <w:r>
        <w:tab/>
        <w:t xml:space="preserve">Mattson HV. Personal adornment and identity construction in archaeology: In: Mattson HV, editor. Personal adornment and the construction of identity, Oxbow Books; 2021, p. 1–24. </w:t>
      </w:r>
      <w:hyperlink r:id="rId62">
        <w:r>
          <w:rPr>
            <w:rStyle w:val="Hyperlink"/>
          </w:rPr>
          <w:t>https://doi.org/10.2307/j.ctv24q4z2g.5</w:t>
        </w:r>
      </w:hyperlink>
      <w:r>
        <w:t>.</w:t>
      </w:r>
    </w:p>
    <w:p w:rsidR="00E37400" w:rsidRDefault="00000000">
      <w:pPr>
        <w:pStyle w:val="Bibliography"/>
      </w:pPr>
      <w:bookmarkStart w:id="83" w:name="ref-Larsson_2006"/>
      <w:bookmarkEnd w:id="82"/>
      <w:r>
        <w:t xml:space="preserve">[59] </w:t>
      </w:r>
      <w:r>
        <w:tab/>
        <w:t>Larsson L. A tooth for a tooth: Tooth ornaments from the graves at the cemeteries of zvejnieki. Back to the origin: New research in the mesolithic-Neolithic zvejnieki cemetery and environment, northern latvia, vol. 52, Almqvist &amp; Wiksell International; 2006, p. 253–87.</w:t>
      </w:r>
    </w:p>
    <w:p w:rsidR="00E37400" w:rsidRDefault="00000000">
      <w:pPr>
        <w:pStyle w:val="Bibliography"/>
      </w:pPr>
      <w:bookmarkStart w:id="84" w:name="ref-Moore_2010"/>
      <w:bookmarkEnd w:id="83"/>
      <w:r>
        <w:t xml:space="preserve">[60] </w:t>
      </w:r>
      <w:r>
        <w:tab/>
        <w:t xml:space="preserve">Moore CR. A macroscopic investigation of technological style and the production of middle to late archaic fishhooks at the chiggerville, read, and baker sites, western kentucky. Southeastern Archaeology 2010;29:197–221. </w:t>
      </w:r>
      <w:hyperlink r:id="rId63">
        <w:r>
          <w:rPr>
            <w:rStyle w:val="Hyperlink"/>
          </w:rPr>
          <w:t>https://doi.org/10.1179/sea.2010.29.1.013</w:t>
        </w:r>
      </w:hyperlink>
      <w:r>
        <w:t>.</w:t>
      </w:r>
    </w:p>
    <w:p w:rsidR="00E37400" w:rsidRDefault="00000000">
      <w:pPr>
        <w:pStyle w:val="Bibliography"/>
      </w:pPr>
      <w:bookmarkStart w:id="85" w:name="ref-Alfonso-Durrruty_Giles_Misarti2015"/>
      <w:bookmarkEnd w:id="84"/>
      <w:r>
        <w:t xml:space="preserve">[61] </w:t>
      </w:r>
      <w:r>
        <w:tab/>
        <w:t xml:space="preserve">Alfonso-Durrruty MP, Giles BT, Misarti N, San Roman M, Morello F. Antiquity and geographic distribution of cranial modification among the prehistoric groups of fuego-patagonia, chile. American Journal of Physical Anthropology 2015;158:607–23. </w:t>
      </w:r>
      <w:hyperlink r:id="rId64">
        <w:r>
          <w:rPr>
            <w:rStyle w:val="Hyperlink"/>
          </w:rPr>
          <w:t>https://doi.org/10.1002/ajpa.22832</w:t>
        </w:r>
      </w:hyperlink>
      <w:r>
        <w:t>.</w:t>
      </w:r>
    </w:p>
    <w:p w:rsidR="00E37400" w:rsidRDefault="00000000">
      <w:pPr>
        <w:pStyle w:val="Bibliography"/>
      </w:pPr>
      <w:bookmarkStart w:id="86" w:name="ref-Vanhaeren_2005"/>
      <w:bookmarkEnd w:id="85"/>
      <w:r>
        <w:t xml:space="preserve">[62] </w:t>
      </w:r>
      <w:r>
        <w:tab/>
        <w:t>Vanhaeren M. Speaking with beads: The evolutionary significance of personal ornaments. In: d’Errico F, Backwell L, editors. From tools to symbols: From early hominids to modern humans, Wits University Press; 2005, p. 525–54.</w:t>
      </w:r>
    </w:p>
    <w:p w:rsidR="00E37400" w:rsidRDefault="00000000">
      <w:pPr>
        <w:pStyle w:val="Bibliography"/>
      </w:pPr>
      <w:bookmarkStart w:id="87" w:name="ref-Conkey_1985"/>
      <w:bookmarkEnd w:id="86"/>
      <w:r>
        <w:t xml:space="preserve">[63] </w:t>
      </w:r>
      <w:r>
        <w:tab/>
        <w:t>Conkey M. Ritual communication, social elaboration, and the variable trajectories of Paleolithic material culture. In: Price TD, Brown JA, editors. Prehistoric hunters-gatherers, Academic Press; 1985, p. 299–323. https://doi.org/</w:t>
      </w:r>
      <w:hyperlink r:id="rId65">
        <w:r>
          <w:rPr>
            <w:rStyle w:val="Hyperlink"/>
          </w:rPr>
          <w:t>https://doi.org/10.1016/B978-0-12-564750-2.50016-0</w:t>
        </w:r>
      </w:hyperlink>
      <w:r>
        <w:t>.</w:t>
      </w:r>
    </w:p>
    <w:p w:rsidR="00E37400" w:rsidRDefault="00000000">
      <w:pPr>
        <w:pStyle w:val="Bibliography"/>
      </w:pPr>
      <w:bookmarkStart w:id="88" w:name="ref-Conkey_1978"/>
      <w:bookmarkEnd w:id="87"/>
      <w:r>
        <w:t xml:space="preserve">[64] </w:t>
      </w:r>
      <w:r>
        <w:tab/>
        <w:t>Conkey M. Style and information in cultural evolution: Toward a predictive model for the Paleolithic. Social archaeology: Beyond subsistence and dating, New York: Academic Press; 1978, p. 61–85.</w:t>
      </w:r>
    </w:p>
    <w:p w:rsidR="00E37400" w:rsidRDefault="00000000">
      <w:pPr>
        <w:pStyle w:val="Bibliography"/>
      </w:pPr>
      <w:bookmarkStart w:id="89" w:name="ref-Tilley_1982"/>
      <w:bookmarkEnd w:id="88"/>
      <w:r>
        <w:t xml:space="preserve">[65] </w:t>
      </w:r>
      <w:r>
        <w:tab/>
        <w:t xml:space="preserve">Tilley C. Social formation, social structures and social change. In: Hodder I, editor. Symbolic and structural archaeology, Cambridge: Cambridge University Press; 1982, p. 26–38. </w:t>
      </w:r>
      <w:hyperlink r:id="rId66">
        <w:r>
          <w:rPr>
            <w:rStyle w:val="Hyperlink"/>
          </w:rPr>
          <w:t>https://doi.org/10.1017/CBO9780511558252.004</w:t>
        </w:r>
      </w:hyperlink>
      <w:r>
        <w:t>.</w:t>
      </w:r>
    </w:p>
    <w:p w:rsidR="00E37400" w:rsidRDefault="00000000">
      <w:pPr>
        <w:pStyle w:val="Bibliography"/>
      </w:pPr>
      <w:bookmarkStart w:id="90" w:name="ref-Hodder1979"/>
      <w:bookmarkEnd w:id="89"/>
      <w:r>
        <w:lastRenderedPageBreak/>
        <w:t xml:space="preserve">[66] </w:t>
      </w:r>
      <w:r>
        <w:tab/>
        <w:t xml:space="preserve">Hodder I. </w:t>
      </w:r>
      <w:hyperlink r:id="rId67">
        <w:r>
          <w:rPr>
            <w:rStyle w:val="Hyperlink"/>
          </w:rPr>
          <w:t>Economic and social stress and material culture patterning</w:t>
        </w:r>
      </w:hyperlink>
      <w:r>
        <w:t>. American Antiquity 1979;44:446–54.</w:t>
      </w:r>
    </w:p>
    <w:p w:rsidR="00E37400" w:rsidRDefault="00000000">
      <w:pPr>
        <w:pStyle w:val="Bibliography"/>
      </w:pPr>
      <w:bookmarkStart w:id="91" w:name="ref-Hodder1977"/>
      <w:bookmarkEnd w:id="90"/>
      <w:r>
        <w:t xml:space="preserve">[67] </w:t>
      </w:r>
      <w:r>
        <w:tab/>
        <w:t xml:space="preserve">Hodder I. </w:t>
      </w:r>
      <w:hyperlink r:id="rId68">
        <w:r>
          <w:rPr>
            <w:rStyle w:val="Hyperlink"/>
          </w:rPr>
          <w:t>The distribution of material culture items in the baringo district, western kenya</w:t>
        </w:r>
      </w:hyperlink>
      <w:r>
        <w:t>. Man 1977;12:239–69.</w:t>
      </w:r>
    </w:p>
    <w:p w:rsidR="00E37400" w:rsidRDefault="00000000">
      <w:pPr>
        <w:pStyle w:val="Bibliography"/>
      </w:pPr>
      <w:bookmarkStart w:id="92" w:name="ref-Binford_1990"/>
      <w:bookmarkEnd w:id="91"/>
      <w:r>
        <w:t xml:space="preserve">[68] </w:t>
      </w:r>
      <w:r>
        <w:tab/>
        <w:t>Binford LR. Mobility, housing, and environment: A comparative study. Journal of Anthropological Research 1990;46:119–52.</w:t>
      </w:r>
    </w:p>
    <w:p w:rsidR="00E37400" w:rsidRDefault="00000000">
      <w:pPr>
        <w:pStyle w:val="Bibliography"/>
      </w:pPr>
      <w:bookmarkStart w:id="93" w:name="ref-Kelly_1983"/>
      <w:bookmarkEnd w:id="92"/>
      <w:r>
        <w:t xml:space="preserve">[69] </w:t>
      </w:r>
      <w:r>
        <w:tab/>
        <w:t>Kelly RL. Hunter-gatherer mobility strategies. Journal of Anthropological Research 1983;39:277–306.</w:t>
      </w:r>
    </w:p>
    <w:p w:rsidR="00E37400" w:rsidRDefault="00000000">
      <w:pPr>
        <w:pStyle w:val="Bibliography"/>
      </w:pPr>
      <w:bookmarkStart w:id="94" w:name="ref-Padilla-Iglesias_Bischoff_2024"/>
      <w:bookmarkEnd w:id="93"/>
      <w:r>
        <w:t xml:space="preserve">[70] </w:t>
      </w:r>
      <w:r>
        <w:tab/>
        <w:t>Padilla-Iglesias C, Bischoff RJ. Hunter-gatherer mobility patterns influence the reconstruction of social networks from archaeological assemblages. Journal of Archaeological Science: Reports 2024;59:104798. https://doi.org/</w:t>
      </w:r>
      <w:hyperlink r:id="rId69">
        <w:r>
          <w:rPr>
            <w:rStyle w:val="Hyperlink"/>
          </w:rPr>
          <w:t>https://doi.org/10.1016/j.jasrep.2024.104798</w:t>
        </w:r>
      </w:hyperlink>
      <w:r>
        <w:t>.</w:t>
      </w:r>
    </w:p>
    <w:p w:rsidR="00E37400" w:rsidRDefault="00000000">
      <w:pPr>
        <w:pStyle w:val="Bibliography"/>
      </w:pPr>
      <w:bookmarkStart w:id="95" w:name="ref-Whallon_2006"/>
      <w:bookmarkEnd w:id="94"/>
      <w:r>
        <w:t xml:space="preserve">[71] </w:t>
      </w:r>
      <w:r>
        <w:tab/>
        <w:t xml:space="preserve">Whallon R. Social networks and information: Non-“utilitarian” mobility among hunter-gatherers. Journal of Anthropological Archaeology 2006;25:259–70. </w:t>
      </w:r>
      <w:hyperlink r:id="rId70">
        <w:r>
          <w:rPr>
            <w:rStyle w:val="Hyperlink"/>
          </w:rPr>
          <w:t>https://doi.org/10.1016/j.jaa.2005.11.004</w:t>
        </w:r>
      </w:hyperlink>
      <w:r>
        <w:t>.</w:t>
      </w:r>
    </w:p>
    <w:p w:rsidR="00E37400" w:rsidRDefault="00000000">
      <w:pPr>
        <w:pStyle w:val="Bibliography"/>
      </w:pPr>
      <w:bookmarkStart w:id="96" w:name="ref-Fitzhugh_Phillips_Gjesfeld_2011"/>
      <w:bookmarkEnd w:id="95"/>
      <w:r>
        <w:t xml:space="preserve">[72] </w:t>
      </w:r>
      <w:r>
        <w:tab/>
        <w:t>Fitzhugh B, Phillips SC, Gjesfeld E. Modeling hunter-gatherer information networks: An archaeological case study from the kuril islands. Information and its role in hunter-gatherer bands, Cotsen Institute of Archaeology Press at UCLA; 2011, p. 89–115.</w:t>
      </w:r>
    </w:p>
    <w:p w:rsidR="00E37400" w:rsidRDefault="00000000">
      <w:pPr>
        <w:pStyle w:val="Bibliography"/>
      </w:pPr>
      <w:bookmarkStart w:id="97" w:name="ref-Lovis_Donahue_2011"/>
      <w:bookmarkEnd w:id="96"/>
      <w:r>
        <w:t xml:space="preserve">[73] </w:t>
      </w:r>
      <w:r>
        <w:tab/>
        <w:t xml:space="preserve">Lovis WA, Donahue RE. Space, information and knowledge: In: WHALLON R, LOVIS WA, HITCHCOCK RK, editors. Information and its role in hunter-gatherer bands, Cotsen Institute of Archaeology Press at UCLA; 2011, p. 59–84. </w:t>
      </w:r>
      <w:hyperlink r:id="rId71">
        <w:r>
          <w:rPr>
            <w:rStyle w:val="Hyperlink"/>
          </w:rPr>
          <w:t>https://doi.org/10.2307/j.ctvdmwwz4.7</w:t>
        </w:r>
      </w:hyperlink>
      <w:r>
        <w:t>.</w:t>
      </w:r>
    </w:p>
    <w:p w:rsidR="00E37400" w:rsidRDefault="00000000">
      <w:pPr>
        <w:pStyle w:val="Bibliography"/>
      </w:pPr>
      <w:bookmarkStart w:id="98" w:name="ref-Hitchcock_Ebert_2011"/>
      <w:bookmarkEnd w:id="97"/>
      <w:r>
        <w:t xml:space="preserve">[74] </w:t>
      </w:r>
      <w:r>
        <w:tab/>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 </w:t>
      </w:r>
      <w:hyperlink r:id="rId72">
        <w:r>
          <w:rPr>
            <w:rStyle w:val="Hyperlink"/>
          </w:rPr>
          <w:t>https://doi.org/10.2307/j.ctvdmwwz4.10</w:t>
        </w:r>
      </w:hyperlink>
      <w:r>
        <w:t>.</w:t>
      </w:r>
    </w:p>
    <w:p w:rsidR="00E37400" w:rsidRDefault="00000000">
      <w:pPr>
        <w:pStyle w:val="Bibliography"/>
      </w:pPr>
      <w:bookmarkStart w:id="99" w:name="ref-Romano_Lozano_Fern2022"/>
      <w:bookmarkEnd w:id="98"/>
      <w:r>
        <w:t xml:space="preserve">[75] </w:t>
      </w:r>
      <w:r>
        <w:tab/>
        <w:t>Romano V, Lozano S, Fernández-López de Pablo J. Reconstructing social networks of Late Glacial and Holocene hunter–gatherers to understand cultural evolution. Philosophical Transactions of the Royal Society B 2022;377. https://doi.org/</w:t>
      </w:r>
      <w:hyperlink r:id="rId73">
        <w:r>
          <w:rPr>
            <w:rStyle w:val="Hyperlink"/>
          </w:rPr>
          <w:t>https://doi.org/10.1098/rstb.2020.0318</w:t>
        </w:r>
      </w:hyperlink>
      <w:r>
        <w:t>.</w:t>
      </w:r>
    </w:p>
    <w:p w:rsidR="00E37400" w:rsidRDefault="00000000">
      <w:pPr>
        <w:pStyle w:val="Bibliography"/>
      </w:pPr>
      <w:bookmarkStart w:id="100" w:name="ref-Kelly_2024"/>
      <w:bookmarkEnd w:id="99"/>
      <w:r>
        <w:t xml:space="preserve">[76] </w:t>
      </w:r>
      <w:r>
        <w:tab/>
        <w:t xml:space="preserve">Kelly P. Comparing Australian message sticks and sequentially marked objects of the Upper Palaeolithic: Problems and opportunities. Topics in Cognitive Science 2024. </w:t>
      </w:r>
      <w:hyperlink r:id="rId74">
        <w:r>
          <w:rPr>
            <w:rStyle w:val="Hyperlink"/>
          </w:rPr>
          <w:t>https://doi.org/10.1111/tops.12762</w:t>
        </w:r>
      </w:hyperlink>
      <w:r>
        <w:t>.</w:t>
      </w:r>
    </w:p>
    <w:p w:rsidR="00E37400" w:rsidRDefault="00000000">
      <w:pPr>
        <w:pStyle w:val="Bibliography"/>
      </w:pPr>
      <w:bookmarkStart w:id="101" w:name="ref-Kinahan_2013"/>
      <w:bookmarkEnd w:id="100"/>
      <w:r>
        <w:lastRenderedPageBreak/>
        <w:t xml:space="preserve">[77] </w:t>
      </w:r>
      <w:r>
        <w:tab/>
        <w:t xml:space="preserve">Kinahan J. The acquisition of ceramics by hunter-gatherers on the Middle Zambezi in the first and second millennium AD. Journal of African Archaeology 2013;11:197–209. </w:t>
      </w:r>
      <w:hyperlink r:id="rId75">
        <w:r>
          <w:rPr>
            <w:rStyle w:val="Hyperlink"/>
          </w:rPr>
          <w:t>https://doi.org/10.3213/2191-5784-10243</w:t>
        </w:r>
      </w:hyperlink>
      <w:r>
        <w:t>.</w:t>
      </w:r>
    </w:p>
    <w:p w:rsidR="00E37400" w:rsidRDefault="00000000">
      <w:pPr>
        <w:pStyle w:val="Bibliography"/>
      </w:pPr>
      <w:bookmarkStart w:id="102" w:name="ref-Newlander_2012"/>
      <w:bookmarkEnd w:id="101"/>
      <w:r>
        <w:t xml:space="preserve">[78] </w:t>
      </w:r>
      <w:r>
        <w:tab/>
        <w:t xml:space="preserve">Newlander KS. </w:t>
      </w:r>
      <w:hyperlink r:id="rId76">
        <w:r>
          <w:rPr>
            <w:rStyle w:val="Hyperlink"/>
          </w:rPr>
          <w:t>Exchange, embedded procurement, and hunter-gatherer mobility: A case study from the North American Great Basin</w:t>
        </w:r>
      </w:hyperlink>
      <w:r>
        <w:t>. Ph.D. University of Michigan, 2012.</w:t>
      </w:r>
    </w:p>
    <w:p w:rsidR="00E37400" w:rsidRDefault="00000000">
      <w:pPr>
        <w:pStyle w:val="Bibliography"/>
      </w:pPr>
      <w:bookmarkStart w:id="103" w:name="ref-Iizuka_Ferguson_Izuho_2022"/>
      <w:bookmarkEnd w:id="102"/>
      <w:r>
        <w:t xml:space="preserve">[79] </w:t>
      </w:r>
      <w:r>
        <w:tab/>
        <w:t xml:space="preserve">Iizuka F, Ferguson JR, Izuho M. Late Pleistocene pottery production and exchange: Provenance studies of hunter-gatherer wares from southern Kyushu, Japan by neutron activation analysis. PLOS ONE 2022;17:e0265329. </w:t>
      </w:r>
      <w:hyperlink r:id="rId77">
        <w:r>
          <w:rPr>
            <w:rStyle w:val="Hyperlink"/>
          </w:rPr>
          <w:t>https://doi.org/10.1371/journal.pone.0265329</w:t>
        </w:r>
      </w:hyperlink>
      <w:r>
        <w:t>.</w:t>
      </w:r>
    </w:p>
    <w:p w:rsidR="00E37400" w:rsidRDefault="00000000">
      <w:pPr>
        <w:pStyle w:val="Bibliography"/>
      </w:pPr>
      <w:bookmarkStart w:id="104" w:name="ref-conkley_agg"/>
      <w:bookmarkEnd w:id="103"/>
      <w:r>
        <w:t xml:space="preserve">[80] </w:t>
      </w:r>
      <w:r>
        <w:tab/>
        <w:t xml:space="preserve">Conkey M, Beltran A, Beltrán A, Clark GA, Echegaray JG, Echegaray JG, et al. </w:t>
      </w:r>
      <w:hyperlink r:id="rId78">
        <w:r>
          <w:rPr>
            <w:rStyle w:val="Hyperlink"/>
          </w:rPr>
          <w:t>The identification of prehistoric hunter-gatherer aggregation sites: The case of altamira [and comments and reply]</w:t>
        </w:r>
      </w:hyperlink>
      <w:r>
        <w:t>. Current Anthropology 1980;21:609–30.</w:t>
      </w:r>
    </w:p>
    <w:p w:rsidR="00E37400" w:rsidRDefault="00000000">
      <w:pPr>
        <w:pStyle w:val="Bibliography"/>
      </w:pPr>
      <w:bookmarkStart w:id="105" w:name="ref-Maher_Conkey_2019"/>
      <w:bookmarkEnd w:id="104"/>
      <w:r>
        <w:t xml:space="preserve">[81] </w:t>
      </w:r>
      <w:r>
        <w:tab/>
        <w:t xml:space="preserve">Maher LA, Conkey M. Homes for hunters?: Exploring the concept of home at hunter-gatherer sites in Upper Paleolithic Europe and Epipaleolithic Southwest Asia. Current Anthropology 2019;60:91–137. </w:t>
      </w:r>
      <w:hyperlink r:id="rId79">
        <w:r>
          <w:rPr>
            <w:rStyle w:val="Hyperlink"/>
          </w:rPr>
          <w:t>https://doi.org/10.1086/701523</w:t>
        </w:r>
      </w:hyperlink>
      <w:r>
        <w:t>.</w:t>
      </w:r>
    </w:p>
    <w:p w:rsidR="00E37400" w:rsidRDefault="00000000">
      <w:pPr>
        <w:pStyle w:val="Bibliography"/>
      </w:pPr>
      <w:bookmarkStart w:id="106" w:name="ref-bahn1982inter"/>
      <w:bookmarkEnd w:id="105"/>
      <w:r>
        <w:t xml:space="preserve">[82] </w:t>
      </w:r>
      <w:r>
        <w:tab/>
        <w:t>Bahn PG. Inter-site and inter-regional links during the Upper Palaeolithic: The Pyrenean evidence. Oxford Journal of Archaeology 1982;1:247–68.</w:t>
      </w:r>
    </w:p>
    <w:p w:rsidR="00E37400" w:rsidRDefault="00000000">
      <w:pPr>
        <w:pStyle w:val="Bibliography"/>
      </w:pPr>
      <w:bookmarkStart w:id="107" w:name="ref-Bourdier_2013"/>
      <w:bookmarkEnd w:id="106"/>
      <w:r>
        <w:t xml:space="preserve">[83] </w:t>
      </w:r>
      <w:r>
        <w:tab/>
        <w:t xml:space="preserve">Bourdier C. Rock art and social geography in the Upper Paleolithic. Contribution to the socio-cultural function of the Roc-aux-Sorciers rock-shelter (Angles-sur-l’Anglin, France) from the viewpoint of its sculpted frieze. Journal of Anthropological Archaeology 2013;32:368–82. </w:t>
      </w:r>
      <w:hyperlink r:id="rId80">
        <w:r>
          <w:rPr>
            <w:rStyle w:val="Hyperlink"/>
          </w:rPr>
          <w:t>https://doi.org/10.1016/j.jaa.2013.05.005</w:t>
        </w:r>
      </w:hyperlink>
      <w:r>
        <w:t>.</w:t>
      </w:r>
    </w:p>
    <w:p w:rsidR="00E37400" w:rsidRDefault="00000000">
      <w:pPr>
        <w:pStyle w:val="Bibliography"/>
      </w:pPr>
      <w:bookmarkStart w:id="108" w:name="ref-Svoboda_2013"/>
      <w:bookmarkEnd w:id="107"/>
      <w:r>
        <w:t xml:space="preserve">[84] </w:t>
      </w:r>
      <w:r>
        <w:tab/>
        <w:t xml:space="preserve">Svoboda J. Art gravettien de pavlov i et VI: Comparaison d’un site d’agrégation et d’un site épisodique. Palethnologie Archéologie Et Sciences Humaines 2013. </w:t>
      </w:r>
      <w:hyperlink r:id="rId81">
        <w:r>
          <w:rPr>
            <w:rStyle w:val="Hyperlink"/>
          </w:rPr>
          <w:t>https://doi.org/10.4000/palethnologie.4945</w:t>
        </w:r>
      </w:hyperlink>
      <w:r>
        <w:t>.</w:t>
      </w:r>
    </w:p>
    <w:p w:rsidR="00E37400" w:rsidRDefault="00000000">
      <w:pPr>
        <w:pStyle w:val="Bibliography"/>
      </w:pPr>
      <w:bookmarkStart w:id="109" w:name="ref-white1992rethinking"/>
      <w:bookmarkEnd w:id="108"/>
      <w:r>
        <w:t xml:space="preserve">[85] </w:t>
      </w:r>
      <w:r>
        <w:tab/>
        <w:t>White R. Rethinking the Middle/Upper Paleolithic transition. Current Anthropology 1992;33:85–108.</w:t>
      </w:r>
    </w:p>
    <w:p w:rsidR="00E37400" w:rsidRDefault="00000000">
      <w:pPr>
        <w:pStyle w:val="Bibliography"/>
      </w:pPr>
      <w:bookmarkStart w:id="110" w:name="X79d7c52b9cdbe72fc1b94e51c6ee6057d0c4a50"/>
      <w:bookmarkEnd w:id="109"/>
      <w:r>
        <w:t xml:space="preserve">[86] </w:t>
      </w:r>
      <w:r>
        <w:tab/>
        <w:t>Soffer O, Adovasio JM, Enloe JG, Audouze F, Zubrow EBW. The roles of perishable technologies in Upper Paleolithic lives. The Magdalenian household, SUNY Press; 2010, p. 235–44.</w:t>
      </w:r>
    </w:p>
    <w:p w:rsidR="00E37400" w:rsidRDefault="00000000">
      <w:pPr>
        <w:pStyle w:val="Bibliography"/>
      </w:pPr>
      <w:bookmarkStart w:id="111" w:name="ref-montet-white1994"/>
      <w:bookmarkEnd w:id="110"/>
      <w:r>
        <w:t xml:space="preserve">[87] </w:t>
      </w:r>
      <w:r>
        <w:tab/>
        <w:t xml:space="preserve">Montet-White A. </w:t>
      </w:r>
      <w:hyperlink r:id="rId82">
        <w:r>
          <w:rPr>
            <w:rStyle w:val="Hyperlink"/>
          </w:rPr>
          <w:t>Alternative interpretations of the Late Upper Paleolithic in Central Europe</w:t>
        </w:r>
      </w:hyperlink>
      <w:r>
        <w:t>. Annual Review of Anthropology 1994;23:483–508.</w:t>
      </w:r>
    </w:p>
    <w:p w:rsidR="00E37400" w:rsidRDefault="00000000">
      <w:pPr>
        <w:pStyle w:val="Bibliography"/>
      </w:pPr>
      <w:bookmarkStart w:id="112" w:name="ref-Frerebeau_2025"/>
      <w:bookmarkEnd w:id="111"/>
      <w:r>
        <w:t xml:space="preserve">[88] </w:t>
      </w:r>
      <w:r>
        <w:tab/>
        <w:t xml:space="preserve">Frerebeau N. Tabula: Analysis and visualization of archaeological count data 2025. </w:t>
      </w:r>
      <w:hyperlink r:id="rId83">
        <w:r>
          <w:rPr>
            <w:rStyle w:val="Hyperlink"/>
          </w:rPr>
          <w:t>https://doi.org/10.5281/zenodo.15397990</w:t>
        </w:r>
      </w:hyperlink>
      <w:r>
        <w:t>.</w:t>
      </w:r>
    </w:p>
    <w:p w:rsidR="00E37400" w:rsidRDefault="00000000">
      <w:pPr>
        <w:pStyle w:val="Bibliography"/>
      </w:pPr>
      <w:bookmarkStart w:id="113" w:name="ref-Kintigh_1984"/>
      <w:bookmarkEnd w:id="112"/>
      <w:r>
        <w:t xml:space="preserve">[89] </w:t>
      </w:r>
      <w:r>
        <w:tab/>
        <w:t xml:space="preserve">Kintigh KW. Measuring archaeological diversity by comparison with simulated assemblages. American Antiquity 1984;49:44–54. </w:t>
      </w:r>
      <w:hyperlink r:id="rId84">
        <w:r>
          <w:rPr>
            <w:rStyle w:val="Hyperlink"/>
          </w:rPr>
          <w:t>https://doi.org/10.2307/280511</w:t>
        </w:r>
      </w:hyperlink>
      <w:r>
        <w:t>.</w:t>
      </w:r>
    </w:p>
    <w:p w:rsidR="00E37400" w:rsidRDefault="00000000">
      <w:pPr>
        <w:pStyle w:val="Bibliography"/>
      </w:pPr>
      <w:bookmarkStart w:id="114" w:name="X8c17deb08b87fbfa26556dda630532ff62c8bd1"/>
      <w:bookmarkEnd w:id="113"/>
      <w:r>
        <w:lastRenderedPageBreak/>
        <w:t xml:space="preserve">[90] </w:t>
      </w:r>
      <w:r>
        <w:tab/>
        <w:t xml:space="preserve">Shao Y, Wegener C, Klein K, Schmidt I, Weniger G-C. Reconstruction of human dispersal during Aurignacian on pan-European scale. Nature Communications 2024;15:7406. </w:t>
      </w:r>
      <w:hyperlink r:id="rId85">
        <w:r>
          <w:rPr>
            <w:rStyle w:val="Hyperlink"/>
          </w:rPr>
          <w:t>https://doi.org/10.1038/s41467-024-51349-y</w:t>
        </w:r>
      </w:hyperlink>
      <w:r>
        <w:t>.</w:t>
      </w:r>
    </w:p>
    <w:p w:rsidR="00E37400" w:rsidRDefault="00000000">
      <w:pPr>
        <w:pStyle w:val="Bibliography"/>
      </w:pPr>
      <w:bookmarkStart w:id="115" w:name="ref-smith1992Design"/>
      <w:bookmarkEnd w:id="114"/>
      <w:r>
        <w:t xml:space="preserve">[91] </w:t>
      </w:r>
      <w:r>
        <w:tab/>
        <w:t xml:space="preserve">Smith C. </w:t>
      </w:r>
      <w:hyperlink r:id="rId86">
        <w:r>
          <w:rPr>
            <w:rStyle w:val="Hyperlink"/>
          </w:rPr>
          <w:t>Designed dreaming: Assessing the relationship between style, social structure and environment in Aboriginal Australia</w:t>
        </w:r>
      </w:hyperlink>
      <w:r>
        <w:t>. Australian Archaeology 1992:51–1.</w:t>
      </w:r>
    </w:p>
    <w:p w:rsidR="00E37400" w:rsidRDefault="00000000">
      <w:pPr>
        <w:pStyle w:val="Bibliography"/>
      </w:pPr>
      <w:bookmarkStart w:id="116" w:name="ref-hays1993symbol"/>
      <w:bookmarkEnd w:id="115"/>
      <w:r>
        <w:t xml:space="preserve">[92] </w:t>
      </w:r>
      <w:r>
        <w:tab/>
        <w:t>Hays KA. When is a symbol archaeologically meaningful? Meaning, function, and prehistoric visual arts. Archaeological Theory: Who Sets the Agenda 1993:81–92.</w:t>
      </w:r>
    </w:p>
    <w:p w:rsidR="00E37400" w:rsidRDefault="00000000">
      <w:pPr>
        <w:pStyle w:val="Bibliography"/>
      </w:pPr>
      <w:bookmarkStart w:id="117" w:name="ref-McDonald_Veth_Lilley_2006"/>
      <w:bookmarkEnd w:id="116"/>
      <w:r>
        <w:t xml:space="preserve">[93] </w:t>
      </w:r>
      <w:r>
        <w:tab/>
        <w:t>McDonald J, Veth P, Lilley I. Rock art and social identity: A comparison of Holocene graphic systems in arid and fertile environments. Archaeology of oceania: Australia and the pacific islands, Malden, Mass: Blackwell Publishing; 2006, p. 96–115.</w:t>
      </w:r>
    </w:p>
    <w:p w:rsidR="00E37400" w:rsidRDefault="00000000">
      <w:pPr>
        <w:pStyle w:val="Bibliography"/>
      </w:pPr>
      <w:bookmarkStart w:id="118" w:name="ref-Lourandos_1985"/>
      <w:bookmarkEnd w:id="117"/>
      <w:r>
        <w:t xml:space="preserve">[94] </w:t>
      </w:r>
      <w:r>
        <w:tab/>
        <w:t>Lourandos H. 15 - intensification and Australian prehistory. In: Price TD, Brown JA, editors. Prehistoric hunters-gatherers, Academic Press; 1985, p. 385–423. https://doi.org/</w:t>
      </w:r>
      <w:hyperlink r:id="rId87">
        <w:r>
          <w:rPr>
            <w:rStyle w:val="Hyperlink"/>
          </w:rPr>
          <w:t>https://doi.org/10.1016/B978-0-12-564750-2.50020-2</w:t>
        </w:r>
      </w:hyperlink>
      <w:r>
        <w:t>.</w:t>
      </w:r>
    </w:p>
    <w:p w:rsidR="00E37400" w:rsidRDefault="00000000">
      <w:pPr>
        <w:pStyle w:val="Bibliography"/>
      </w:pPr>
      <w:bookmarkStart w:id="119" w:name="ref-barton_clark_cohen1994"/>
      <w:bookmarkEnd w:id="118"/>
      <w:r>
        <w:t xml:space="preserve">[95] </w:t>
      </w:r>
      <w:r>
        <w:tab/>
        <w:t xml:space="preserve">Barton CM, Clark GA, Cohen AE. </w:t>
      </w:r>
      <w:hyperlink r:id="rId88">
        <w:r>
          <w:rPr>
            <w:rStyle w:val="Hyperlink"/>
          </w:rPr>
          <w:t>Art as information: Explaining Upper Palaeolithic art in Western Europe</w:t>
        </w:r>
      </w:hyperlink>
      <w:r>
        <w:t>. World Archaeology 1994;26:185–207.</w:t>
      </w:r>
    </w:p>
    <w:p w:rsidR="00E37400" w:rsidRDefault="00000000">
      <w:pPr>
        <w:pStyle w:val="Bibliography"/>
      </w:pPr>
      <w:bookmarkStart w:id="120" w:name="ref-mcdonald2012social"/>
      <w:bookmarkEnd w:id="119"/>
      <w:r>
        <w:t xml:space="preserve">[96] </w:t>
      </w:r>
      <w:r>
        <w:tab/>
        <w:t>McDonald J, Veth P. The social dynamics of aggregation and dispersal in the western desert. A Companion to Rock Art 2012:90–102.</w:t>
      </w:r>
    </w:p>
    <w:p w:rsidR="00E37400" w:rsidRDefault="00000000">
      <w:pPr>
        <w:pStyle w:val="Bibliography"/>
      </w:pPr>
      <w:bookmarkStart w:id="121" w:name="ref-bernardini2005reconsidering"/>
      <w:bookmarkEnd w:id="120"/>
      <w:r>
        <w:t xml:space="preserve">[97] </w:t>
      </w:r>
      <w:r>
        <w:tab/>
        <w:t>Bernardini W. Reconsidering spatial and temporal aspects of prehistoric cultural identity: A case study from the american southwest. American Antiquity 2005;70:31–54.</w:t>
      </w:r>
    </w:p>
    <w:p w:rsidR="00E37400" w:rsidRDefault="00000000">
      <w:pPr>
        <w:pStyle w:val="Bibliography"/>
      </w:pPr>
      <w:bookmarkStart w:id="122" w:name="ref-wiessner1984reconsidering"/>
      <w:bookmarkEnd w:id="121"/>
      <w:r>
        <w:t xml:space="preserve">[98] </w:t>
      </w:r>
      <w:r>
        <w:tab/>
        <w:t>Wiessner P. Reconsidering the behavioral basis for style: A case study among the kalahari san. Journal of Anthropological Archaeology 1984;3:190–234.</w:t>
      </w:r>
    </w:p>
    <w:p w:rsidR="00E37400" w:rsidRDefault="00000000">
      <w:pPr>
        <w:pStyle w:val="Bibliography"/>
      </w:pPr>
      <w:bookmarkStart w:id="123" w:name="ref-smith1992"/>
      <w:bookmarkEnd w:id="122"/>
      <w:r>
        <w:t xml:space="preserve">[99] </w:t>
      </w:r>
      <w:r>
        <w:tab/>
        <w:t xml:space="preserve">Smith C. </w:t>
      </w:r>
      <w:hyperlink r:id="rId89">
        <w:r>
          <w:rPr>
            <w:rStyle w:val="Hyperlink"/>
          </w:rPr>
          <w:t>Colonising with style: Reviewing the nexus between rock art, territorially and the colonisation and occupation of Sahul</w:t>
        </w:r>
      </w:hyperlink>
      <w:r>
        <w:t>. Australian Archaeology 1992:34–42.</w:t>
      </w:r>
    </w:p>
    <w:p w:rsidR="00E37400" w:rsidRDefault="00000000">
      <w:pPr>
        <w:pStyle w:val="Bibliography"/>
      </w:pPr>
      <w:bookmarkStart w:id="124" w:name="X4fed35d53d406ce17aea32f9d6f163fcb563519"/>
      <w:bookmarkEnd w:id="123"/>
      <w:r>
        <w:t xml:space="preserve">[100] </w:t>
      </w:r>
      <w:r>
        <w:tab/>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 </w:t>
      </w:r>
      <w:hyperlink r:id="rId90">
        <w:r>
          <w:rPr>
            <w:rStyle w:val="Hyperlink"/>
          </w:rPr>
          <w:t>https://doi.org/10.1007/978-4-431-55363-2_8</w:t>
        </w:r>
      </w:hyperlink>
      <w:r>
        <w:t>.</w:t>
      </w:r>
    </w:p>
    <w:p w:rsidR="00E37400" w:rsidRDefault="00000000">
      <w:pPr>
        <w:pStyle w:val="Bibliography"/>
      </w:pPr>
      <w:bookmarkStart w:id="125" w:name="ref-Cavalli_Sforza_Feldman_1981"/>
      <w:bookmarkEnd w:id="124"/>
      <w:r>
        <w:t xml:space="preserve">[101] </w:t>
      </w:r>
      <w:r>
        <w:tab/>
        <w:t>Cavalli-Sforza LL, Feldman MW. Cultural transmission and evolution: A quantitative approach. Princeton University Press; 1981.</w:t>
      </w:r>
    </w:p>
    <w:p w:rsidR="00E37400" w:rsidRDefault="00000000">
      <w:pPr>
        <w:pStyle w:val="Bibliography"/>
      </w:pPr>
      <w:bookmarkStart w:id="126" w:name="ref-Boyd_Richerson_1985"/>
      <w:bookmarkEnd w:id="125"/>
      <w:r>
        <w:t xml:space="preserve">[102] </w:t>
      </w:r>
      <w:r>
        <w:tab/>
        <w:t>Boyd R, Richerson PJ. Culture and the evolutionary process. University of Chicago Press; 1985.</w:t>
      </w:r>
    </w:p>
    <w:p w:rsidR="00E37400" w:rsidRDefault="00000000">
      <w:pPr>
        <w:pStyle w:val="Bibliography"/>
      </w:pPr>
      <w:bookmarkStart w:id="127" w:name="ref-Richerson_Boyd_2005"/>
      <w:bookmarkEnd w:id="126"/>
      <w:r>
        <w:t xml:space="preserve">[103] </w:t>
      </w:r>
      <w:r>
        <w:tab/>
        <w:t>Richerson PJ, Boyd R. Not by genes alone: How culture transformed human evolution. University of Chicago Press; 2005.</w:t>
      </w:r>
    </w:p>
    <w:p w:rsidR="00E37400" w:rsidRDefault="00000000">
      <w:pPr>
        <w:pStyle w:val="Bibliography"/>
      </w:pPr>
      <w:bookmarkStart w:id="128" w:name="ref-Henrich_2004"/>
      <w:bookmarkEnd w:id="127"/>
      <w:r>
        <w:lastRenderedPageBreak/>
        <w:t xml:space="preserve">[104] </w:t>
      </w:r>
      <w:r>
        <w:tab/>
        <w:t>Henrich J. Demography and cultural evolution: How adaptive cultural processes can produce maladaptive losses—the tasmanian case. American Antiquity 2004;44:185–201.</w:t>
      </w:r>
    </w:p>
    <w:p w:rsidR="00E37400" w:rsidRDefault="00000000">
      <w:pPr>
        <w:pStyle w:val="Bibliography"/>
      </w:pPr>
      <w:bookmarkStart w:id="129" w:name="ref-Migliano_2020"/>
      <w:bookmarkEnd w:id="128"/>
      <w:r>
        <w:t xml:space="preserve">[105] </w:t>
      </w:r>
      <w:r>
        <w:tab/>
        <w:t>Migliano AB, Battiston F, Viguier S, Page AE, Dyble M, Schlaepfer R, et al. Hunter-gatherer multilevel sociality accelerates cumulative cultural evolution. Science Advances 2020;6:eaax5913.</w:t>
      </w:r>
    </w:p>
    <w:p w:rsidR="00E37400" w:rsidRDefault="00000000">
      <w:pPr>
        <w:pStyle w:val="Bibliography"/>
      </w:pPr>
      <w:bookmarkStart w:id="130" w:name="ref-Allen_2020"/>
      <w:bookmarkEnd w:id="129"/>
      <w:r>
        <w:t xml:space="preserve">[106] </w:t>
      </w:r>
      <w:r>
        <w:tab/>
        <w:t>Allen J. A multilevel analytical framework for studying cultural evolution in prehistoric hunter–gatherer societies. Biological Reviews 2020;59:2527–46.</w:t>
      </w:r>
    </w:p>
    <w:p w:rsidR="00E37400" w:rsidRDefault="00000000">
      <w:pPr>
        <w:pStyle w:val="Bibliography"/>
      </w:pPr>
      <w:bookmarkStart w:id="131" w:name="ref-Buchanan_Hamilton_2023"/>
      <w:bookmarkEnd w:id="130"/>
      <w:r>
        <w:t xml:space="preserve">[107] </w:t>
      </w:r>
      <w:r>
        <w:tab/>
        <w:t>Buchanan B, Hamilton MJ. Networks and cultural transmission in hunter-gatherer societies. The oxford handbook of archaeological network research, Oxford University Press; 2023, p. 1–25.</w:t>
      </w:r>
    </w:p>
    <w:p w:rsidR="00E37400" w:rsidRDefault="00000000">
      <w:pPr>
        <w:pStyle w:val="Bibliography"/>
      </w:pPr>
      <w:bookmarkStart w:id="132" w:name="ref-Eerkens_Lipo_2005"/>
      <w:bookmarkEnd w:id="131"/>
      <w:r>
        <w:t xml:space="preserve">[108] </w:t>
      </w:r>
      <w:r>
        <w:tab/>
        <w:t>Eerkens JW, Lipo CP. Cultural transmission and the evolution of material culture: Modeling the coefficient of variation. American Antiquity 2005;48:1–21.</w:t>
      </w:r>
    </w:p>
    <w:p w:rsidR="00E37400" w:rsidRDefault="00000000">
      <w:pPr>
        <w:pStyle w:val="Bibliography"/>
      </w:pPr>
      <w:bookmarkStart w:id="133" w:name="ref-Bentz_Dutkiewicz_2025"/>
      <w:bookmarkEnd w:id="132"/>
      <w:r>
        <w:t xml:space="preserve">[109] </w:t>
      </w:r>
      <w:r>
        <w:tab/>
        <w:t>Bentz C, Dutkiewicz E. Humans 40,000 y ago developed a system of conventional signs. Proceedings of the National Academy of Sciences 2025:1–8.</w:t>
      </w:r>
    </w:p>
    <w:p w:rsidR="00E37400" w:rsidRDefault="00000000">
      <w:pPr>
        <w:pStyle w:val="Bibliography"/>
      </w:pPr>
      <w:bookmarkStart w:id="134" w:name="ref-Bacon_2023"/>
      <w:bookmarkEnd w:id="133"/>
      <w:r>
        <w:t xml:space="preserve">[110] </w:t>
      </w:r>
      <w:r>
        <w:tab/>
        <w:t>Bacon B, Khatiri A, Palmer J, Freeth T, Pettitt P, Kentridge RW. An Upper Palaeolithic proto-writing system and phenological calendar. Cambridge Archaeological Journal 2023;100:371–89.</w:t>
      </w:r>
    </w:p>
    <w:p w:rsidR="00E37400" w:rsidRDefault="00000000">
      <w:pPr>
        <w:pStyle w:val="Bibliography"/>
      </w:pPr>
      <w:bookmarkStart w:id="135" w:name="Xa4990169aeb885a690070ab4fd90972c31994f8"/>
      <w:bookmarkEnd w:id="134"/>
      <w:r>
        <w:t xml:space="preserve">[111] </w:t>
      </w:r>
      <w:r>
        <w:tab/>
        <w:t xml:space="preserve">d’Errico F, Courtenay LA, Núñez R, Santos da Rosa N, Sproat R, Blasi D. Inferring conventional sign systems from Paleolithic engravings: Methodological and theoretical challenges. SSRN Electronic Journal 2026. </w:t>
      </w:r>
      <w:hyperlink r:id="rId91">
        <w:r>
          <w:rPr>
            <w:rStyle w:val="Hyperlink"/>
          </w:rPr>
          <w:t>https://doi.org/10.2139/ssrn.7053279</w:t>
        </w:r>
      </w:hyperlink>
      <w:r>
        <w:t>.</w:t>
      </w:r>
    </w:p>
    <w:p w:rsidR="00E37400" w:rsidRDefault="00000000">
      <w:pPr>
        <w:pStyle w:val="Bibliography"/>
      </w:pPr>
      <w:bookmarkStart w:id="136" w:name="X8ea620419c64d551554c48b7075c9934881930b"/>
      <w:bookmarkEnd w:id="135"/>
      <w:r>
        <w:t xml:space="preserve">[112] </w:t>
      </w:r>
      <w:r>
        <w:tab/>
        <w:t xml:space="preserve">Garcı́a-Bustos M, Rivero O, Sauvet G, Garcı́a-Bustos P. Discussion: “An Upper Palaeolithic proto-writing system and phenological calendar” by Bennett Bacon et al. (2023). Journal of Paleolithic Archaeology 2023;6:32. </w:t>
      </w:r>
      <w:hyperlink r:id="rId92">
        <w:r>
          <w:rPr>
            <w:rStyle w:val="Hyperlink"/>
          </w:rPr>
          <w:t>https://doi.org/10.1007/s41982-023-00158-8</w:t>
        </w:r>
      </w:hyperlink>
      <w:r>
        <w:t>.</w:t>
      </w:r>
    </w:p>
    <w:p w:rsidR="00E37400" w:rsidRDefault="00000000">
      <w:pPr>
        <w:pStyle w:val="Bibliography"/>
      </w:pPr>
      <w:bookmarkStart w:id="137" w:name="ref-Magli_2024"/>
      <w:bookmarkEnd w:id="136"/>
      <w:r>
        <w:t xml:space="preserve">[113] </w:t>
      </w:r>
      <w:r>
        <w:tab/>
        <w:t xml:space="preserve">Magli G. The alleged phenological calendar in Palaeolithic art: Critical analysis from the viewpoint of statistics and cultural astronomy. Mind 2024;133:1–15. </w:t>
      </w:r>
      <w:hyperlink r:id="rId93">
        <w:r>
          <w:rPr>
            <w:rStyle w:val="Hyperlink"/>
          </w:rPr>
          <w:t>https://doi.org/10.1093/mind/fzae011</w:t>
        </w:r>
      </w:hyperlink>
      <w:r>
        <w:t>.</w:t>
      </w:r>
    </w:p>
    <w:p w:rsidR="00E37400" w:rsidRDefault="00000000">
      <w:pPr>
        <w:pStyle w:val="Bibliography"/>
      </w:pPr>
      <w:bookmarkStart w:id="138" w:name="ref-Nowell_2024_evidence"/>
      <w:bookmarkEnd w:id="137"/>
      <w:r>
        <w:t xml:space="preserve">[114] </w:t>
      </w:r>
      <w:r>
        <w:tab/>
        <w:t xml:space="preserve">Nowell A, Bahn P, Quellec J-L. Evaluating the evidence for lunar calendars in Upper Palaeolithic parietal art. Cambridge Archaeological Journal 2024:1–18. </w:t>
      </w:r>
      <w:hyperlink r:id="rId94">
        <w:r>
          <w:rPr>
            <w:rStyle w:val="Hyperlink"/>
          </w:rPr>
          <w:t>https://doi.org/10.1017/S0959774324000155</w:t>
        </w:r>
      </w:hyperlink>
      <w:r>
        <w:t>.</w:t>
      </w:r>
    </w:p>
    <w:p w:rsidR="00E37400" w:rsidRDefault="00000000">
      <w:pPr>
        <w:pStyle w:val="Bibliography"/>
      </w:pPr>
      <w:bookmarkStart w:id="139" w:name="ref-Horiuchi_Takakura_2019"/>
      <w:bookmarkEnd w:id="138"/>
      <w:r>
        <w:t xml:space="preserve">[115] </w:t>
      </w:r>
      <w:r>
        <w:tab/>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 </w:t>
      </w:r>
      <w:hyperlink r:id="rId95">
        <w:r>
          <w:rPr>
            <w:rStyle w:val="Hyperlink"/>
          </w:rPr>
          <w:t>https://doi.org/10.1007/978-981-13-8980-1_12</w:t>
        </w:r>
      </w:hyperlink>
      <w:r>
        <w:t>.</w:t>
      </w:r>
    </w:p>
    <w:p w:rsidR="00E37400" w:rsidRDefault="00000000">
      <w:pPr>
        <w:pStyle w:val="Bibliography"/>
      </w:pPr>
      <w:bookmarkStart w:id="140" w:name="ref-Rogers_2013"/>
      <w:bookmarkEnd w:id="139"/>
      <w:r>
        <w:lastRenderedPageBreak/>
        <w:t xml:space="preserve">[116] </w:t>
      </w:r>
      <w:r>
        <w:tab/>
        <w:t>Rogers L. Human-material interaction in the Aurignacian of Europe, 35,000-27,000 BP: An analysis of marine shell ornament distribution. PhD thesis. University of Victoria, 2013.</w:t>
      </w:r>
    </w:p>
    <w:p w:rsidR="00E37400" w:rsidRDefault="00000000">
      <w:pPr>
        <w:pStyle w:val="Bibliography"/>
      </w:pPr>
      <w:bookmarkStart w:id="141" w:name="X94f875be1b7e5d23641daff5d53857bec24e739"/>
      <w:bookmarkEnd w:id="140"/>
      <w:r>
        <w:t xml:space="preserve">[117] </w:t>
      </w:r>
      <w:r>
        <w:tab/>
        <w:t>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96">
        <w:r>
          <w:rPr>
            <w:rStyle w:val="Hyperlink"/>
          </w:rPr>
          <w:t>https://doi.org/10.1016/j.jasrep.2021.103118</w:t>
        </w:r>
      </w:hyperlink>
      <w:r>
        <w:t>.</w:t>
      </w:r>
    </w:p>
    <w:p w:rsidR="00E37400" w:rsidRDefault="00000000">
      <w:pPr>
        <w:pStyle w:val="Bibliography"/>
      </w:pPr>
      <w:bookmarkStart w:id="142" w:name="ref-Gamble_1982"/>
      <w:bookmarkEnd w:id="141"/>
      <w:r>
        <w:t xml:space="preserve">[118] </w:t>
      </w:r>
      <w:r>
        <w:tab/>
        <w:t xml:space="preserve">Gamble C. Interaction and alliance in Palaeolithic society. Man 1982;17:92–107. </w:t>
      </w:r>
      <w:hyperlink r:id="rId97">
        <w:r>
          <w:rPr>
            <w:rStyle w:val="Hyperlink"/>
          </w:rPr>
          <w:t>https://doi.org/10.2307/2802103</w:t>
        </w:r>
      </w:hyperlink>
      <w:r>
        <w:t>.</w:t>
      </w:r>
    </w:p>
    <w:p w:rsidR="00E37400" w:rsidRDefault="00000000">
      <w:pPr>
        <w:pStyle w:val="Bibliography"/>
      </w:pPr>
      <w:bookmarkStart w:id="143" w:name="Xba346573845225b1b1d5ef358e2fea0d893a789"/>
      <w:bookmarkEnd w:id="142"/>
      <w:r>
        <w:t xml:space="preserve">[119] </w:t>
      </w:r>
      <w:r>
        <w:tab/>
        <w:t>Greenbaum G, Friesem DE, Hovers E, Feldman MW, Kolodny O. Was inter-population connectivity of Neanderthals and modern humans the driver of the Upper Paleolithic transition rather than its product? Quaternary Science Reviews 2019;217:316–29. https://doi.org/</w:t>
      </w:r>
      <w:hyperlink r:id="rId98">
        <w:r>
          <w:rPr>
            <w:rStyle w:val="Hyperlink"/>
          </w:rPr>
          <w:t>https://doi.org/10.1016/j.quascirev.2018.12.011</w:t>
        </w:r>
      </w:hyperlink>
      <w:r>
        <w:t>.</w:t>
      </w:r>
    </w:p>
    <w:p w:rsidR="00E37400" w:rsidRDefault="00000000">
      <w:pPr>
        <w:pStyle w:val="Bibliography"/>
      </w:pPr>
      <w:bookmarkStart w:id="144" w:name="ref-Creanza_Kolodny_Feldman_2017"/>
      <w:bookmarkEnd w:id="143"/>
      <w:r>
        <w:t xml:space="preserve">[120] </w:t>
      </w:r>
      <w:r>
        <w:tab/>
        <w:t xml:space="preserve">Creanza N, Kolodny O, Feldman MW. Greater than the sum of its parts? Modelling population contact and interaction of cultural repertoires. Journal of The Royal Society Interface 2017;14:20170171. </w:t>
      </w:r>
      <w:hyperlink r:id="rId99">
        <w:r>
          <w:rPr>
            <w:rStyle w:val="Hyperlink"/>
          </w:rPr>
          <w:t>https://doi.org/10.1098/rsif.2017.0171</w:t>
        </w:r>
      </w:hyperlink>
      <w:r>
        <w:t>.</w:t>
      </w:r>
    </w:p>
    <w:p w:rsidR="00E37400" w:rsidRDefault="00000000">
      <w:pPr>
        <w:pStyle w:val="Bibliography"/>
      </w:pPr>
      <w:bookmarkStart w:id="145" w:name="ref-Cullen_1996"/>
      <w:bookmarkEnd w:id="144"/>
      <w:r>
        <w:t xml:space="preserve">[121] </w:t>
      </w:r>
      <w:r>
        <w:tab/>
        <w:t xml:space="preserve">Cullen BRS. Cultural virus theory and the eusocial pottery assemblage. In: Maschner HDG, editor. Darwinian archaeologies, Boston, MA: Springer US; 1996, p. 43–59. </w:t>
      </w:r>
      <w:hyperlink r:id="rId100">
        <w:r>
          <w:rPr>
            <w:rStyle w:val="Hyperlink"/>
          </w:rPr>
          <w:t>https://doi.org/10.1007/978-1-4757-9945-3_4</w:t>
        </w:r>
      </w:hyperlink>
      <w:r>
        <w:t>.</w:t>
      </w:r>
    </w:p>
    <w:p w:rsidR="00E37400" w:rsidRDefault="00000000">
      <w:pPr>
        <w:pStyle w:val="Bibliography"/>
      </w:pPr>
      <w:bookmarkStart w:id="146" w:name="ref-Hill_Wood_Baggio_Hurtado_Boyd_2014"/>
      <w:bookmarkEnd w:id="145"/>
      <w:r>
        <w:t xml:space="preserve">[122] </w:t>
      </w:r>
      <w:r>
        <w:tab/>
        <w:t xml:space="preserve">Hill KR, Wood BM, Baggio J, Hurtado AM, Boyd RT. Hunter-gatherer inter-band interaction rates: Implications for cumulative culture. PLOS ONE 2014;9:1–9. </w:t>
      </w:r>
      <w:hyperlink r:id="rId101">
        <w:r>
          <w:rPr>
            <w:rStyle w:val="Hyperlink"/>
          </w:rPr>
          <w:t>https://doi.org/10.1371/journal.pone.0102806</w:t>
        </w:r>
      </w:hyperlink>
      <w:r>
        <w:t>.</w:t>
      </w:r>
    </w:p>
    <w:p w:rsidR="00E37400" w:rsidRDefault="00000000">
      <w:pPr>
        <w:pStyle w:val="Bibliography"/>
      </w:pPr>
      <w:bookmarkStart w:id="147" w:name="ref-Derex_Boyd_2016"/>
      <w:bookmarkEnd w:id="146"/>
      <w:r>
        <w:t xml:space="preserve">[123] </w:t>
      </w:r>
      <w:r>
        <w:tab/>
        <w:t xml:space="preserve">Derex M, Boyd R. Partial connectivity increases cultural accumulation within groups. Proceedings of the National Academy of Sciences 2016;113:2982–7. </w:t>
      </w:r>
      <w:hyperlink r:id="rId102">
        <w:r>
          <w:rPr>
            <w:rStyle w:val="Hyperlink"/>
          </w:rPr>
          <w:t>https://doi.org/10.1073/pnas.1518798113</w:t>
        </w:r>
      </w:hyperlink>
      <w:r>
        <w:t>.</w:t>
      </w:r>
    </w:p>
    <w:p w:rsidR="00E37400" w:rsidRDefault="00000000">
      <w:pPr>
        <w:pStyle w:val="Bibliography"/>
      </w:pPr>
      <w:bookmarkStart w:id="148" w:name="ref-Gravel-Miguel_Coward_2023"/>
      <w:bookmarkEnd w:id="147"/>
      <w:r>
        <w:t xml:space="preserve">[124] </w:t>
      </w:r>
      <w:r>
        <w:tab/>
        <w:t xml:space="preserve">Gravel-Miguel C, Coward F. Paleolithic social networks and behavioral modernity. The oxford handbook of archaeological network research, Oxford University Press; 2023. </w:t>
      </w:r>
      <w:hyperlink r:id="rId103">
        <w:r>
          <w:rPr>
            <w:rStyle w:val="Hyperlink"/>
          </w:rPr>
          <w:t>https://doi.org/10.1093/oxfordhb/9780198854265.013.31</w:t>
        </w:r>
      </w:hyperlink>
      <w:r>
        <w:t>.</w:t>
      </w:r>
    </w:p>
    <w:p w:rsidR="00E37400" w:rsidRDefault="00000000">
      <w:pPr>
        <w:pStyle w:val="Bibliography"/>
      </w:pPr>
      <w:bookmarkStart w:id="149" w:name="ref-Von_Petzinger_2009"/>
      <w:bookmarkEnd w:id="148"/>
      <w:r>
        <w:t xml:space="preserve">[125] </w:t>
      </w:r>
      <w:r>
        <w:tab/>
        <w:t>Von Petzinger G. Making the abstract concrete: The place of geometric signs in French Upper Paleolithic parietal art. Master of Arts in Anthropology. University of Victoria, 2009.</w:t>
      </w:r>
    </w:p>
    <w:p w:rsidR="00E37400" w:rsidRDefault="00000000">
      <w:pPr>
        <w:pStyle w:val="Bibliography"/>
      </w:pPr>
      <w:bookmarkStart w:id="150" w:name="ref-Herskind2023"/>
      <w:bookmarkEnd w:id="149"/>
      <w:r>
        <w:t xml:space="preserve">[126] </w:t>
      </w:r>
      <w:r>
        <w:tab/>
        <w:t xml:space="preserve">Platz HLL. A case for idle graffiti. Hunter Gatherer Research 2023;9:59–93. </w:t>
      </w:r>
      <w:hyperlink r:id="rId104">
        <w:r>
          <w:rPr>
            <w:rStyle w:val="Hyperlink"/>
          </w:rPr>
          <w:t>https://doi.org/10.3828/hgr.2023.12</w:t>
        </w:r>
      </w:hyperlink>
      <w:r>
        <w:t>.</w:t>
      </w:r>
    </w:p>
    <w:p w:rsidR="00E37400" w:rsidRDefault="00000000">
      <w:pPr>
        <w:pStyle w:val="Bibliography"/>
      </w:pPr>
      <w:bookmarkStart w:id="151" w:name="X42e36537dda68556aeacf852410efd6ac3bb1ca"/>
      <w:bookmarkEnd w:id="150"/>
      <w:r>
        <w:lastRenderedPageBreak/>
        <w:t xml:space="preserve">[127] </w:t>
      </w:r>
      <w:r>
        <w:tab/>
        <w:t xml:space="preserve">Daems D, Coco E, Gillreath-Brown A, Kafetzaki D. The effects of time-averaging on archaeological networks. Journal of Archaeological Method and Theory 2024;31:473–506. </w:t>
      </w:r>
      <w:hyperlink r:id="rId105">
        <w:r>
          <w:rPr>
            <w:rStyle w:val="Hyperlink"/>
          </w:rPr>
          <w:t>https://doi.org/10.1007/s10816-023-09608-7</w:t>
        </w:r>
      </w:hyperlink>
      <w:r>
        <w:t>.</w:t>
      </w:r>
      <w:bookmarkEnd w:id="23"/>
      <w:bookmarkEnd w:id="25"/>
      <w:bookmarkEnd w:id="151"/>
    </w:p>
    <w:sectPr w:rsidR="00E37400">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14AA1" w:rsidRDefault="00414AA1">
      <w:pPr>
        <w:spacing w:after="0"/>
      </w:pPr>
      <w:r>
        <w:separator/>
      </w:r>
    </w:p>
  </w:endnote>
  <w:endnote w:type="continuationSeparator" w:id="0">
    <w:p w:rsidR="00414AA1" w:rsidRDefault="00414A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14AA1" w:rsidRDefault="00414AA1">
      <w:r>
        <w:separator/>
      </w:r>
    </w:p>
  </w:footnote>
  <w:footnote w:type="continuationSeparator" w:id="0">
    <w:p w:rsidR="00414AA1" w:rsidRDefault="00414A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FD048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B226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57734625">
    <w:abstractNumId w:val="0"/>
  </w:num>
  <w:num w:numId="2" w16cid:durableId="488792786">
    <w:abstractNumId w:val="1"/>
  </w:num>
  <w:num w:numId="3" w16cid:durableId="1722702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37400"/>
    <w:rsid w:val="00414AA1"/>
    <w:rsid w:val="00B32A2B"/>
    <w:rsid w:val="00E37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CEAC14A-3253-F644-959A-D79241B4B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9A0D53"/>
    <w:pPr>
      <w:keepNext/>
      <w:keepLines/>
      <w:pageBreakBefore/>
      <w:spacing w:before="80" w:after="40" w:line="20" w:lineRule="exact"/>
      <w:outlineLvl w:val="4"/>
    </w:pPr>
    <w:rPr>
      <w:rFonts w:eastAsiaTheme="majorEastAsia" w:cstheme="majorBidi"/>
      <w:color w:val="FFFFFF" w:themeColor="background1"/>
      <w:sz w:val="1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8A21D1"/>
    <w:pPr>
      <w:spacing w:before="36" w:after="36"/>
    </w:pPr>
    <w:rPr>
      <w:rFonts w:ascii="Arial" w:hAnsi="Arial"/>
      <w:sz w:val="16"/>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D53"/>
    <w:rPr>
      <w:rFonts w:eastAsiaTheme="majorEastAsia" w:cstheme="majorBidi"/>
      <w:color w:val="FFFFFF" w:themeColor="background1"/>
      <w:sz w:val="1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A87B81"/>
    <w:rPr>
      <w:rFonts w:ascii="Arial" w:hAnsi="Arial"/>
      <w:sz w:val="16"/>
      <w:szCs w:val="20"/>
      <w:lang w:eastAsia="en-US"/>
    </w:rPr>
    <w:tblPr>
      <w:tblInd w:w="0" w:type="dxa"/>
      <w:tblBorders>
        <w:top w:val="single" w:sz="4" w:space="0" w:color="auto"/>
        <w:bottom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371/journal.pone.0211562" TargetMode="External"/><Relationship Id="rId21" Type="http://schemas.openxmlformats.org/officeDocument/2006/relationships/hyperlink" Target="https://doi.org/10.1016/j.jas.2012.02.003" TargetMode="External"/><Relationship Id="rId42" Type="http://schemas.openxmlformats.org/officeDocument/2006/relationships/hyperlink" Target="https://doi.org/10.32614/CRAN.package.vegan" TargetMode="External"/><Relationship Id="rId47" Type="http://schemas.openxmlformats.org/officeDocument/2006/relationships/hyperlink" Target="https://doi.org/10.1002/spe.4380211102" TargetMode="External"/><Relationship Id="rId63" Type="http://schemas.openxmlformats.org/officeDocument/2006/relationships/hyperlink" Target="https://doi.org/10.1179/sea.2010.29.1.013" TargetMode="External"/><Relationship Id="rId68" Type="http://schemas.openxmlformats.org/officeDocument/2006/relationships/hyperlink" Target="http://www.jstor.org/stable/2800797" TargetMode="External"/><Relationship Id="rId84" Type="http://schemas.openxmlformats.org/officeDocument/2006/relationships/hyperlink" Target="https://doi.org/10.2307/280511" TargetMode="External"/><Relationship Id="rId89" Type="http://schemas.openxmlformats.org/officeDocument/2006/relationships/hyperlink" Target="http://www.jstor.org/stable/40287092" TargetMode="External"/><Relationship Id="rId16" Type="http://schemas.openxmlformats.org/officeDocument/2006/relationships/hyperlink" Target="https://doi.org/10.1016/j.quaint.2017.01.039" TargetMode="External"/><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hyperlink" Target="https://doi.org/10.1002/jqs.3236" TargetMode="External"/><Relationship Id="rId37" Type="http://schemas.openxmlformats.org/officeDocument/2006/relationships/hyperlink" Target="https://doi.org/10.1016/j.quascirev.2009.11.015" TargetMode="External"/><Relationship Id="rId53" Type="http://schemas.openxmlformats.org/officeDocument/2006/relationships/hyperlink" Target="https://doi.org/10.1016/j.jas.2025.106281" TargetMode="External"/><Relationship Id="rId58" Type="http://schemas.openxmlformats.org/officeDocument/2006/relationships/hyperlink" Target="https://doi.org/10.1007/s10814-013-9068-y" TargetMode="External"/><Relationship Id="rId74" Type="http://schemas.openxmlformats.org/officeDocument/2006/relationships/hyperlink" Target="https://doi.org/10.1111/tops.12762" TargetMode="External"/><Relationship Id="rId79" Type="http://schemas.openxmlformats.org/officeDocument/2006/relationships/hyperlink" Target="https://doi.org/10.1086/701523" TargetMode="External"/><Relationship Id="rId102" Type="http://schemas.openxmlformats.org/officeDocument/2006/relationships/hyperlink" Target="https://doi.org/10.1073/pnas.1518798113" TargetMode="External"/><Relationship Id="rId5" Type="http://schemas.openxmlformats.org/officeDocument/2006/relationships/footnotes" Target="footnotes.xml"/><Relationship Id="rId90" Type="http://schemas.openxmlformats.org/officeDocument/2006/relationships/hyperlink" Target="https://doi.org/10.1007/978-4-431-55363-2_8" TargetMode="External"/><Relationship Id="rId95" Type="http://schemas.openxmlformats.org/officeDocument/2006/relationships/hyperlink" Target="https://doi.org/10.1007/978-981-13-8980-1_12" TargetMode="External"/><Relationship Id="rId22" Type="http://schemas.openxmlformats.org/officeDocument/2006/relationships/hyperlink" Target="https://doi.org/10.1038/s41597-020-00704-x" TargetMode="External"/><Relationship Id="rId27" Type="http://schemas.openxmlformats.org/officeDocument/2006/relationships/hyperlink" Target="https://doi.org/10.1016/j.jhevol.2012.10.001" TargetMode="External"/><Relationship Id="rId43" Type="http://schemas.openxmlformats.org/officeDocument/2006/relationships/hyperlink" Target="https://doi.org/10.1371/journal.pone.0121166" TargetMode="External"/><Relationship Id="rId48" Type="http://schemas.openxmlformats.org/officeDocument/2006/relationships/hyperlink" Target="https://statnet.org" TargetMode="External"/><Relationship Id="rId64" Type="http://schemas.openxmlformats.org/officeDocument/2006/relationships/hyperlink" Target="https://doi.org/10.1002/ajpa.22832" TargetMode="External"/><Relationship Id="rId69" Type="http://schemas.openxmlformats.org/officeDocument/2006/relationships/hyperlink" Target="https://doi.org/10.1016/j.jasrep.2024.104798" TargetMode="External"/><Relationship Id="rId80" Type="http://schemas.openxmlformats.org/officeDocument/2006/relationships/hyperlink" Target="https://doi.org/10.1016/j.jaa.2013.05.005" TargetMode="External"/><Relationship Id="rId85" Type="http://schemas.openxmlformats.org/officeDocument/2006/relationships/hyperlink" Target="https://doi.org/10.1038/s41467-024-51349-y" TargetMode="External"/><Relationship Id="rId12" Type="http://schemas.openxmlformats.org/officeDocument/2006/relationships/image" Target="media/image5.png"/><Relationship Id="rId17" Type="http://schemas.openxmlformats.org/officeDocument/2006/relationships/hyperlink" Target="https://doi.org/10.1177/0392192107076870" TargetMode="External"/><Relationship Id="rId33" Type="http://schemas.openxmlformats.org/officeDocument/2006/relationships/hyperlink" Target="https://doi.org/10.1007/978-3-211-49294-9_4" TargetMode="External"/><Relationship Id="rId38" Type="http://schemas.openxmlformats.org/officeDocument/2006/relationships/hyperlink" Target="https://docs.ropensci.org/rnaturalearth/" TargetMode="External"/><Relationship Id="rId59" Type="http://schemas.openxmlformats.org/officeDocument/2006/relationships/hyperlink" Target="https://doi.org/10.1016/j.evolhumbehav.2022.07.003" TargetMode="External"/><Relationship Id="rId103" Type="http://schemas.openxmlformats.org/officeDocument/2006/relationships/hyperlink" Target="https://doi.org/10.1093/oxfordhb/9780198854265.013.31" TargetMode="External"/><Relationship Id="rId20" Type="http://schemas.openxmlformats.org/officeDocument/2006/relationships/hyperlink" Target="https://doi.org/10.1016/j.jas.2015.05.003" TargetMode="External"/><Relationship Id="rId41" Type="http://schemas.openxmlformats.org/officeDocument/2006/relationships/hyperlink" Target="https://doi.org/10.1002/ajpa.1330350608" TargetMode="External"/><Relationship Id="rId54" Type="http://schemas.openxmlformats.org/officeDocument/2006/relationships/hyperlink" Target="http://www.jstor.org.offcampus.lib.washington.edu/stable/j.ctt1pk86rr.5" TargetMode="External"/><Relationship Id="rId62" Type="http://schemas.openxmlformats.org/officeDocument/2006/relationships/hyperlink" Target="https://doi.org/10.2307/j.ctv24q4z2g.5" TargetMode="External"/><Relationship Id="rId70" Type="http://schemas.openxmlformats.org/officeDocument/2006/relationships/hyperlink" Target="https://doi.org/10.1016/j.jaa.2005.11.004" TargetMode="External"/><Relationship Id="rId75" Type="http://schemas.openxmlformats.org/officeDocument/2006/relationships/hyperlink" Target="https://doi.org/10.3213/2191-5784-10243" TargetMode="External"/><Relationship Id="rId83" Type="http://schemas.openxmlformats.org/officeDocument/2006/relationships/hyperlink" Target="https://doi.org/10.5281/zenodo.15397990" TargetMode="External"/><Relationship Id="rId88" Type="http://schemas.openxmlformats.org/officeDocument/2006/relationships/hyperlink" Target="http://www.jstor.org/stable/124852" TargetMode="External"/><Relationship Id="rId91" Type="http://schemas.openxmlformats.org/officeDocument/2006/relationships/hyperlink" Target="https://doi.org/10.2139/ssrn.7053279" TargetMode="External"/><Relationship Id="rId96" Type="http://schemas.openxmlformats.org/officeDocument/2006/relationships/hyperlink" Target="https://doi.org/10.1016/j.jasrep.2021.10311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371/journal.pone.0323148" TargetMode="External"/><Relationship Id="rId23" Type="http://schemas.openxmlformats.org/officeDocument/2006/relationships/hyperlink" Target="https://doi.org/10.1038/s41598-021-01221-6" TargetMode="External"/><Relationship Id="rId28" Type="http://schemas.openxmlformats.org/officeDocument/2006/relationships/hyperlink" Target="https://doi.org/10.1016/j.quascirev.2021.106995" TargetMode="External"/><Relationship Id="rId36" Type="http://schemas.openxmlformats.org/officeDocument/2006/relationships/hyperlink" Target="https://doi.org/10.1007/s41982-025-00246-x" TargetMode="External"/><Relationship Id="rId49" Type="http://schemas.openxmlformats.org/officeDocument/2006/relationships/hyperlink" Target="https://igraph.org" TargetMode="External"/><Relationship Id="rId57" Type="http://schemas.openxmlformats.org/officeDocument/2006/relationships/hyperlink" Target="http://www.jstor.org.offcampus.lib.washington.edu/stable/j.ctt1pk86rr.16" TargetMode="External"/><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doi.org/10.1016/j.jhevol.2011.06.001" TargetMode="External"/><Relationship Id="rId44" Type="http://schemas.openxmlformats.org/officeDocument/2006/relationships/hyperlink" Target="https://doi.org/10.18637/jss.v025.i03" TargetMode="External"/><Relationship Id="rId52" Type="http://schemas.openxmlformats.org/officeDocument/2006/relationships/hyperlink" Target="https://doi.org/10.1007/s10816-015-9272-9" TargetMode="External"/><Relationship Id="rId60" Type="http://schemas.openxmlformats.org/officeDocument/2006/relationships/hyperlink" Target="https://doi.org/10.1016/j.quaint.2012.03.054" TargetMode="External"/><Relationship Id="rId65" Type="http://schemas.openxmlformats.org/officeDocument/2006/relationships/hyperlink" Target="https://doi.org/10.1016/B978-0-12-564750-2.50016-0" TargetMode="External"/><Relationship Id="rId73" Type="http://schemas.openxmlformats.org/officeDocument/2006/relationships/hyperlink" Target="https://doi.org/10.1098/rstb.2020.0318" TargetMode="External"/><Relationship Id="rId78" Type="http://schemas.openxmlformats.org/officeDocument/2006/relationships/hyperlink" Target="http://www.jstor.org/stable/2741828" TargetMode="External"/><Relationship Id="rId81" Type="http://schemas.openxmlformats.org/officeDocument/2006/relationships/hyperlink" Target="https://doi.org/10.4000/palethnologie.4945" TargetMode="External"/><Relationship Id="rId86" Type="http://schemas.openxmlformats.org/officeDocument/2006/relationships/hyperlink" Target="http://www.jstor.org/stable/40287096" TargetMode="External"/><Relationship Id="rId94" Type="http://schemas.openxmlformats.org/officeDocument/2006/relationships/hyperlink" Target="https://doi.org/10.1017/S0959774324000155" TargetMode="External"/><Relationship Id="rId99" Type="http://schemas.openxmlformats.org/officeDocument/2006/relationships/hyperlink" Target="https://doi.org/10.1098/rsif.2017.0171" TargetMode="External"/><Relationship Id="rId101" Type="http://schemas.openxmlformats.org/officeDocument/2006/relationships/hyperlink" Target="https://doi.org/10.1371/journal.pone.0102806"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doi.org/10.1016/j.jas.2005.11.017" TargetMode="External"/><Relationship Id="rId39" Type="http://schemas.openxmlformats.org/officeDocument/2006/relationships/hyperlink" Target="https://doi.org/10.1017/RDC.2020.95" TargetMode="External"/><Relationship Id="rId34" Type="http://schemas.openxmlformats.org/officeDocument/2006/relationships/hyperlink" Target="https://doi.org/10.1371/journal.pone.0194097" TargetMode="External"/><Relationship Id="rId50" Type="http://schemas.openxmlformats.org/officeDocument/2006/relationships/hyperlink" Target="https://doi.org/10.1002/9781118445112.stat07841" TargetMode="External"/><Relationship Id="rId55" Type="http://schemas.openxmlformats.org/officeDocument/2006/relationships/hyperlink" Target="https://doi.org/10.2307/3034956" TargetMode="External"/><Relationship Id="rId76" Type="http://schemas.openxmlformats.org/officeDocument/2006/relationships/hyperlink" Target="https://www.proquest.com/dissertations-theses/exchange-embedded-procurement-hunter-gatherer/docview/1026968975/se-2?accountid=14784" TargetMode="External"/><Relationship Id="rId97" Type="http://schemas.openxmlformats.org/officeDocument/2006/relationships/hyperlink" Target="https://doi.org/10.2307/2802103" TargetMode="External"/><Relationship Id="rId104" Type="http://schemas.openxmlformats.org/officeDocument/2006/relationships/hyperlink" Target="https://doi.org/10.3828/hgr.2023.12" TargetMode="External"/><Relationship Id="rId7" Type="http://schemas.openxmlformats.org/officeDocument/2006/relationships/hyperlink" Target="mailto:bmarwick@uw.edu" TargetMode="External"/><Relationship Id="rId71" Type="http://schemas.openxmlformats.org/officeDocument/2006/relationships/hyperlink" Target="https://doi.org/10.2307/j.ctvdmwwz4.7" TargetMode="External"/><Relationship Id="rId92" Type="http://schemas.openxmlformats.org/officeDocument/2006/relationships/hyperlink" Target="https://doi.org/10.1007/s41982-023-00158-8" TargetMode="External"/><Relationship Id="rId2" Type="http://schemas.openxmlformats.org/officeDocument/2006/relationships/styles" Target="styles.xml"/><Relationship Id="rId29" Type="http://schemas.openxmlformats.org/officeDocument/2006/relationships/hyperlink" Target="https://doi.org/10.1371/journal.pone.0189241" TargetMode="External"/><Relationship Id="rId24" Type="http://schemas.openxmlformats.org/officeDocument/2006/relationships/hyperlink" Target="https://doi.org/10.1007/978-3-319-51726-1_3441-1" TargetMode="External"/><Relationship Id="rId40" Type="http://schemas.openxmlformats.org/officeDocument/2006/relationships/hyperlink" Target="https://doi.org/10.1007/s12520-018-0742-3" TargetMode="External"/><Relationship Id="rId45" Type="http://schemas.openxmlformats.org/officeDocument/2006/relationships/hyperlink" Target="https://doi.org/10.1111/j.1502-3931.1988.tb01756.x" TargetMode="External"/><Relationship Id="rId66" Type="http://schemas.openxmlformats.org/officeDocument/2006/relationships/hyperlink" Target="https://doi.org/10.1017/CBO9780511558252.004" TargetMode="External"/><Relationship Id="rId87" Type="http://schemas.openxmlformats.org/officeDocument/2006/relationships/hyperlink" Target="https://doi.org/10.1016/B978-0-12-564750-2.50020-2" TargetMode="External"/><Relationship Id="rId61" Type="http://schemas.openxmlformats.org/officeDocument/2006/relationships/hyperlink" Target="https://doi.org/10.1017/S0079497X00006265" TargetMode="External"/><Relationship Id="rId82" Type="http://schemas.openxmlformats.org/officeDocument/2006/relationships/hyperlink" Target="http://www.jstor.org/stable/2156023" TargetMode="External"/><Relationship Id="rId19" Type="http://schemas.openxmlformats.org/officeDocument/2006/relationships/hyperlink" Target="https://doi.org/10.1016/j.quaint.2017.12.017" TargetMode="External"/><Relationship Id="rId14" Type="http://schemas.openxmlformats.org/officeDocument/2006/relationships/hyperlink" Target="https://books.google.com/books?id=XmrazQEACAAJ" TargetMode="External"/><Relationship Id="rId30" Type="http://schemas.openxmlformats.org/officeDocument/2006/relationships/hyperlink" Target="https://doi.org/10.7485/QU65_1" TargetMode="External"/><Relationship Id="rId35" Type="http://schemas.openxmlformats.org/officeDocument/2006/relationships/hyperlink" Target="https://doi.org/10.4000/palethnologie.736" TargetMode="External"/><Relationship Id="rId56" Type="http://schemas.openxmlformats.org/officeDocument/2006/relationships/hyperlink" Target="https://doi.org/10.1016/B978-0-12-564750-2.50006-8" TargetMode="External"/><Relationship Id="rId77" Type="http://schemas.openxmlformats.org/officeDocument/2006/relationships/hyperlink" Target="https://doi.org/10.1371/journal.pone.0265329" TargetMode="External"/><Relationship Id="rId100" Type="http://schemas.openxmlformats.org/officeDocument/2006/relationships/hyperlink" Target="https://doi.org/10.1007/978-1-4757-9945-3_4" TargetMode="External"/><Relationship Id="rId105" Type="http://schemas.openxmlformats.org/officeDocument/2006/relationships/hyperlink" Target="https://doi.org/10.1007/s10816-023-09608-7" TargetMode="External"/><Relationship Id="rId8" Type="http://schemas.openxmlformats.org/officeDocument/2006/relationships/image" Target="media/image1.png"/><Relationship Id="rId51" Type="http://schemas.openxmlformats.org/officeDocument/2006/relationships/hyperlink" Target="https://doi.org/10.1016/j.evolhumbehav.2014.09.006" TargetMode="External"/><Relationship Id="rId72" Type="http://schemas.openxmlformats.org/officeDocument/2006/relationships/hyperlink" Target="https://doi.org/10.2307/j.ctvdmwwz4.10" TargetMode="External"/><Relationship Id="rId93" Type="http://schemas.openxmlformats.org/officeDocument/2006/relationships/hyperlink" Target="https://doi.org/10.1093/mind/fzae011" TargetMode="External"/><Relationship Id="rId98" Type="http://schemas.openxmlformats.org/officeDocument/2006/relationships/hyperlink" Target="https://doi.org/10.1016/j.quascirev.2018.12.011" TargetMode="External"/><Relationship Id="rId3" Type="http://schemas.openxmlformats.org/officeDocument/2006/relationships/settings" Target="settings.xml"/><Relationship Id="rId25" Type="http://schemas.openxmlformats.org/officeDocument/2006/relationships/hyperlink" Target="https://doi.org/10.1017/ppr.2019.11" TargetMode="External"/><Relationship Id="rId46" Type="http://schemas.openxmlformats.org/officeDocument/2006/relationships/hyperlink" Target="https://doi.org/10.1146/annurev-anthro-102116-041423" TargetMode="External"/><Relationship Id="rId67" Type="http://schemas.openxmlformats.org/officeDocument/2006/relationships/hyperlink" Target="http://www.jstor.org/stable/279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35</Pages>
  <Words>13519</Words>
  <Characters>77063</Characters>
  <Application>Microsoft Office Word</Application>
  <DocSecurity>0</DocSecurity>
  <Lines>642</Lines>
  <Paragraphs>180</Paragraphs>
  <ScaleCrop>false</ScaleCrop>
  <Company/>
  <LinksUpToDate>false</LinksUpToDate>
  <CharactersWithSpaces>90402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cp:lastModifiedBy>Ben Marwick</cp:lastModifiedBy>
  <cp:revision>2</cp:revision>
  <dcterms:created xsi:type="dcterms:W3CDTF">2026-08-07T00:16:00Z</dcterms:created>
  <dcterms:modified xsi:type="dcterms:W3CDTF">2026-08-07T00:18:00Z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