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9.png" ContentType="image/png"/>
  <Override PartName="/word/media/rId216.png" ContentType="image/png"/>
  <Override PartName="/word/media/rId225.png" ContentType="image/png"/>
  <Override PartName="/word/media/rId50.png" ContentType="image/png"/>
  <Override PartName="/word/media/rId158.png" ContentType="image/png"/>
  <Override PartName="/word/media/rId46.png" ContentType="image/png"/>
  <Override PartName="/word/media/rId29.png" ContentType="image/png"/>
  <Override PartName="/word/media/rId130.png" ContentType="image/png"/>
  <Override PartName="/word/media/rId65.png" ContentType="image/png"/>
  <Override PartName="/word/media/rId239.png" ContentType="image/png"/>
  <Override PartName="/word/media/rId268.png" ContentType="image/png"/>
  <Override PartName="/word/media/rId289.png" ContentType="image/png"/>
  <Override PartName="/word/media/rId256.png" ContentType="image/png"/>
  <Override PartName="/word/media/rId248.png" ContentType="image/png"/>
  <Override PartName="/word/media/rId177.png" ContentType="image/png"/>
  <Override PartName="/word/media/rId186.png" ContentType="image/png"/>
  <Override PartName="/word/media/rId19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one of the largest dropped assemblages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Broader-range sites keep denser mutual connections, while restricted-range sites stay peripheral or isolated. Aur-P1 has more edges and a higher mean degree at every threshold, while Aur-P2 has higher edge density because it has far fewer nodes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(density 0.658 in Aur-P1) and the two Aur-P1 sites isolated at 0.2 become connected. At 0.3 the graph is sparser and both phases gain isolates (Aur-P1 2, Aur-P2 2), with Aur-P1’s count unchanged from 0.2.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Sørensen yields more edges and one fewer community per phase; a hub-level comparison is not reported</w:t>
      </w:r>
    </w:p>
    <w:p>
      <w:pPr>
        <w:pStyle w:val="BodyText"/>
      </w:pPr>
      <w:r>
        <w:rPr>
          <w:bCs/>
          <w:b/>
        </w:rPr>
        <w:t xml:space="preserve">Question: does the Aur-P1 connectivity advantage survive under Simpson similarity, which controls for richness asymmetry?</w:t>
      </w:r>
      <w:r>
        <w:t xml:space="preserve"> </w:t>
      </w:r>
      <w:r>
        <w:t xml:space="preserve">Yes, the phase ordering survives Simpson similarity, but the mechanism changes: under J/min(A,B) a poor assemblage nested inside a rich one scores high by construction, so the surviving contrast is a repertoire-size (nestedness) contrast rather than compositional turnover (</w:t>
      </w:r>
      <w:r>
        <w:t xml:space="preserve">Section S1.10.3</w:t>
      </w:r>
      <w:r>
        <w:t xml:space="preserve">).</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is the only lag whose bootstrap interval excludes zero. The Aur-P1 intervals all include zero while the Aur-P2 third-lag interval does not. The Aur-P1 correlogram is flat at every scale; in Aur-P2 a single long-range lag shows a weak positive association, which is consistent with the near-zero and negative global Mantel R rather than contradicting it.</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value is near zero, so the trend surface adds little beyond node count.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This section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hyperlink w:anchor="tbl-two-phase-ref">
        <w:r>
          <w:rPr>
            <w:rStyle w:val="Hyperlink"/>
          </w:rPr>
          <w:t xml:space="preserve">Table S 8</w:t>
        </w:r>
      </w:hyperlink>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which under the date rule alone assigns 19 sites to Aur-P1 and 9 to Aur-P2; the twentieth Aur-P1 unit in the baseline is Hohle Fels’s second assemblage, which the layer-level override places in Aur-P2.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16"/>
              <w:gridCol w:w="954"/>
              <w:gridCol w:w="842"/>
              <w:gridCol w:w="1123"/>
              <w:gridCol w:w="954"/>
              <w:gridCol w:w="1123"/>
              <w:gridCol w:w="898"/>
              <w:gridCol w:w="505"/>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r>
              <w:tc>
                <w:tcPr/>
                <w:p>
                  <w:pPr>
                    <w:pStyle w:val="Compact"/>
                    <w:jc w:val="left"/>
                    <w:jc w:val="center"/>
                  </w:pPr>
                  <w:r>
                    <w:t xml:space="preserve">Abri Pataud</w:t>
                  </w:r>
                </w:p>
              </w:tc>
              <w:tc>
                <w:tcPr/>
                <w:p>
                  <w:pPr>
                    <w:pStyle w:val="Compact"/>
                    <w:jc w:val="right"/>
                    <w:jc w:val="center"/>
                  </w:pPr>
                  <w:r>
                    <w:t xml:space="preserve">40127</w:t>
                  </w:r>
                </w:p>
              </w:tc>
              <w:tc>
                <w:tcPr/>
                <w:p>
                  <w:pPr>
                    <w:pStyle w:val="Compact"/>
                    <w:jc w:val="center"/>
                    <w:jc w:val="center"/>
                  </w:pPr>
                  <w:r>
                    <w:t xml:space="preserve">Aur-P1</w:t>
                  </w:r>
                </w:p>
              </w:tc>
              <w:tc>
                <w:tcPr/>
                <w:p>
                  <w:pPr>
                    <w:pStyle w:val="Compact"/>
                    <w:jc w:val="left"/>
                    <w:jc w:val="center"/>
                  </w:pPr>
                  <w:r>
                    <w:t xml:space="preserve">37854</w:t>
                  </w:r>
                </w:p>
              </w:tc>
              <w:tc>
                <w:tcPr/>
                <w:p>
                  <w:pPr>
                    <w:pStyle w:val="Compact"/>
                    <w:jc w:val="right"/>
                    <w:jc w:val="center"/>
                  </w:pPr>
                  <w:r>
                    <w:t xml:space="preserve">Aur-P1</w:t>
                  </w:r>
                </w:p>
              </w:tc>
              <w:tc>
                <w:tcPr/>
                <w:p>
                  <w:pPr>
                    <w:pStyle w:val="Compact"/>
                    <w:jc w:val="center"/>
                    <w:jc w:val="center"/>
                  </w:pPr>
                  <w:r>
                    <w:t xml:space="preserve">35580</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Bockstein-Törle</w:t>
                  </w:r>
                </w:p>
              </w:tc>
              <w:tc>
                <w:tcPr/>
                <w:p>
                  <w:pPr>
                    <w:pStyle w:val="Compact"/>
                    <w:jc w:val="right"/>
                    <w:jc w:val="center"/>
                  </w:pPr>
                  <w:r>
                    <w:t xml:space="preserve">35872</w:t>
                  </w:r>
                </w:p>
              </w:tc>
              <w:tc>
                <w:tcPr/>
                <w:p>
                  <w:pPr>
                    <w:pStyle w:val="Compact"/>
                    <w:jc w:val="center"/>
                    <w:jc w:val="center"/>
                  </w:pPr>
                  <w:r>
                    <w:t xml:space="preserve">Aur-P2</w:t>
                  </w:r>
                </w:p>
              </w:tc>
              <w:tc>
                <w:tcPr/>
                <w:p>
                  <w:pPr>
                    <w:pStyle w:val="Compact"/>
                    <w:jc w:val="left"/>
                    <w:jc w:val="center"/>
                  </w:pPr>
                  <w:r>
                    <w:t xml:space="preserve">NA</w:t>
                  </w:r>
                </w:p>
              </w:tc>
              <w:tc>
                <w:tcPr/>
                <w:p>
                  <w:pPr>
                    <w:pStyle w:val="Compact"/>
                    <w:jc w:val="right"/>
                    <w:jc w:val="center"/>
                  </w:pPr>
                  <w:r>
                    <w:t xml:space="preserve">NA</w:t>
                  </w:r>
                </w:p>
              </w:tc>
              <w:tc>
                <w:tcPr/>
                <w:p>
                  <w:pPr>
                    <w:pStyle w:val="Compact"/>
                    <w:jc w:val="center"/>
                    <w:jc w:val="center"/>
                  </w:pPr>
                  <w:r>
                    <w:t xml:space="preserve">NA</w:t>
                  </w:r>
                </w:p>
              </w:tc>
              <w:tc>
                <w:tcPr/>
                <w:p>
                  <w:pPr>
                    <w:pStyle w:val="Compact"/>
                    <w:jc w:val="left"/>
                    <w:jc w:val="center"/>
                  </w:pPr>
                  <w:r>
                    <w:t xml:space="preserve">NA</w:t>
                  </w:r>
                </w:p>
              </w:tc>
              <w:tc>
                <w:tcPr/>
                <w:p>
                  <w:pPr>
                    <w:pStyle w:val="Compact"/>
                    <w:jc w:val="center"/>
                    <w:jc w:val="center"/>
                  </w:pPr>
                  <w:r>
                    <w:t xml:space="preserve">dropped</w:t>
                  </w:r>
                </w:p>
              </w:tc>
            </w:tr>
            <w:tr>
              <w:tc>
                <w:tcPr/>
                <w:p>
                  <w:pPr>
                    <w:pStyle w:val="Compact"/>
                    <w:jc w:val="left"/>
                    <w:jc w:val="center"/>
                  </w:pPr>
                  <w:r>
                    <w:t xml:space="preserve">Castanet</w:t>
                  </w:r>
                </w:p>
              </w:tc>
              <w:tc>
                <w:tcPr/>
                <w:p>
                  <w:pPr>
                    <w:pStyle w:val="Compact"/>
                    <w:jc w:val="right"/>
                    <w:jc w:val="center"/>
                  </w:pPr>
                  <w:r>
                    <w:t xml:space="preserve">39413</w:t>
                  </w:r>
                </w:p>
              </w:tc>
              <w:tc>
                <w:tcPr/>
                <w:p>
                  <w:pPr>
                    <w:pStyle w:val="Compact"/>
                    <w:jc w:val="center"/>
                    <w:jc w:val="center"/>
                  </w:pPr>
                  <w:r>
                    <w:t xml:space="preserve">Aur-P1</w:t>
                  </w:r>
                </w:p>
              </w:tc>
              <w:tc>
                <w:tcPr/>
                <w:p>
                  <w:pPr>
                    <w:pStyle w:val="Compact"/>
                    <w:jc w:val="left"/>
                    <w:jc w:val="center"/>
                  </w:pPr>
                  <w:r>
                    <w:t xml:space="preserve">37829</w:t>
                  </w:r>
                </w:p>
              </w:tc>
              <w:tc>
                <w:tcPr/>
                <w:p>
                  <w:pPr>
                    <w:pStyle w:val="Compact"/>
                    <w:jc w:val="right"/>
                    <w:jc w:val="center"/>
                  </w:pPr>
                  <w:r>
                    <w:t xml:space="preserve">Aur-P1</w:t>
                  </w:r>
                </w:p>
              </w:tc>
              <w:tc>
                <w:tcPr/>
                <w:p>
                  <w:pPr>
                    <w:pStyle w:val="Compact"/>
                    <w:jc w:val="center"/>
                    <w:jc w:val="center"/>
                  </w:pPr>
                  <w:r>
                    <w:t xml:space="preserve">36245</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Cellier</w:t>
                  </w:r>
                </w:p>
              </w:tc>
              <w:tc>
                <w:tcPr/>
                <w:p>
                  <w:pPr>
                    <w:pStyle w:val="Compact"/>
                    <w:jc w:val="right"/>
                    <w:jc w:val="center"/>
                  </w:pPr>
                  <w:r>
                    <w:t xml:space="preserve">38392</w:t>
                  </w:r>
                </w:p>
              </w:tc>
              <w:tc>
                <w:tcPr/>
                <w:p>
                  <w:pPr>
                    <w:pStyle w:val="Compact"/>
                    <w:jc w:val="center"/>
                    <w:jc w:val="center"/>
                  </w:pPr>
                  <w:r>
                    <w:t xml:space="preserve">Aur-P1</w:t>
                  </w:r>
                </w:p>
              </w:tc>
              <w:tc>
                <w:tcPr/>
                <w:p>
                  <w:pPr>
                    <w:pStyle w:val="Compact"/>
                    <w:jc w:val="left"/>
                    <w:jc w:val="center"/>
                  </w:pPr>
                  <w:r>
                    <w:t xml:space="preserve">37624</w:t>
                  </w:r>
                </w:p>
              </w:tc>
              <w:tc>
                <w:tcPr/>
                <w:p>
                  <w:pPr>
                    <w:pStyle w:val="Compact"/>
                    <w:jc w:val="right"/>
                    <w:jc w:val="center"/>
                  </w:pPr>
                  <w:r>
                    <w:t xml:space="preserve">Aur-P2</w:t>
                  </w:r>
                </w:p>
              </w:tc>
              <w:tc>
                <w:tcPr/>
                <w:p>
                  <w:pPr>
                    <w:pStyle w:val="Compact"/>
                    <w:jc w:val="center"/>
                    <w:jc w:val="center"/>
                  </w:pPr>
                  <w:r>
                    <w:t xml:space="preserve">36855</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Fumane</w:t>
                  </w:r>
                </w:p>
              </w:tc>
              <w:tc>
                <w:tcPr/>
                <w:p>
                  <w:pPr>
                    <w:pStyle w:val="Compact"/>
                    <w:jc w:val="right"/>
                    <w:jc w:val="center"/>
                  </w:pPr>
                  <w:r>
                    <w:t xml:space="preserve">42561</w:t>
                  </w:r>
                </w:p>
              </w:tc>
              <w:tc>
                <w:tcPr/>
                <w:p>
                  <w:pPr>
                    <w:pStyle w:val="Compact"/>
                    <w:jc w:val="center"/>
                    <w:jc w:val="center"/>
                  </w:pPr>
                  <w:r>
                    <w:t xml:space="preserve">Aur-P1</w:t>
                  </w:r>
                </w:p>
              </w:tc>
              <w:tc>
                <w:tcPr/>
                <w:p>
                  <w:pPr>
                    <w:pStyle w:val="Compact"/>
                    <w:jc w:val="left"/>
                    <w:jc w:val="center"/>
                  </w:pPr>
                  <w:r>
                    <w:t xml:space="preserve">39406</w:t>
                  </w:r>
                </w:p>
              </w:tc>
              <w:tc>
                <w:tcPr/>
                <w:p>
                  <w:pPr>
                    <w:pStyle w:val="Compact"/>
                    <w:jc w:val="right"/>
                    <w:jc w:val="center"/>
                  </w:pPr>
                  <w:r>
                    <w:t xml:space="preserve">Aur-P1</w:t>
                  </w:r>
                </w:p>
              </w:tc>
              <w:tc>
                <w:tcPr/>
                <w:p>
                  <w:pPr>
                    <w:pStyle w:val="Compact"/>
                    <w:jc w:val="center"/>
                    <w:jc w:val="center"/>
                  </w:pPr>
                  <w:r>
                    <w:t xml:space="preserve">36252</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Geissenklösterle</w:t>
                  </w:r>
                </w:p>
              </w:tc>
              <w:tc>
                <w:tcPr/>
                <w:p>
                  <w:pPr>
                    <w:pStyle w:val="Compact"/>
                    <w:jc w:val="right"/>
                    <w:jc w:val="center"/>
                  </w:pPr>
                  <w:r>
                    <w:t xml:space="preserve">40747</w:t>
                  </w:r>
                </w:p>
              </w:tc>
              <w:tc>
                <w:tcPr/>
                <w:p>
                  <w:pPr>
                    <w:pStyle w:val="Compact"/>
                    <w:jc w:val="center"/>
                    <w:jc w:val="center"/>
                  </w:pPr>
                  <w:r>
                    <w:t xml:space="preserve">Aur-P1</w:t>
                  </w:r>
                </w:p>
              </w:tc>
              <w:tc>
                <w:tcPr/>
                <w:p>
                  <w:pPr>
                    <w:pStyle w:val="Compact"/>
                    <w:jc w:val="left"/>
                    <w:jc w:val="center"/>
                  </w:pPr>
                  <w:r>
                    <w:t xml:space="preserve">37898</w:t>
                  </w:r>
                </w:p>
              </w:tc>
              <w:tc>
                <w:tcPr/>
                <w:p>
                  <w:pPr>
                    <w:pStyle w:val="Compact"/>
                    <w:jc w:val="right"/>
                    <w:jc w:val="center"/>
                  </w:pPr>
                  <w:r>
                    <w:t xml:space="preserve">Aur-P1</w:t>
                  </w:r>
                </w:p>
              </w:tc>
              <w:tc>
                <w:tcPr/>
                <w:p>
                  <w:pPr>
                    <w:pStyle w:val="Compact"/>
                    <w:jc w:val="center"/>
                    <w:jc w:val="center"/>
                  </w:pPr>
                  <w:r>
                    <w:t xml:space="preserve">35049</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Grotte de la Verpillière I</w:t>
                  </w:r>
                </w:p>
              </w:tc>
              <w:tc>
                <w:tcPr/>
                <w:p>
                  <w:pPr>
                    <w:pStyle w:val="Compact"/>
                    <w:jc w:val="right"/>
                    <w:jc w:val="center"/>
                  </w:pPr>
                  <w:r>
                    <w:t xml:space="preserve">38896</w:t>
                  </w:r>
                </w:p>
              </w:tc>
              <w:tc>
                <w:tcPr/>
                <w:p>
                  <w:pPr>
                    <w:pStyle w:val="Compact"/>
                    <w:jc w:val="center"/>
                    <w:jc w:val="center"/>
                  </w:pPr>
                  <w:r>
                    <w:t xml:space="preserve">Aur-P1</w:t>
                  </w:r>
                </w:p>
              </w:tc>
              <w:tc>
                <w:tcPr/>
                <w:p>
                  <w:pPr>
                    <w:pStyle w:val="Compact"/>
                    <w:jc w:val="left"/>
                    <w:jc w:val="center"/>
                  </w:pPr>
                  <w:r>
                    <w:t xml:space="preserve">36218</w:t>
                  </w:r>
                </w:p>
              </w:tc>
              <w:tc>
                <w:tcPr/>
                <w:p>
                  <w:pPr>
                    <w:pStyle w:val="Compact"/>
                    <w:jc w:val="right"/>
                    <w:jc w:val="center"/>
                  </w:pPr>
                  <w:r>
                    <w:t xml:space="preserve">Aur-P2</w:t>
                  </w:r>
                </w:p>
              </w:tc>
              <w:tc>
                <w:tcPr/>
                <w:p>
                  <w:pPr>
                    <w:pStyle w:val="Compact"/>
                    <w:jc w:val="center"/>
                    <w:jc w:val="center"/>
                  </w:pPr>
                  <w:r>
                    <w:t xml:space="preserve">33541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Grottes de Fonds-de-Forêt</w:t>
                  </w:r>
                </w:p>
              </w:tc>
              <w:tc>
                <w:tcPr/>
                <w:p>
                  <w:pPr>
                    <w:pStyle w:val="Compact"/>
                    <w:jc w:val="right"/>
                    <w:jc w:val="center"/>
                  </w:pPr>
                  <w:r>
                    <w:t xml:space="preserve">38509</w:t>
                  </w:r>
                </w:p>
              </w:tc>
              <w:tc>
                <w:tcPr/>
                <w:p>
                  <w:pPr>
                    <w:pStyle w:val="Compact"/>
                    <w:jc w:val="center"/>
                    <w:jc w:val="center"/>
                  </w:pPr>
                  <w:r>
                    <w:t xml:space="preserve">Aur-P1</w:t>
                  </w:r>
                </w:p>
              </w:tc>
              <w:tc>
                <w:tcPr/>
                <w:p>
                  <w:pPr>
                    <w:pStyle w:val="Compact"/>
                    <w:jc w:val="left"/>
                    <w:jc w:val="center"/>
                  </w:pPr>
                  <w:r>
                    <w:t xml:space="preserve">36168</w:t>
                  </w:r>
                </w:p>
              </w:tc>
              <w:tc>
                <w:tcPr/>
                <w:p>
                  <w:pPr>
                    <w:pStyle w:val="Compact"/>
                    <w:jc w:val="right"/>
                    <w:jc w:val="center"/>
                  </w:pPr>
                  <w:r>
                    <w:t xml:space="preserve">Aur-P2</w:t>
                  </w:r>
                </w:p>
              </w:tc>
              <w:tc>
                <w:tcPr/>
                <w:p>
                  <w:pPr>
                    <w:pStyle w:val="Compact"/>
                    <w:jc w:val="center"/>
                    <w:jc w:val="center"/>
                  </w:pPr>
                  <w:r>
                    <w:t xml:space="preserve">33827</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Les Cottés</w:t>
                  </w:r>
                </w:p>
              </w:tc>
              <w:tc>
                <w:tcPr/>
                <w:p>
                  <w:pPr>
                    <w:pStyle w:val="Compact"/>
                    <w:jc w:val="right"/>
                    <w:jc w:val="center"/>
                  </w:pPr>
                  <w:r>
                    <w:t xml:space="preserve">40037</w:t>
                  </w:r>
                </w:p>
              </w:tc>
              <w:tc>
                <w:tcPr/>
                <w:p>
                  <w:pPr>
                    <w:pStyle w:val="Compact"/>
                    <w:jc w:val="center"/>
                    <w:jc w:val="center"/>
                  </w:pPr>
                  <w:r>
                    <w:t xml:space="preserve">Aur-P1</w:t>
                  </w:r>
                </w:p>
              </w:tc>
              <w:tc>
                <w:tcPr/>
                <w:p>
                  <w:pPr>
                    <w:pStyle w:val="Compact"/>
                    <w:jc w:val="left"/>
                    <w:jc w:val="center"/>
                  </w:pPr>
                  <w:r>
                    <w:t xml:space="preserve">38002</w:t>
                  </w:r>
                </w:p>
              </w:tc>
              <w:tc>
                <w:tcPr/>
                <w:p>
                  <w:pPr>
                    <w:pStyle w:val="Compact"/>
                    <w:jc w:val="right"/>
                    <w:jc w:val="center"/>
                  </w:pPr>
                  <w:r>
                    <w:t xml:space="preserve">Aur-P1</w:t>
                  </w:r>
                </w:p>
              </w:tc>
              <w:tc>
                <w:tcPr/>
                <w:p>
                  <w:pPr>
                    <w:pStyle w:val="Compact"/>
                    <w:jc w:val="center"/>
                    <w:jc w:val="center"/>
                  </w:pPr>
                  <w:r>
                    <w:t xml:space="preserve">35968</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Mladeč</w:t>
                  </w:r>
                </w:p>
              </w:tc>
              <w:tc>
                <w:tcPr/>
                <w:p>
                  <w:pPr>
                    <w:pStyle w:val="Compact"/>
                    <w:jc w:val="right"/>
                    <w:jc w:val="center"/>
                  </w:pPr>
                  <w:r>
                    <w:t xml:space="preserve">40091</w:t>
                  </w:r>
                </w:p>
              </w:tc>
              <w:tc>
                <w:tcPr/>
                <w:p>
                  <w:pPr>
                    <w:pStyle w:val="Compact"/>
                    <w:jc w:val="center"/>
                    <w:jc w:val="center"/>
                  </w:pPr>
                  <w:r>
                    <w:t xml:space="preserve">Aur-P1</w:t>
                  </w:r>
                </w:p>
              </w:tc>
              <w:tc>
                <w:tcPr/>
                <w:p>
                  <w:pPr>
                    <w:pStyle w:val="Compact"/>
                    <w:jc w:val="left"/>
                    <w:jc w:val="center"/>
                  </w:pPr>
                  <w:r>
                    <w:t xml:space="preserve">37831</w:t>
                  </w:r>
                </w:p>
              </w:tc>
              <w:tc>
                <w:tcPr/>
                <w:p>
                  <w:pPr>
                    <w:pStyle w:val="Compact"/>
                    <w:jc w:val="right"/>
                    <w:jc w:val="center"/>
                  </w:pPr>
                  <w:r>
                    <w:t xml:space="preserve">Aur-P1</w:t>
                  </w:r>
                </w:p>
              </w:tc>
              <w:tc>
                <w:tcPr/>
                <w:p>
                  <w:pPr>
                    <w:pStyle w:val="Compact"/>
                    <w:jc w:val="center"/>
                    <w:jc w:val="center"/>
                  </w:pPr>
                  <w:r>
                    <w:t xml:space="preserve">35571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Pod Hradem</w:t>
                  </w:r>
                </w:p>
              </w:tc>
              <w:tc>
                <w:tcPr/>
                <w:p>
                  <w:pPr>
                    <w:pStyle w:val="Compact"/>
                    <w:jc w:val="right"/>
                    <w:jc w:val="center"/>
                  </w:pPr>
                  <w:r>
                    <w:t xml:space="preserve">44778</w:t>
                  </w:r>
                </w:p>
              </w:tc>
              <w:tc>
                <w:tcPr/>
                <w:p>
                  <w:pPr>
                    <w:pStyle w:val="Compact"/>
                    <w:jc w:val="center"/>
                    <w:jc w:val="center"/>
                  </w:pPr>
                  <w:r>
                    <w:t xml:space="preserve">Aur-P1</w:t>
                  </w:r>
                </w:p>
              </w:tc>
              <w:tc>
                <w:tcPr/>
                <w:p>
                  <w:pPr>
                    <w:pStyle w:val="Compact"/>
                    <w:jc w:val="left"/>
                    <w:jc w:val="center"/>
                  </w:pPr>
                  <w:r>
                    <w:t xml:space="preserve">38556</w:t>
                  </w:r>
                </w:p>
              </w:tc>
              <w:tc>
                <w:tcPr/>
                <w:p>
                  <w:pPr>
                    <w:pStyle w:val="Compact"/>
                    <w:jc w:val="right"/>
                    <w:jc w:val="center"/>
                  </w:pPr>
                  <w:r>
                    <w:t xml:space="preserve">Aur-P1</w:t>
                  </w:r>
                </w:p>
              </w:tc>
              <w:tc>
                <w:tcPr/>
                <w:p>
                  <w:pPr>
                    <w:pStyle w:val="Compact"/>
                    <w:jc w:val="center"/>
                    <w:jc w:val="center"/>
                  </w:pPr>
                  <w:r>
                    <w:t xml:space="preserve">32334</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Sirgenstein Cave</w:t>
                  </w:r>
                </w:p>
              </w:tc>
              <w:tc>
                <w:tcPr/>
                <w:p>
                  <w:pPr>
                    <w:pStyle w:val="Compact"/>
                    <w:jc w:val="right"/>
                    <w:jc w:val="center"/>
                  </w:pPr>
                  <w:r>
                    <w:t xml:space="preserve">34773</w:t>
                  </w:r>
                </w:p>
              </w:tc>
              <w:tc>
                <w:tcPr/>
                <w:p>
                  <w:pPr>
                    <w:pStyle w:val="Compact"/>
                    <w:jc w:val="center"/>
                    <w:jc w:val="center"/>
                  </w:pPr>
                  <w:r>
                    <w:t xml:space="preserve">Aur-P2</w:t>
                  </w:r>
                </w:p>
              </w:tc>
              <w:tc>
                <w:tcPr/>
                <w:p>
                  <w:pPr>
                    <w:pStyle w:val="Compact"/>
                    <w:jc w:val="left"/>
                    <w:jc w:val="center"/>
                  </w:pPr>
                  <w:r>
                    <w:t xml:space="preserve">32874</w:t>
                  </w:r>
                </w:p>
              </w:tc>
              <w:tc>
                <w:tcPr/>
                <w:p>
                  <w:pPr>
                    <w:pStyle w:val="Compact"/>
                    <w:jc w:val="right"/>
                    <w:jc w:val="center"/>
                  </w:pPr>
                  <w:r>
                    <w:t xml:space="preserve">Aur-P2</w:t>
                  </w:r>
                </w:p>
              </w:tc>
              <w:tc>
                <w:tcPr/>
                <w:p>
                  <w:pPr>
                    <w:pStyle w:val="Compact"/>
                    <w:jc w:val="center"/>
                    <w:jc w:val="center"/>
                  </w:pPr>
                  <w:r>
                    <w:t xml:space="preserve">NA</w:t>
                  </w:r>
                </w:p>
              </w:tc>
              <w:tc>
                <w:tcPr/>
                <w:p>
                  <w:pPr>
                    <w:pStyle w:val="Compact"/>
                    <w:jc w:val="left"/>
                    <w:jc w:val="center"/>
                  </w:pPr>
                  <w:r>
                    <w:t xml:space="preserve">NA</w:t>
                  </w:r>
                </w:p>
              </w:tc>
              <w:tc>
                <w:tcPr/>
                <w:p>
                  <w:pPr>
                    <w:pStyle w:val="Compact"/>
                    <w:jc w:val="center"/>
                    <w:jc w:val="center"/>
                  </w:pPr>
                  <w:r>
                    <w:t xml:space="preserve">dropped</w:t>
                  </w:r>
                </w:p>
              </w:tc>
            </w:tr>
            <w:tr>
              <w:tc>
                <w:tcPr/>
                <w:p>
                  <w:pPr>
                    <w:pStyle w:val="Compact"/>
                    <w:jc w:val="left"/>
                    <w:jc w:val="center"/>
                  </w:pPr>
                  <w:r>
                    <w:t xml:space="preserve">Solutré</w:t>
                  </w:r>
                </w:p>
              </w:tc>
              <w:tc>
                <w:tcPr/>
                <w:p>
                  <w:pPr>
                    <w:pStyle w:val="Compact"/>
                    <w:jc w:val="right"/>
                    <w:jc w:val="center"/>
                  </w:pPr>
                  <w:r>
                    <w:t xml:space="preserve">38896</w:t>
                  </w:r>
                </w:p>
              </w:tc>
              <w:tc>
                <w:tcPr/>
                <w:p>
                  <w:pPr>
                    <w:pStyle w:val="Compact"/>
                    <w:jc w:val="center"/>
                    <w:jc w:val="center"/>
                  </w:pPr>
                  <w:r>
                    <w:t xml:space="preserve">Aur-P1</w:t>
                  </w:r>
                </w:p>
              </w:tc>
              <w:tc>
                <w:tcPr/>
                <w:p>
                  <w:pPr>
                    <w:pStyle w:val="Compact"/>
                    <w:jc w:val="left"/>
                    <w:jc w:val="center"/>
                  </w:pPr>
                  <w:r>
                    <w:t xml:space="preserve">36218</w:t>
                  </w:r>
                </w:p>
              </w:tc>
              <w:tc>
                <w:tcPr/>
                <w:p>
                  <w:pPr>
                    <w:pStyle w:val="Compact"/>
                    <w:jc w:val="right"/>
                    <w:jc w:val="center"/>
                  </w:pPr>
                  <w:r>
                    <w:t xml:space="preserve">Aur-P2</w:t>
                  </w:r>
                </w:p>
              </w:tc>
              <w:tc>
                <w:tcPr/>
                <w:p>
                  <w:pPr>
                    <w:pStyle w:val="Compact"/>
                    <w:jc w:val="center"/>
                    <w:jc w:val="center"/>
                  </w:pPr>
                  <w:r>
                    <w:t xml:space="preserve">33541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Trou Magrite</w:t>
                  </w:r>
                </w:p>
              </w:tc>
              <w:tc>
                <w:tcPr/>
                <w:p>
                  <w:pPr>
                    <w:pStyle w:val="Compact"/>
                    <w:jc w:val="right"/>
                    <w:jc w:val="center"/>
                  </w:pPr>
                  <w:r>
                    <w:t xml:space="preserve">32893</w:t>
                  </w:r>
                </w:p>
              </w:tc>
              <w:tc>
                <w:tcPr/>
                <w:p>
                  <w:pPr>
                    <w:pStyle w:val="Compact"/>
                    <w:jc w:val="center"/>
                    <w:jc w:val="center"/>
                  </w:pPr>
                  <w:r>
                    <w:t xml:space="preserve">Aur-P2</w:t>
                  </w:r>
                </w:p>
              </w:tc>
              <w:tc>
                <w:tcPr/>
                <w:p>
                  <w:pPr>
                    <w:pStyle w:val="Compact"/>
                    <w:jc w:val="left"/>
                    <w:jc w:val="center"/>
                  </w:pPr>
                  <w:r>
                    <w:t xml:space="preserve">NA</w:t>
                  </w:r>
                </w:p>
              </w:tc>
              <w:tc>
                <w:tcPr/>
                <w:p>
                  <w:pPr>
                    <w:pStyle w:val="Compact"/>
                    <w:jc w:val="right"/>
                    <w:jc w:val="center"/>
                  </w:pPr>
                  <w:r>
                    <w:t xml:space="preserve">NA</w:t>
                  </w:r>
                </w:p>
              </w:tc>
              <w:tc>
                <w:tcPr/>
                <w:p>
                  <w:pPr>
                    <w:pStyle w:val="Compact"/>
                    <w:jc w:val="center"/>
                    <w:jc w:val="center"/>
                  </w:pPr>
                  <w:r>
                    <w:t xml:space="preserve">NA</w:t>
                  </w:r>
                </w:p>
              </w:tc>
              <w:tc>
                <w:tcPr/>
                <w:p>
                  <w:pPr>
                    <w:pStyle w:val="Compact"/>
                    <w:jc w:val="left"/>
                    <w:jc w:val="center"/>
                  </w:pPr>
                  <w:r>
                    <w:t xml:space="preserve">NA</w:t>
                  </w:r>
                </w:p>
              </w:tc>
              <w:tc>
                <w:tcPr/>
                <w:p>
                  <w:pPr>
                    <w:pStyle w:val="Compact"/>
                    <w:jc w:val="center"/>
                    <w:jc w:val="center"/>
                  </w:pPr>
                  <w:r>
                    <w:t xml:space="preserve">dropped</w:t>
                  </w:r>
                </w:p>
              </w:tc>
            </w:tr>
            <w:tr>
              <w:tc>
                <w:tcPr/>
                <w:p>
                  <w:pPr>
                    <w:pStyle w:val="Compact"/>
                    <w:jc w:val="left"/>
                    <w:jc w:val="center"/>
                  </w:pPr>
                  <w:r>
                    <w:t xml:space="preserve">Trou al’Wesse</w:t>
                  </w:r>
                </w:p>
              </w:tc>
              <w:tc>
                <w:tcPr/>
                <w:p>
                  <w:pPr>
                    <w:pStyle w:val="Compact"/>
                    <w:jc w:val="right"/>
                    <w:jc w:val="center"/>
                  </w:pPr>
                  <w:r>
                    <w:t xml:space="preserve">38392</w:t>
                  </w:r>
                </w:p>
              </w:tc>
              <w:tc>
                <w:tcPr/>
                <w:p>
                  <w:pPr>
                    <w:pStyle w:val="Compact"/>
                    <w:jc w:val="center"/>
                    <w:jc w:val="center"/>
                  </w:pPr>
                  <w:r>
                    <w:t xml:space="preserve">Aur-P1</w:t>
                  </w:r>
                </w:p>
              </w:tc>
              <w:tc>
                <w:tcPr/>
                <w:p>
                  <w:pPr>
                    <w:pStyle w:val="Compact"/>
                    <w:jc w:val="left"/>
                    <w:jc w:val="center"/>
                  </w:pPr>
                  <w:r>
                    <w:t xml:space="preserve">36778</w:t>
                  </w:r>
                </w:p>
              </w:tc>
              <w:tc>
                <w:tcPr/>
                <w:p>
                  <w:pPr>
                    <w:pStyle w:val="Compact"/>
                    <w:jc w:val="right"/>
                    <w:jc w:val="center"/>
                  </w:pPr>
                  <w:r>
                    <w:t xml:space="preserve">Aur-P2</w:t>
                  </w:r>
                </w:p>
              </w:tc>
              <w:tc>
                <w:tcPr/>
                <w:p>
                  <w:pPr>
                    <w:pStyle w:val="Compact"/>
                    <w:jc w:val="center"/>
                    <w:jc w:val="center"/>
                  </w:pPr>
                  <w:r>
                    <w:t xml:space="preserve">35164</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Vogelherd</w:t>
                  </w:r>
                </w:p>
              </w:tc>
              <w:tc>
                <w:tcPr/>
                <w:p>
                  <w:pPr>
                    <w:pStyle w:val="Compact"/>
                    <w:jc w:val="right"/>
                    <w:jc w:val="center"/>
                  </w:pPr>
                  <w:r>
                    <w:t xml:space="preserve">40840</w:t>
                  </w:r>
                </w:p>
              </w:tc>
              <w:tc>
                <w:tcPr/>
                <w:p>
                  <w:pPr>
                    <w:pStyle w:val="Compact"/>
                    <w:jc w:val="center"/>
                    <w:jc w:val="center"/>
                  </w:pPr>
                  <w:r>
                    <w:t xml:space="preserve">Aur-P1</w:t>
                  </w:r>
                </w:p>
              </w:tc>
              <w:tc>
                <w:tcPr/>
                <w:p>
                  <w:pPr>
                    <w:pStyle w:val="Compact"/>
                    <w:jc w:val="left"/>
                    <w:jc w:val="center"/>
                  </w:pPr>
                  <w:r>
                    <w:t xml:space="preserve">35516</w:t>
                  </w:r>
                </w:p>
              </w:tc>
              <w:tc>
                <w:tcPr/>
                <w:p>
                  <w:pPr>
                    <w:pStyle w:val="Compact"/>
                    <w:jc w:val="right"/>
                    <w:jc w:val="center"/>
                  </w:pPr>
                  <w:r>
                    <w:t xml:space="preserve">Aur-P2</w:t>
                  </w:r>
                </w:p>
              </w:tc>
              <w:tc>
                <w:tcPr/>
                <w:p>
                  <w:pPr>
                    <w:pStyle w:val="Compact"/>
                    <w:jc w:val="center"/>
                    <w:jc w:val="center"/>
                  </w:pPr>
                  <w:r>
                    <w:t xml:space="preserve">30193</w:t>
                  </w:r>
                </w:p>
              </w:tc>
              <w:tc>
                <w:tcPr/>
                <w:p>
                  <w:pPr>
                    <w:pStyle w:val="Compact"/>
                    <w:jc w:val="left"/>
                    <w:jc w:val="center"/>
                  </w:pPr>
                  <w:r>
                    <w:t xml:space="preserve">Aur-P2</w:t>
                  </w:r>
                </w:p>
              </w:tc>
              <w:tc>
                <w:tcPr/>
                <w:p>
                  <w:pPr>
                    <w:pStyle w:val="Compact"/>
                    <w:jc w:val="center"/>
                    <w:jc w:val="center"/>
                  </w:pPr>
                  <w:r>
                    <w:t xml:space="preserve">Yes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variants assign 19, 13 and 6 sites to Aur-P1 respectively (of 28, 26 and 25 sites retained), so 13 of 28 sites change phase and three more fail date parsing altogether under the alternative ends (</w:t>
      </w:r>
      <w:hyperlink w:anchor="tbl-date-variant-comparison">
        <w:r>
          <w:rPr>
            <w:rStyle w:val="Hyperlink"/>
          </w:rPr>
          <w:t xml:space="preserve">Table S 11</w:t>
        </w:r>
      </w:hyperlink>
      <w:r>
        <w:t xml:space="preserve">). Six sites switch between older and midpoint — Cellier, Grotte de la Verpillière I, Grottes de Fonds-de-Forêt, Solutré, Trou al’Wesse and Vogelherd all move from Aur-P1 to Aur-P2 — and seven more, among them Mladeč (40,091 / 37,831 / 35,571 cal BP), Abri Pataud and Les Cottés, move only at the younger end. Bockstein-Törle, Sirgenstein Cave and Trou Magrite, all Aur-P2 sites at baseline, fail date parsing under at least one variant. The choice of calibrated end therefore shifts the phase balance substantially.</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This section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gives 37,831 cal BP (Aur-P1) and the younger end 35,571 cal BP (Evolved Aurignacian, Aur-P2)</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Aur-P1 retains 20 sites and gains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network. The date-based alternative is a useful worst case: it fragments long-occupied sites across phases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so the Aur-P1 network does not depend on this single site (</w:t>
      </w:r>
      <w:hyperlink w:anchor="tbl-reclass-comparison">
        <w:r>
          <w:rPr>
            <w:rStyle w:val="Hyperlink"/>
          </w:rPr>
          <w:t xml:space="preserve">Table S 14</w:t>
        </w:r>
      </w:hyperlink>
      <w:r>
        <w:t xml:space="preserve">, Exclude Vogelherd row).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though those figures come from the technology-based baseline, since the SBM was not refitted under the date-based assignment,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at threshold 0.2 in both phases and also at 0.3 in Aur-P2, but differs at 0.1 in Aur-P1 and at 0.3 in Aur-P1.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shows how much variance each partition explains, but because Louvain is fitted to the same matrix it cannot test circularity; the withheld-data tests in</w:t>
      </w:r>
      <w:r>
        <w:t xml:space="preserve"> </w:t>
      </w:r>
      <w:r>
        <w:t xml:space="preserve">Section S1.10</w:t>
      </w:r>
      <w:r>
        <w:t xml:space="preserve"> </w:t>
      </w:r>
      <w:r>
        <w:t xml:space="preserve">do.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is lower than at 0.2 and 0.3 but still far about the null.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which test a different hypothesis (whether restricted-range and broader-range sites differ in sign composition),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but the Aur-P1 correlation is slightly negative (ρ = -0.254, p = 0.280) and the Aur-P2 correlation, while positive, is far from significant given the small sample. The absence of a richness–degree correlation rules out one explanation for the Aur-P1 mean-degree gap (richness-driven degree) but does not license a cultural reading of it. Network size accounts for it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is consistent with the main-text interpretation: geographic distance does not account for sign distribution in either phase, and the largest correlations are weakly positive for Aur-P1 and weakly negative for Aur-P2. Neither phase shows a geographic signal, which is consistent with other findings that the restricted/broad divide is a richness axis rather than a spatial one.</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NA for Aur-P1 and NA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leaves a larger modularity excess in Aur-P1 (1.90× against 1.27×), although the ordering is not stable across assignment schemes and the two phases’ bands overlap</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5"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50" w:name="sec-s8-1"/>
    <w:p>
      <w:pPr>
        <w:pStyle w:val="Heading2"/>
      </w:pPr>
      <w:r>
        <w:t xml:space="preserve">S1.8.2 Multiple regression on distance matrices</w:t>
      </w:r>
    </w:p>
    <w:bookmarkStart w:id="148" w:name="rationale-11"/>
    <w:p>
      <w:pPr>
        <w:pStyle w:val="Heading3"/>
      </w:pPr>
      <w:r>
        <w:t xml:space="preserve">Rationale</w:t>
      </w:r>
    </w:p>
    <w:p>
      <w:pPr>
        <w:pStyle w:val="FirstParagraph"/>
      </w:pPr>
      <w:r>
        <w:t xml:space="preserve">The Mantel tests show that geographic distance is not significantly correlated with sign dissimilarity in either phase. A non-significant result does not show which process made the pattern. We therefore fit a multiple regression on distance matrices (MRM;</w:t>
      </w:r>
      <w:r>
        <w:t xml:space="preserve"> </w:t>
      </w:r>
      <w:r>
        <w:t xml:space="preserve">[16]</w:t>
      </w:r>
      <w:r>
        <w:t xml:space="preserve">). The response is the Jaccard dissimilarity of the sign presence/absence vectors. Three predictors describe each pair of sites: geographic distance, absolute temporal lag, and difference in object count. Object count is a proxy for sampling effort. Each predictor is a distance matrix. This places all three on the same pairwise footing. We fit one model for Aur-P1 and one for Aur-P2, to match the phase-specific Mantel tests. Site ages are per-site medians of the calibrated age in years BP. We report the coefficient and the permutation p-value for each driver (</w:t>
      </w:r>
      <w:hyperlink w:anchor="tbl-mrm">
        <w:r>
          <w:rPr>
            <w:rStyle w:val="Hyperlink"/>
          </w:rPr>
          <w:t xml:space="preserve">Table S 27</w:t>
        </w:r>
      </w:hyperlink>
      <w:r>
        <w:t xml:space="preserve">). Coefficients are in units of one standard deviation of the predictor. This makes the three drivers comparable, because their raw units differ. Standardising the predictors does not change the fit, so the model R2 and the permutation p-values are the same in either set of units. We do not report confidence intervals. The bootstrap resampled objects, which created duplicate sites with zero distance, and no replicate produced a valid fit.</w:t>
      </w:r>
    </w:p>
    <w:p>
      <w:pPr>
        <w:pStyle w:val="BodyText"/>
      </w:pPr>
      <w:r>
        <w:rPr>
          <w:bCs/>
          <w:b/>
        </w:rPr>
        <w:t xml:space="preserve">Question: do geographic distance, temporal distance, and object-count difference jointly explain sign dissimilarity in either phase?</w:t>
      </w:r>
    </w:p>
    <w:tbl>
      <w:tblPr>
        <w:tblStyle w:val="Table"/>
        <w:tblW w:type="pct" w:w="5000"/>
        <w:tblLook w:firstRow="0" w:lastRow="0" w:firstColumn="0" w:lastColumn="0" w:noHBand="0" w:noVBand="0" w:val="0000"/>
        <w:jc w:val="start"/>
        <w:tblLayout w:type="fixed"/>
      </w:tblPr>
      <w:tblGrid>
        <w:gridCol w:w="7920"/>
      </w:tblGrid>
      <w:tr>
        <w:tc>
          <w:tcPr/>
          <w:bookmarkStart w:id="147" w:name="tbl-mrm"/>
          <w:tbl>
            <w:tblPr>
              <w:tblStyle w:val="Table"/>
              <w:tblW w:type="pct" w:w="5000"/>
              <w:tblLook w:firstRow="1" w:lastRow="0" w:firstColumn="0" w:lastColumn="0" w:noHBand="0" w:noVBand="0" w:val="0020"/>
              <w:jc w:val="start"/>
              <w:tblLayout w:type="fixed"/>
            </w:tblPr>
            <w:tblGrid>
              <w:gridCol w:w="393"/>
              <w:gridCol w:w="1348"/>
              <w:gridCol w:w="1179"/>
              <w:gridCol w:w="786"/>
              <w:gridCol w:w="617"/>
              <w:gridCol w:w="1685"/>
              <w:gridCol w:w="505"/>
              <w:gridCol w:w="449"/>
              <w:gridCol w:w="337"/>
              <w:gridCol w:w="617"/>
            </w:tblGrid>
            <w:tr>
              <w:trPr>
                <w:tblHeader w:val="true"/>
              </w:trPr>
              <w:tc>
                <w:tcPr/>
                <w:p>
                  <w:pPr>
                    <w:pStyle w:val="Compact"/>
                    <w:jc w:val="left"/>
                    <w:jc w:val="center"/>
                  </w:pPr>
                  <w:r>
                    <w:t xml:space="preserve">Phase</w:t>
                  </w:r>
                </w:p>
              </w:tc>
              <w:tc>
                <w:tcPr/>
                <w:p>
                  <w:pPr>
                    <w:pStyle w:val="Compact"/>
                    <w:jc w:val="left"/>
                    <w:jc w:val="center"/>
                  </w:pPr>
                  <w:r>
                    <w:t xml:space="preserve">Driver</w:t>
                  </w:r>
                </w:p>
              </w:tc>
              <w:tc>
                <w:tcPr/>
                <w:p>
                  <w:pPr>
                    <w:pStyle w:val="Compact"/>
                    <w:jc w:val="right"/>
                    <w:jc w:val="center"/>
                  </w:pPr>
                  <w:r>
                    <w:t xml:space="preserve">Coefficient (per SD)</w:t>
                  </w:r>
                </w:p>
              </w:tc>
              <w:tc>
                <w:tcPr/>
                <w:p>
                  <w:pPr>
                    <w:pStyle w:val="Compact"/>
                    <w:jc w:val="right"/>
                    <w:jc w:val="center"/>
                  </w:pPr>
                  <w:r>
                    <w:t xml:space="preserve">Permutation p</w:t>
                  </w:r>
                </w:p>
              </w:tc>
              <w:tc>
                <w:tcPr/>
                <w:p>
                  <w:pPr>
                    <w:pStyle w:val="Compact"/>
                    <w:jc w:val="right"/>
                    <w:jc w:val="center"/>
                  </w:pPr>
                  <w:r>
                    <w:t xml:space="preserve">1 SD</w:t>
                  </w:r>
                </w:p>
              </w:tc>
              <w:tc>
                <w:tcPr/>
                <w:p>
                  <w:pPr>
                    <w:pStyle w:val="Compact"/>
                    <w:jc w:val="left"/>
                    <w:jc w:val="center"/>
                  </w:pPr>
                  <w:r>
                    <w:t xml:space="preserve">Change over observed range</w:t>
                  </w:r>
                </w:p>
              </w:tc>
              <w:tc>
                <w:tcPr/>
                <w:p>
                  <w:pPr>
                    <w:pStyle w:val="Compact"/>
                    <w:jc w:val="right"/>
                    <w:jc w:val="center"/>
                  </w:pPr>
                  <w:r>
                    <w:t xml:space="preserve">Model R2</w:t>
                  </w:r>
                </w:p>
              </w:tc>
              <w:tc>
                <w:tcPr/>
                <w:p>
                  <w:pPr>
                    <w:pStyle w:val="Compact"/>
                    <w:jc w:val="right"/>
                    <w:jc w:val="center"/>
                  </w:pPr>
                  <w:r>
                    <w:t xml:space="preserve">Model p</w:t>
                  </w:r>
                </w:p>
              </w:tc>
              <w:tc>
                <w:tcPr/>
                <w:p>
                  <w:pPr>
                    <w:pStyle w:val="Compact"/>
                    <w:jc w:val="right"/>
                    <w:jc w:val="center"/>
                  </w:pPr>
                  <w:r>
                    <w:t xml:space="preserve">Sites</w:t>
                  </w:r>
                </w:p>
              </w:tc>
              <w:tc>
                <w:tcPr/>
                <w:p>
                  <w:pPr>
                    <w:pStyle w:val="Compact"/>
                    <w:jc w:val="right"/>
                    <w:jc w:val="center"/>
                  </w:pPr>
                  <w:r>
                    <w:t xml:space="preserve">Site pairs</w:t>
                  </w:r>
                </w:p>
              </w:tc>
            </w:tr>
            <w:tr>
              <w:tc>
                <w:tcPr/>
                <w:p>
                  <w:pPr>
                    <w:pStyle w:val="Compact"/>
                    <w:jc w:val="left"/>
                    <w:jc w:val="center"/>
                  </w:pPr>
                  <w:r>
                    <w:t xml:space="preserve">Aur-P1</w:t>
                  </w:r>
                </w:p>
              </w:tc>
              <w:tc>
                <w:tcPr/>
                <w:p>
                  <w:pPr>
                    <w:pStyle w:val="Compact"/>
                    <w:jc w:val="left"/>
                    <w:jc w:val="center"/>
                  </w:pPr>
                  <w:r>
                    <w:t xml:space="preserve">Geographic distance</w:t>
                  </w:r>
                </w:p>
              </w:tc>
              <w:tc>
                <w:tcPr/>
                <w:p>
                  <w:pPr>
                    <w:pStyle w:val="Compact"/>
                    <w:jc w:val="right"/>
                    <w:jc w:val="center"/>
                  </w:pPr>
                  <w:r>
                    <w:t xml:space="preserve">+0.016</w:t>
                  </w:r>
                </w:p>
              </w:tc>
              <w:tc>
                <w:tcPr/>
                <w:p>
                  <w:pPr>
                    <w:pStyle w:val="Compact"/>
                    <w:jc w:val="right"/>
                    <w:jc w:val="center"/>
                  </w:pPr>
                  <w:r>
                    <w:t xml:space="preserve">0.421</w:t>
                  </w:r>
                </w:p>
              </w:tc>
              <w:tc>
                <w:tcPr/>
                <w:p>
                  <w:pPr>
                    <w:pStyle w:val="Compact"/>
                    <w:jc w:val="right"/>
                    <w:jc w:val="center"/>
                  </w:pPr>
                  <w:r>
                    <w:t xml:space="preserve">320 km</w:t>
                  </w:r>
                </w:p>
              </w:tc>
              <w:tc>
                <w:tcPr/>
                <w:p>
                  <w:pPr>
                    <w:pStyle w:val="Compact"/>
                    <w:jc w:val="left"/>
                    <w:jc w:val="center"/>
                  </w:pPr>
                  <w:r>
                    <w:t xml:space="preserve">+8.2 points over 1630 km</w:t>
                  </w:r>
                </w:p>
              </w:tc>
              <w:tc>
                <w:tcPr/>
                <w:p>
                  <w:pPr>
                    <w:pStyle w:val="Compact"/>
                    <w:jc w:val="right"/>
                    <w:jc w:val="center"/>
                  </w:pPr>
                  <w:r>
                    <w:t xml:space="preserve">0.023</w:t>
                  </w:r>
                </w:p>
              </w:tc>
              <w:tc>
                <w:tcPr/>
                <w:p>
                  <w:pPr>
                    <w:pStyle w:val="Compact"/>
                    <w:jc w:val="right"/>
                    <w:jc w:val="center"/>
                  </w:pPr>
                  <w:r>
                    <w:t xml:space="preserve">0.569</w:t>
                  </w:r>
                </w:p>
              </w:tc>
              <w:tc>
                <w:tcPr/>
                <w:p>
                  <w:pPr>
                    <w:pStyle w:val="Compact"/>
                    <w:jc w:val="right"/>
                    <w:jc w:val="center"/>
                  </w:pPr>
                  <w:r>
                    <w:t xml:space="preserve">20</w:t>
                  </w:r>
                </w:p>
              </w:tc>
              <w:tc>
                <w:tcPr/>
                <w:p>
                  <w:pPr>
                    <w:pStyle w:val="Compact"/>
                    <w:jc w:val="right"/>
                    <w:jc w:val="center"/>
                  </w:pPr>
                  <w:r>
                    <w:t xml:space="preserve">190</w:t>
                  </w:r>
                </w:p>
              </w:tc>
            </w:tr>
            <w:tr>
              <w:tc>
                <w:tcPr/>
                <w:p>
                  <w:pPr>
                    <w:pStyle w:val="Compact"/>
                    <w:jc w:val="left"/>
                    <w:jc w:val="center"/>
                  </w:pPr>
                  <w:r>
                    <w:t xml:space="preserve">Aur-P1</w:t>
                  </w:r>
                </w:p>
              </w:tc>
              <w:tc>
                <w:tcPr/>
                <w:p>
                  <w:pPr>
                    <w:pStyle w:val="Compact"/>
                    <w:jc w:val="left"/>
                    <w:jc w:val="center"/>
                  </w:pPr>
                  <w:r>
                    <w:t xml:space="preserve">Temporal lag</w:t>
                  </w:r>
                </w:p>
              </w:tc>
              <w:tc>
                <w:tcPr/>
                <w:p>
                  <w:pPr>
                    <w:pStyle w:val="Compact"/>
                    <w:jc w:val="right"/>
                    <w:jc w:val="center"/>
                  </w:pPr>
                  <w:r>
                    <w:t xml:space="preserve">-0.015</w:t>
                  </w:r>
                </w:p>
              </w:tc>
              <w:tc>
                <w:tcPr/>
                <w:p>
                  <w:pPr>
                    <w:pStyle w:val="Compact"/>
                    <w:jc w:val="right"/>
                    <w:jc w:val="center"/>
                  </w:pPr>
                  <w:r>
                    <w:t xml:space="preserve">0.535</w:t>
                  </w:r>
                </w:p>
              </w:tc>
              <w:tc>
                <w:tcPr/>
                <w:p>
                  <w:pPr>
                    <w:pStyle w:val="Compact"/>
                    <w:jc w:val="right"/>
                    <w:jc w:val="center"/>
                  </w:pPr>
                  <w:r>
                    <w:t xml:space="preserve">2 ka</w:t>
                  </w:r>
                </w:p>
              </w:tc>
              <w:tc>
                <w:tcPr/>
                <w:p>
                  <w:pPr>
                    <w:pStyle w:val="Compact"/>
                    <w:jc w:val="left"/>
                    <w:jc w:val="center"/>
                  </w:pPr>
                  <w:r>
                    <w:t xml:space="preserve">-7.5 points over 8 ka</w:t>
                  </w:r>
                </w:p>
              </w:tc>
              <w:tc>
                <w:tcPr/>
                <w:p>
                  <w:pPr>
                    <w:pStyle w:val="Compact"/>
                    <w:jc w:val="right"/>
                    <w:jc w:val="center"/>
                  </w:pPr>
                  <w:r>
                    <w:t xml:space="preserve">0.023</w:t>
                  </w:r>
                </w:p>
              </w:tc>
              <w:tc>
                <w:tcPr/>
                <w:p>
                  <w:pPr>
                    <w:pStyle w:val="Compact"/>
                    <w:jc w:val="right"/>
                    <w:jc w:val="center"/>
                  </w:pPr>
                  <w:r>
                    <w:t xml:space="preserve">0.569</w:t>
                  </w:r>
                </w:p>
              </w:tc>
              <w:tc>
                <w:tcPr/>
                <w:p>
                  <w:pPr>
                    <w:pStyle w:val="Compact"/>
                    <w:jc w:val="right"/>
                    <w:jc w:val="center"/>
                  </w:pPr>
                  <w:r>
                    <w:t xml:space="preserve">20</w:t>
                  </w:r>
                </w:p>
              </w:tc>
              <w:tc>
                <w:tcPr/>
                <w:p>
                  <w:pPr>
                    <w:pStyle w:val="Compact"/>
                    <w:jc w:val="right"/>
                    <w:jc w:val="center"/>
                  </w:pPr>
                  <w:r>
                    <w:t xml:space="preserve">190</w:t>
                  </w:r>
                </w:p>
              </w:tc>
            </w:tr>
            <w:tr>
              <w:tc>
                <w:tcPr/>
                <w:p>
                  <w:pPr>
                    <w:pStyle w:val="Compact"/>
                    <w:jc w:val="left"/>
                    <w:jc w:val="center"/>
                  </w:pPr>
                  <w:r>
                    <w:t xml:space="preserve">Aur-P1</w:t>
                  </w:r>
                </w:p>
              </w:tc>
              <w:tc>
                <w:tcPr/>
                <w:p>
                  <w:pPr>
                    <w:pStyle w:val="Compact"/>
                    <w:jc w:val="left"/>
                    <w:jc w:val="center"/>
                  </w:pPr>
                  <w:r>
                    <w:t xml:space="preserve">Object-count difference</w:t>
                  </w:r>
                </w:p>
              </w:tc>
              <w:tc>
                <w:tcPr/>
                <w:p>
                  <w:pPr>
                    <w:pStyle w:val="Compact"/>
                    <w:jc w:val="right"/>
                    <w:jc w:val="center"/>
                  </w:pPr>
                  <w:r>
                    <w:t xml:space="preserve">+0.028</w:t>
                  </w:r>
                </w:p>
              </w:tc>
              <w:tc>
                <w:tcPr/>
                <w:p>
                  <w:pPr>
                    <w:pStyle w:val="Compact"/>
                    <w:jc w:val="right"/>
                    <w:jc w:val="center"/>
                  </w:pPr>
                  <w:r>
                    <w:t xml:space="preserve">0.325</w:t>
                  </w:r>
                </w:p>
              </w:tc>
              <w:tc>
                <w:tcPr/>
                <w:p>
                  <w:pPr>
                    <w:pStyle w:val="Compact"/>
                    <w:jc w:val="right"/>
                    <w:jc w:val="center"/>
                  </w:pPr>
                  <w:r>
                    <w:t xml:space="preserve">47 objects</w:t>
                  </w:r>
                </w:p>
              </w:tc>
              <w:tc>
                <w:tcPr/>
                <w:p>
                  <w:pPr>
                    <w:pStyle w:val="Compact"/>
                    <w:jc w:val="left"/>
                    <w:jc w:val="center"/>
                  </w:pPr>
                  <w:r>
                    <w:t xml:space="preserve">+10.3 points over 172 objects</w:t>
                  </w:r>
                </w:p>
              </w:tc>
              <w:tc>
                <w:tcPr/>
                <w:p>
                  <w:pPr>
                    <w:pStyle w:val="Compact"/>
                    <w:jc w:val="right"/>
                    <w:jc w:val="center"/>
                  </w:pPr>
                  <w:r>
                    <w:t xml:space="preserve">0.023</w:t>
                  </w:r>
                </w:p>
              </w:tc>
              <w:tc>
                <w:tcPr/>
                <w:p>
                  <w:pPr>
                    <w:pStyle w:val="Compact"/>
                    <w:jc w:val="right"/>
                    <w:jc w:val="center"/>
                  </w:pPr>
                  <w:r>
                    <w:t xml:space="preserve">0.569</w:t>
                  </w:r>
                </w:p>
              </w:tc>
              <w:tc>
                <w:tcPr/>
                <w:p>
                  <w:pPr>
                    <w:pStyle w:val="Compact"/>
                    <w:jc w:val="right"/>
                    <w:jc w:val="center"/>
                  </w:pPr>
                  <w:r>
                    <w:t xml:space="preserve">20</w:t>
                  </w:r>
                </w:p>
              </w:tc>
              <w:tc>
                <w:tcPr/>
                <w:p>
                  <w:pPr>
                    <w:pStyle w:val="Compact"/>
                    <w:jc w:val="right"/>
                    <w:jc w:val="center"/>
                  </w:pPr>
                  <w:r>
                    <w:t xml:space="preserve">190</w:t>
                  </w:r>
                </w:p>
              </w:tc>
            </w:tr>
            <w:tr>
              <w:tc>
                <w:tcPr/>
                <w:p>
                  <w:pPr>
                    <w:pStyle w:val="Compact"/>
                    <w:jc w:val="left"/>
                    <w:jc w:val="center"/>
                  </w:pPr>
                  <w:r>
                    <w:t xml:space="preserve">Aur-P2</w:t>
                  </w:r>
                </w:p>
              </w:tc>
              <w:tc>
                <w:tcPr/>
                <w:p>
                  <w:pPr>
                    <w:pStyle w:val="Compact"/>
                    <w:jc w:val="left"/>
                    <w:jc w:val="center"/>
                  </w:pPr>
                  <w:r>
                    <w:t xml:space="preserve">Geographic distance</w:t>
                  </w:r>
                </w:p>
              </w:tc>
              <w:tc>
                <w:tcPr/>
                <w:p>
                  <w:pPr>
                    <w:pStyle w:val="Compact"/>
                    <w:jc w:val="right"/>
                    <w:jc w:val="center"/>
                  </w:pPr>
                  <w:r>
                    <w:t xml:space="preserve">-0.057</w:t>
                  </w:r>
                </w:p>
              </w:tc>
              <w:tc>
                <w:tcPr/>
                <w:p>
                  <w:pPr>
                    <w:pStyle w:val="Compact"/>
                    <w:jc w:val="right"/>
                    <w:jc w:val="center"/>
                  </w:pPr>
                  <w:r>
                    <w:t xml:space="preserve">0.221</w:t>
                  </w:r>
                </w:p>
              </w:tc>
              <w:tc>
                <w:tcPr/>
                <w:p>
                  <w:pPr>
                    <w:pStyle w:val="Compact"/>
                    <w:jc w:val="right"/>
                    <w:jc w:val="center"/>
                  </w:pPr>
                  <w:r>
                    <w:t xml:space="preserve">466 km</w:t>
                  </w:r>
                </w:p>
              </w:tc>
              <w:tc>
                <w:tcPr/>
                <w:p>
                  <w:pPr>
                    <w:pStyle w:val="Compact"/>
                    <w:jc w:val="left"/>
                    <w:jc w:val="center"/>
                  </w:pPr>
                  <w:r>
                    <w:t xml:space="preserve">-23.0 points over 1878 km</w:t>
                  </w:r>
                </w:p>
              </w:tc>
              <w:tc>
                <w:tcPr/>
                <w:p>
                  <w:pPr>
                    <w:pStyle w:val="Compact"/>
                    <w:jc w:val="right"/>
                    <w:jc w:val="center"/>
                  </w:pPr>
                  <w:r>
                    <w:t xml:space="preserve">0.119</w:t>
                  </w:r>
                </w:p>
              </w:tc>
              <w:tc>
                <w:tcPr/>
                <w:p>
                  <w:pPr>
                    <w:pStyle w:val="Compact"/>
                    <w:jc w:val="right"/>
                    <w:jc w:val="center"/>
                  </w:pPr>
                  <w:r>
                    <w:t xml:space="preserve">0.453</w:t>
                  </w:r>
                </w:p>
              </w:tc>
              <w:tc>
                <w:tcPr/>
                <w:p>
                  <w:pPr>
                    <w:pStyle w:val="Compact"/>
                    <w:jc w:val="right"/>
                    <w:jc w:val="center"/>
                  </w:pPr>
                  <w:r>
                    <w:t xml:space="preserve">9</w:t>
                  </w:r>
                </w:p>
              </w:tc>
              <w:tc>
                <w:tcPr/>
                <w:p>
                  <w:pPr>
                    <w:pStyle w:val="Compact"/>
                    <w:jc w:val="right"/>
                    <w:jc w:val="center"/>
                  </w:pPr>
                  <w:r>
                    <w:t xml:space="preserve">36</w:t>
                  </w:r>
                </w:p>
              </w:tc>
            </w:tr>
            <w:tr>
              <w:tc>
                <w:tcPr/>
                <w:p>
                  <w:pPr>
                    <w:pStyle w:val="Compact"/>
                    <w:jc w:val="left"/>
                    <w:jc w:val="center"/>
                  </w:pPr>
                  <w:r>
                    <w:t xml:space="preserve">Aur-P2</w:t>
                  </w:r>
                </w:p>
              </w:tc>
              <w:tc>
                <w:tcPr/>
                <w:p>
                  <w:pPr>
                    <w:pStyle w:val="Compact"/>
                    <w:jc w:val="left"/>
                    <w:jc w:val="center"/>
                  </w:pPr>
                  <w:r>
                    <w:t xml:space="preserve">Temporal lag</w:t>
                  </w:r>
                </w:p>
              </w:tc>
              <w:tc>
                <w:tcPr/>
                <w:p>
                  <w:pPr>
                    <w:pStyle w:val="Compact"/>
                    <w:jc w:val="right"/>
                    <w:jc w:val="center"/>
                  </w:pPr>
                  <w:r>
                    <w:t xml:space="preserve">-0.024</w:t>
                  </w:r>
                </w:p>
              </w:tc>
              <w:tc>
                <w:tcPr/>
                <w:p>
                  <w:pPr>
                    <w:pStyle w:val="Compact"/>
                    <w:jc w:val="right"/>
                    <w:jc w:val="center"/>
                  </w:pPr>
                  <w:r>
                    <w:t xml:space="preserve">0.605</w:t>
                  </w:r>
                </w:p>
              </w:tc>
              <w:tc>
                <w:tcPr/>
                <w:p>
                  <w:pPr>
                    <w:pStyle w:val="Compact"/>
                    <w:jc w:val="right"/>
                    <w:jc w:val="center"/>
                  </w:pPr>
                  <w:r>
                    <w:t xml:space="preserve">2 ka</w:t>
                  </w:r>
                </w:p>
              </w:tc>
              <w:tc>
                <w:tcPr/>
                <w:p>
                  <w:pPr>
                    <w:pStyle w:val="Compact"/>
                    <w:jc w:val="left"/>
                    <w:jc w:val="center"/>
                  </w:pPr>
                  <w:r>
                    <w:t xml:space="preserve">-9.5 points over 7 ka</w:t>
                  </w:r>
                </w:p>
              </w:tc>
              <w:tc>
                <w:tcPr/>
                <w:p>
                  <w:pPr>
                    <w:pStyle w:val="Compact"/>
                    <w:jc w:val="right"/>
                    <w:jc w:val="center"/>
                  </w:pPr>
                  <w:r>
                    <w:t xml:space="preserve">0.119</w:t>
                  </w:r>
                </w:p>
              </w:tc>
              <w:tc>
                <w:tcPr/>
                <w:p>
                  <w:pPr>
                    <w:pStyle w:val="Compact"/>
                    <w:jc w:val="right"/>
                    <w:jc w:val="center"/>
                  </w:pPr>
                  <w:r>
                    <w:t xml:space="preserve">0.453</w:t>
                  </w:r>
                </w:p>
              </w:tc>
              <w:tc>
                <w:tcPr/>
                <w:p>
                  <w:pPr>
                    <w:pStyle w:val="Compact"/>
                    <w:jc w:val="right"/>
                    <w:jc w:val="center"/>
                  </w:pPr>
                  <w:r>
                    <w:t xml:space="preserve">9</w:t>
                  </w:r>
                </w:p>
              </w:tc>
              <w:tc>
                <w:tcPr/>
                <w:p>
                  <w:pPr>
                    <w:pStyle w:val="Compact"/>
                    <w:jc w:val="right"/>
                    <w:jc w:val="center"/>
                  </w:pPr>
                  <w:r>
                    <w:t xml:space="preserve">36</w:t>
                  </w:r>
                </w:p>
              </w:tc>
            </w:tr>
            <w:tr>
              <w:tc>
                <w:tcPr/>
                <w:p>
                  <w:pPr>
                    <w:pStyle w:val="Compact"/>
                    <w:jc w:val="left"/>
                    <w:jc w:val="center"/>
                  </w:pPr>
                  <w:r>
                    <w:t xml:space="preserve">Aur-P2</w:t>
                  </w:r>
                </w:p>
              </w:tc>
              <w:tc>
                <w:tcPr/>
                <w:p>
                  <w:pPr>
                    <w:pStyle w:val="Compact"/>
                    <w:jc w:val="left"/>
                    <w:jc w:val="center"/>
                  </w:pPr>
                  <w:r>
                    <w:t xml:space="preserve">Object-count difference</w:t>
                  </w:r>
                </w:p>
              </w:tc>
              <w:tc>
                <w:tcPr/>
                <w:p>
                  <w:pPr>
                    <w:pStyle w:val="Compact"/>
                    <w:jc w:val="right"/>
                    <w:jc w:val="center"/>
                  </w:pPr>
                  <w:r>
                    <w:t xml:space="preserve">+0.033</w:t>
                  </w:r>
                </w:p>
              </w:tc>
              <w:tc>
                <w:tcPr/>
                <w:p>
                  <w:pPr>
                    <w:pStyle w:val="Compact"/>
                    <w:jc w:val="right"/>
                    <w:jc w:val="center"/>
                  </w:pPr>
                  <w:r>
                    <w:t xml:space="preserve">0.520</w:t>
                  </w:r>
                </w:p>
              </w:tc>
              <w:tc>
                <w:tcPr/>
                <w:p>
                  <w:pPr>
                    <w:pStyle w:val="Compact"/>
                    <w:jc w:val="right"/>
                    <w:jc w:val="center"/>
                  </w:pPr>
                  <w:r>
                    <w:t xml:space="preserve">9 objects</w:t>
                  </w:r>
                </w:p>
              </w:tc>
              <w:tc>
                <w:tcPr/>
                <w:p>
                  <w:pPr>
                    <w:pStyle w:val="Compact"/>
                    <w:jc w:val="left"/>
                    <w:jc w:val="center"/>
                  </w:pPr>
                  <w:r>
                    <w:t xml:space="preserve">+9.8 points over 28 objects</w:t>
                  </w:r>
                </w:p>
              </w:tc>
              <w:tc>
                <w:tcPr/>
                <w:p>
                  <w:pPr>
                    <w:pStyle w:val="Compact"/>
                    <w:jc w:val="right"/>
                    <w:jc w:val="center"/>
                  </w:pPr>
                  <w:r>
                    <w:t xml:space="preserve">0.119</w:t>
                  </w:r>
                </w:p>
              </w:tc>
              <w:tc>
                <w:tcPr/>
                <w:p>
                  <w:pPr>
                    <w:pStyle w:val="Compact"/>
                    <w:jc w:val="right"/>
                    <w:jc w:val="center"/>
                  </w:pPr>
                  <w:r>
                    <w:t xml:space="preserve">0.453</w:t>
                  </w:r>
                </w:p>
              </w:tc>
              <w:tc>
                <w:tcPr/>
                <w:p>
                  <w:pPr>
                    <w:pStyle w:val="Compact"/>
                    <w:jc w:val="right"/>
                    <w:jc w:val="center"/>
                  </w:pPr>
                  <w:r>
                    <w:t xml:space="preserve">9</w:t>
                  </w:r>
                </w:p>
              </w:tc>
              <w:tc>
                <w:tcPr/>
                <w:p>
                  <w:pPr>
                    <w:pStyle w:val="Compact"/>
                    <w:jc w:val="right"/>
                    <w:jc w:val="center"/>
                  </w:pPr>
                  <w:r>
                    <w:t xml:space="preserve">36</w:t>
                  </w:r>
                </w:p>
              </w:tc>
            </w:tr>
          </w:tbl>
          <w:p>
            <w:pPr>
              <w:jc w:val="center"/>
            </w:pPr>
            <w:pPr>
              <w:jc w:val="start"/>
              <w:spacing w:before="200"/>
              <w:pStyle w:val="ImageCaption"/>
            </w:pPr>
            <w:r>
              <w:t xml:space="preserve">Table S 27: Multiple regression on distance matrices of Jaccard sign dissimilarity, fitted separately for each phase. Each predictor is a distance between two sites, divided by its own standard deviation, so that coefficients are comparable across drivers with different raw units. One standard deviation equals 320 km, 1.6 ka and 47 objects in Aur-P1, and 466 km, 1.8 ka and 9 objects in Aur-P2. A coefficient is the change in mean Jaccard dissimilarity for a one-standard-deviation change in that predictor. Site ages are per-site medians of calibrated MedianBP, in years BP. Permutation p-values are from 10,000 permutations of the response. Full model R2 is given once per phase. No confidence intervals are reported, because the object-level bootstrap produced no valid replicate.</w:t>
            </w:r>
          </w:p>
          <w:bookmarkEnd w:id="147"/>
        </w:tc>
      </w:tr>
    </w:tbl>
    <w:bookmarkEnd w:id="148"/>
    <w:bookmarkStart w:id="149"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model explains 0.023 of the variance in sign dissimilarity. No driver is significant. Geographic distance gives β = 0.016 (p = 0.421), temporal lag β = -0.015 (p = 0.535), and object-count difference β = 0.028 (p = 0.325) (</w:t>
      </w:r>
      <w:hyperlink w:anchor="tbl-mrm">
        <w:r>
          <w:rPr>
            <w:rStyle w:val="Hyperlink"/>
          </w:rPr>
          <w:t xml:space="preserve">Table S 27</w:t>
        </w:r>
      </w:hyperlink>
      <w:r>
        <w:t xml:space="preserve">). Each β is the change in mean Jaccard dissimilarity for a one-standard-deviation change in that predictor. Across the full observed range of each predictor, the three drivers account for +8.2, -7.5 and +10.3 Jaccard points respectively. Aur-P2 shows the same pattern, with R² = 0.119 and no significant driver; across its observed range the same three drivers account for -23.0, -9.5 and +9.8 Jaccard points. Because no candidate driver reaches significance, the non-significant Mantel result does not identify any one process. The result is consistent with non-utilitarian mobility, with aggregation, and with independent invention. It demonstrates none of them. Aur-P2 has only 9 sites, so its coefficients are indicative rather than conclusive. The data contain no statistical evidence that favours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9"/>
    <w:bookmarkEnd w:id="150"/>
    <w:bookmarkStart w:id="155" w:name="sec-s8-2"/>
    <w:p>
      <w:pPr>
        <w:pStyle w:val="Heading2"/>
      </w:pPr>
      <w:r>
        <w:t xml:space="preserve">S1.8.3 Time-lag check</w:t>
      </w:r>
    </w:p>
    <w:bookmarkStart w:id="151"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0.062, p = 0.005)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1"/>
    <w:bookmarkStart w:id="153"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site-phase units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2"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28: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2"/>
        </w:tc>
      </w:tr>
    </w:tbl>
    <w:bookmarkEnd w:id="153"/>
    <w:bookmarkStart w:id="154"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28</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0.062, p = 0.005) only because it pairs 409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site-phase unites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4"/>
    <w:bookmarkEnd w:id="155"/>
    <w:bookmarkStart w:id="164" w:name="sec-s8-3"/>
    <w:p>
      <w:pPr>
        <w:pStyle w:val="Heading2"/>
      </w:pPr>
      <w:r>
        <w:t xml:space="preserve">S1.8.4 Objective regional grouping</w:t>
      </w:r>
    </w:p>
    <w:bookmarkStart w:id="162"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6"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29: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7"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30: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7"/>
        </w:tc>
      </w:tr>
    </w:tbl>
    <w:tbl>
      <w:tblPr>
        <w:tblStyle w:val="Table"/>
        <w:tblW w:type="pct" w:w="5000"/>
        <w:tblLook w:firstRow="0" w:lastRow="0" w:firstColumn="0" w:lastColumn="0" w:noHBand="0" w:noVBand="0" w:val="0000"/>
        <w:jc w:val="start"/>
        <w:tblLayout w:type="fixed"/>
      </w:tblPr>
      <w:tblGrid>
        <w:gridCol w:w="7920"/>
      </w:tblGrid>
      <w:tr>
        <w:tc>
          <w:tcPr/>
          <w:bookmarkStart w:id="161" w:name="fig-region-map"/>
          <w:p>
            <w:pPr>
              <w:pStyle w:val="Compact"/>
              <w:jc w:val="center"/>
            </w:pPr>
            <w:r>
              <w:drawing>
                <wp:inline>
                  <wp:extent cx="5943600" cy="4457699"/>
                  <wp:effectExtent b="0" l="0" r="0" t="0"/>
                  <wp:docPr descr="" title="" id="159" name="Picture"/>
                  <a:graphic>
                    <a:graphicData uri="http://schemas.openxmlformats.org/drawingml/2006/picture">
                      <pic:pic>
                        <pic:nvPicPr>
                          <pic:cNvPr descr="../figures/s513-region-map.png" id="160" name="Picture"/>
                          <pic:cNvPicPr>
                            <a:picLocks noChangeArrowheads="1" noChangeAspect="1"/>
                          </pic:cNvPicPr>
                        </pic:nvPicPr>
                        <pic:blipFill>
                          <a:blip r:embed="rId158"/>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1"/>
        </w:tc>
      </w:tr>
    </w:tbl>
    <w:bookmarkEnd w:id="162"/>
    <w:bookmarkStart w:id="163"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(0.574), but k = 2 is retained as the interpretive partition because k = 5 splits the Swabian block into singletons. The k = 2 partition — West versus Central —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144 of the 346 Aur-P1 objects are German ivory, against 38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3"/>
    <w:bookmarkEnd w:id="164"/>
    <w:bookmarkEnd w:id="165"/>
    <w:bookmarkStart w:id="205" w:name="sec-s9"/>
    <w:p>
      <w:pPr>
        <w:pStyle w:val="Heading1"/>
      </w:pPr>
      <w:r>
        <w:t xml:space="preserve">S1.9 Partition Stability and Generative Models</w:t>
      </w:r>
    </w:p>
    <w:bookmarkStart w:id="166"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6"/>
    <w:bookmarkStart w:id="175" w:name="sec-s9-2"/>
    <w:p>
      <w:pPr>
        <w:pStyle w:val="Heading2"/>
      </w:pPr>
      <w:r>
        <w:t xml:space="preserve">S1.9.2 Bootstrap Consensus Analysis</w:t>
      </w:r>
    </w:p>
    <w:bookmarkStart w:id="173"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31: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8"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32: Per-site bootstrap consistency: proportion of 1000 resamples in which each site is assigned to its modal (most frequent) block. Consistency near 1 indicates robust assignment; values near 0.5 indicate sites whose group membership flips across resamples.</w:t>
            </w:r>
          </w:p>
          <w:bookmarkEnd w:id="168"/>
        </w:tc>
      </w:tr>
    </w:tbl>
    <w:tbl>
      <w:tblPr>
        <w:tblStyle w:val="Table"/>
        <w:tblW w:type="pct" w:w="5000"/>
        <w:tblLook w:firstRow="0" w:lastRow="0" w:firstColumn="0" w:lastColumn="0" w:noHBand="0" w:noVBand="0" w:val="0000"/>
        <w:jc w:val="start"/>
        <w:tblLayout w:type="fixed"/>
      </w:tblPr>
      <w:tblGrid>
        <w:gridCol w:w="7920"/>
      </w:tblGrid>
      <w:tr>
        <w:tc>
          <w:tcPr/>
          <w:bookmarkStart w:id="172" w:name="fig-bootstrap-consensus"/>
          <w:p>
            <w:pPr>
              <w:pStyle w:val="Compact"/>
              <w:jc w:val="center"/>
            </w:pPr>
            <w:r>
              <w:drawing>
                <wp:inline>
                  <wp:extent cx="5943600" cy="6604000"/>
                  <wp:effectExtent b="0" l="0" r="0" t="0"/>
                  <wp:docPr descr="" title="" id="170" name="Picture"/>
                  <a:graphic>
                    <a:graphicData uri="http://schemas.openxmlformats.org/drawingml/2006/picture">
                      <pic:pic>
                        <pic:nvPicPr>
                          <pic:cNvPr descr="../figures/bootstrap-consensus-plot.png" id="171" name="Picture"/>
                          <pic:cNvPicPr>
                            <a:picLocks noChangeArrowheads="1" noChangeAspect="1"/>
                          </pic:cNvPicPr>
                        </pic:nvPicPr>
                        <pic:blipFill>
                          <a:blip r:embed="rId169"/>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2"/>
        </w:tc>
      </w:tr>
    </w:tbl>
    <w:bookmarkEnd w:id="173"/>
    <w:bookmarkStart w:id="174"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so the divide is well resolved only in the better-sampled phase.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32</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32</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32</w:t>
        </w:r>
      </w:hyperlink>
      <w:r>
        <w:t xml:space="preserve">.</w:t>
      </w:r>
    </w:p>
    <w:bookmarkEnd w:id="174"/>
    <w:bookmarkEnd w:id="175"/>
    <w:bookmarkStart w:id="184" w:name="sec-s9-3"/>
    <w:p>
      <w:pPr>
        <w:pStyle w:val="Heading2"/>
      </w:pPr>
      <w:r>
        <w:t xml:space="preserve">S1.9.3 Stochastic Block Models</w:t>
      </w:r>
    </w:p>
    <w:bookmarkStart w:id="182"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models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6"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6"/>
        </w:tc>
      </w:tr>
    </w:tbl>
    <w:tbl>
      <w:tblPr>
        <w:tblStyle w:val="Table"/>
        <w:tblW w:type="pct" w:w="5000"/>
        <w:tblLook w:firstRow="0" w:lastRow="0" w:firstColumn="0" w:lastColumn="0" w:noHBand="0" w:noVBand="0" w:val="0000"/>
        <w:jc w:val="start"/>
        <w:tblLayout w:type="fixed"/>
      </w:tblPr>
      <w:tblGrid>
        <w:gridCol w:w="7920"/>
      </w:tblGrid>
      <w:tr>
        <w:tc>
          <w:tcPr/>
          <w:bookmarkStart w:id="180" w:name="fig-sbm-icl"/>
          <w:p>
            <w:pPr>
              <w:pStyle w:val="Compact"/>
              <w:jc w:val="center"/>
            </w:pPr>
            <w:r>
              <w:drawing>
                <wp:inline>
                  <wp:extent cx="5943600" cy="2971800"/>
                  <wp:effectExtent b="0" l="0" r="0" t="0"/>
                  <wp:docPr descr="" title="" id="178" name="Picture"/>
                  <a:graphic>
                    <a:graphicData uri="http://schemas.openxmlformats.org/drawingml/2006/picture">
                      <pic:pic>
                        <pic:nvPicPr>
                          <pic:cNvPr descr="S1-supplement-sensitivity_files/figure-docx/fig-sbm-icl-1.png" id="179" name="Picture"/>
                          <pic:cNvPicPr>
                            <a:picLocks noChangeArrowheads="1" noChangeAspect="1"/>
                          </pic:cNvPicPr>
                        </pic:nvPicPr>
                        <pic:blipFill>
                          <a:blip r:embed="rId17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80"/>
        </w:tc>
      </w:tr>
    </w:tbl>
    <w:tbl>
      <w:tblPr>
        <w:tblStyle w:val="Table"/>
        <w:tblW w:type="pct" w:w="5000"/>
        <w:tblLook w:firstRow="0" w:lastRow="0" w:firstColumn="0" w:lastColumn="0" w:noHBand="0" w:noVBand="0" w:val="0000"/>
        <w:jc w:val="start"/>
        <w:tblLayout w:type="fixed"/>
      </w:tblPr>
      <w:tblGrid>
        <w:gridCol w:w="7920"/>
      </w:tblGrid>
      <w:tr>
        <w:tc>
          <w:tcPr/>
          <w:bookmarkStart w:id="181"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34: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1"/>
        </w:tc>
      </w:tr>
    </w:tbl>
    <w:bookmarkEnd w:id="182"/>
    <w:bookmarkStart w:id="183"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33</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33</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34</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holds nine of the eleven broad-range sites plus Abri Pataud, the second holds seven of the nine restricted-range sites, and a third block isolates Labeko Koba, Les Cottés, and Trou al’Wesse. Under Gaussian the largest block holds ten of the eleven broad-range sites, the second seven of the nine restricted-range sites, and Les Cottés and Trou al’Wesse form their own block, with Pod Hradem a singleton. The Poisson model puts seven of the nine restricted-range sites together with Grotte du Renne, and its broad block holds six broad-range sites plus Abri Pataud.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 generative model reproduces the two-block partition—and answers that it reproduces it as its dominant structure in Aur-P1, with a small-block refinement, while recovering no stable partition in Aur-P2.</w:t>
      </w:r>
    </w:p>
    <w:bookmarkEnd w:id="183"/>
    <w:bookmarkEnd w:id="184"/>
    <w:bookmarkStart w:id="192" w:name="sec-s9-4"/>
    <w:p>
      <w:pPr>
        <w:pStyle w:val="Heading2"/>
      </w:pPr>
      <w:r>
        <w:t xml:space="preserve">S1.9.4 SBM Block Recovery Null Test</w:t>
      </w:r>
    </w:p>
    <w:bookmarkStart w:id="190"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5" w:name="tbl-sbm-null"/>
          <w:tbl>
            <w:tblPr>
              <w:tblStyle w:val="Table"/>
              <w:tblW w:type="pct" w:w="5000"/>
              <w:tblLook w:firstRow="1" w:lastRow="0" w:firstColumn="0" w:lastColumn="0" w:noHBand="0" w:noVBand="0" w:val="0020"/>
              <w:jc w:val="start"/>
              <w:tblLayout w:type="fixed"/>
            </w:tblPr>
            <w:tblGrid>
              <w:gridCol w:w="308"/>
              <w:gridCol w:w="484"/>
              <w:gridCol w:w="528"/>
              <w:gridCol w:w="528"/>
              <w:gridCol w:w="528"/>
              <w:gridCol w:w="792"/>
              <w:gridCol w:w="704"/>
              <w:gridCol w:w="528"/>
              <w:gridCol w:w="660"/>
              <w:gridCol w:w="528"/>
              <w:gridCol w:w="660"/>
              <w:gridCol w:w="836"/>
              <w:gridCol w:w="440"/>
              <w:gridCol w:w="39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obs best K</w:t>
                  </w:r>
                </w:p>
              </w:tc>
              <w:tc>
                <w:tcPr/>
                <w:p>
                  <w:pPr>
                    <w:pStyle w:val="Compact"/>
                    <w:jc w:val="center"/>
                    <w:jc w:val="center"/>
                  </w:pPr>
                  <w:r>
                    <w:t xml:space="preserve">obs gap K1</w:t>
                  </w:r>
                </w:p>
              </w:tc>
              <w:tc>
                <w:tcPr/>
                <w:p>
                  <w:pPr>
                    <w:pStyle w:val="Compact"/>
                    <w:jc w:val="center"/>
                    <w:jc w:val="center"/>
                  </w:pPr>
                  <w:r>
                    <w:t xml:space="preserve">obs gap K2</w:t>
                  </w:r>
                </w:p>
              </w:tc>
              <w:tc>
                <w:tcPr/>
                <w:p>
                  <w:pPr>
                    <w:pStyle w:val="Compact"/>
                    <w:jc w:val="center"/>
                    <w:jc w:val="center"/>
                  </w:pPr>
                  <w:r>
                    <w:t xml:space="preserve">null mean gap K1</w:t>
                  </w:r>
                </w:p>
              </w:tc>
              <w:tc>
                <w:tcPr/>
                <w:p>
                  <w:pPr>
                    <w:pStyle w:val="Compact"/>
                    <w:jc w:val="center"/>
                    <w:jc w:val="center"/>
                  </w:pPr>
                  <w:r>
                    <w:t xml:space="preserve">null SD gap K1</w:t>
                  </w:r>
                </w:p>
              </w:tc>
              <w:tc>
                <w:tcPr/>
                <w:p>
                  <w:pPr>
                    <w:pStyle w:val="Compact"/>
                    <w:jc w:val="center"/>
                    <w:jc w:val="center"/>
                  </w:pPr>
                  <w:r>
                    <w:t xml:space="preserve">p (gap K1)</w:t>
                  </w:r>
                </w:p>
              </w:tc>
              <w:tc>
                <w:tcPr/>
                <w:p>
                  <w:pPr>
                    <w:pStyle w:val="Compact"/>
                    <w:jc w:val="center"/>
                    <w:jc w:val="center"/>
                  </w:pPr>
                  <w:r>
                    <w:t xml:space="preserve">p_BH (gap K1)</w:t>
                  </w:r>
                </w:p>
              </w:tc>
              <w:tc>
                <w:tcPr/>
                <w:p>
                  <w:pPr>
                    <w:pStyle w:val="Compact"/>
                    <w:jc w:val="center"/>
                    <w:jc w:val="center"/>
                  </w:pPr>
                  <w:r>
                    <w:t xml:space="preserve">p (gap K2)</w:t>
                  </w:r>
                </w:p>
              </w:tc>
              <w:tc>
                <w:tcPr/>
                <w:p>
                  <w:pPr>
                    <w:pStyle w:val="Compact"/>
                    <w:jc w:val="center"/>
                    <w:jc w:val="center"/>
                  </w:pPr>
                  <w:r>
                    <w:t xml:space="preserve">p_BH (gap K2)</w:t>
                  </w:r>
                </w:p>
              </w:tc>
              <w:tc>
                <w:tcPr/>
                <w:p>
                  <w:pPr>
                    <w:pStyle w:val="Compact"/>
                    <w:jc w:val="center"/>
                    <w:jc w:val="center"/>
                  </w:pPr>
                  <w:r>
                    <w:t xml:space="preserve">null bestK&gt;1 rate</w:t>
                  </w:r>
                </w:p>
              </w:tc>
              <w:tc>
                <w:tcPr/>
                <w:p>
                  <w:pPr>
                    <w:pStyle w:val="Compact"/>
                    <w:jc w:val="center"/>
                    <w:jc w:val="center"/>
                  </w:pPr>
                  <w:r>
                    <w:t xml:space="preserve">B_finite</w:t>
                  </w:r>
                </w:p>
              </w:tc>
              <w:tc>
                <w:tcPr/>
                <w:p>
                  <w:pPr>
                    <w:pStyle w:val="Compact"/>
                    <w:jc w:val="left"/>
                    <w:jc w:val="center"/>
                  </w:pPr>
                  <w:r>
                    <w:t xml:space="preserve">failures</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20.03</w:t>
                  </w:r>
                </w:p>
              </w:tc>
              <w:tc>
                <w:tcPr/>
                <w:p>
                  <w:pPr>
                    <w:pStyle w:val="Compact"/>
                    <w:jc w:val="center"/>
                    <w:jc w:val="center"/>
                  </w:pPr>
                  <w:r>
                    <w:t xml:space="preserve">14.40</w:t>
                  </w:r>
                </w:p>
              </w:tc>
              <w:tc>
                <w:tcPr/>
                <w:p>
                  <w:pPr>
                    <w:pStyle w:val="Compact"/>
                    <w:jc w:val="center"/>
                    <w:jc w:val="center"/>
                  </w:pPr>
                  <w:r>
                    <w:t xml:space="preserve">15.11</w:t>
                  </w:r>
                </w:p>
              </w:tc>
              <w:tc>
                <w:tcPr/>
                <w:p>
                  <w:pPr>
                    <w:pStyle w:val="Compact"/>
                    <w:jc w:val="center"/>
                    <w:jc w:val="center"/>
                  </w:pPr>
                  <w:r>
                    <w:t xml:space="preserve">5.37</w:t>
                  </w:r>
                </w:p>
              </w:tc>
              <w:tc>
                <w:tcPr/>
                <w:p>
                  <w:pPr>
                    <w:pStyle w:val="Compact"/>
                    <w:jc w:val="center"/>
                    <w:jc w:val="center"/>
                  </w:pPr>
                  <w:r>
                    <w:t xml:space="preserve">0.160</w:t>
                  </w:r>
                </w:p>
              </w:tc>
              <w:tc>
                <w:tcPr/>
                <w:p>
                  <w:pPr>
                    <w:pStyle w:val="Compact"/>
                    <w:jc w:val="center"/>
                    <w:jc w:val="center"/>
                  </w:pPr>
                  <w:r>
                    <w:t xml:space="preserve">0.320</w:t>
                  </w:r>
                </w:p>
              </w:tc>
              <w:tc>
                <w:tcPr/>
                <w:p>
                  <w:pPr>
                    <w:pStyle w:val="Compact"/>
                    <w:jc w:val="center"/>
                    <w:jc w:val="center"/>
                  </w:pPr>
                  <w:r>
                    <w:t xml:space="preserve">0.270</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65.31</w:t>
                  </w:r>
                </w:p>
              </w:tc>
              <w:tc>
                <w:tcPr/>
                <w:p>
                  <w:pPr>
                    <w:pStyle w:val="Compact"/>
                    <w:jc w:val="center"/>
                    <w:jc w:val="center"/>
                  </w:pPr>
                  <w:r>
                    <w:t xml:space="preserve">38.97</w:t>
                  </w:r>
                </w:p>
              </w:tc>
              <w:tc>
                <w:tcPr/>
                <w:p>
                  <w:pPr>
                    <w:pStyle w:val="Compact"/>
                    <w:jc w:val="center"/>
                    <w:jc w:val="center"/>
                  </w:pPr>
                  <w:r>
                    <w:t xml:space="preserve">45.24</w:t>
                  </w:r>
                </w:p>
              </w:tc>
              <w:tc>
                <w:tcPr/>
                <w:p>
                  <w:pPr>
                    <w:pStyle w:val="Compact"/>
                    <w:jc w:val="center"/>
                    <w:jc w:val="center"/>
                  </w:pPr>
                  <w:r>
                    <w:t xml:space="preserve">19.58</w:t>
                  </w:r>
                </w:p>
              </w:tc>
              <w:tc>
                <w:tcPr/>
                <w:p>
                  <w:pPr>
                    <w:pStyle w:val="Compact"/>
                    <w:jc w:val="center"/>
                    <w:jc w:val="center"/>
                  </w:pPr>
                  <w:r>
                    <w:t xml:space="preserve">0.086</w:t>
                  </w:r>
                </w:p>
              </w:tc>
              <w:tc>
                <w:tcPr/>
                <w:p>
                  <w:pPr>
                    <w:pStyle w:val="Compact"/>
                    <w:jc w:val="center"/>
                    <w:jc w:val="center"/>
                  </w:pPr>
                  <w:r>
                    <w:t xml:space="preserve">0.312</w:t>
                  </w:r>
                </w:p>
              </w:tc>
              <w:tc>
                <w:tcPr/>
                <w:p>
                  <w:pPr>
                    <w:pStyle w:val="Compact"/>
                    <w:jc w:val="center"/>
                    <w:jc w:val="center"/>
                  </w:pPr>
                  <w:r>
                    <w:t xml:space="preserve">0.276</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62.68</w:t>
                  </w:r>
                </w:p>
              </w:tc>
              <w:tc>
                <w:tcPr/>
                <w:p>
                  <w:pPr>
                    <w:pStyle w:val="Compact"/>
                    <w:jc w:val="center"/>
                    <w:jc w:val="center"/>
                  </w:pPr>
                  <w:r>
                    <w:t xml:space="preserve">60.04</w:t>
                  </w:r>
                </w:p>
              </w:tc>
              <w:tc>
                <w:tcPr/>
                <w:p>
                  <w:pPr>
                    <w:pStyle w:val="Compact"/>
                    <w:jc w:val="center"/>
                    <w:jc w:val="center"/>
                  </w:pPr>
                  <w:r>
                    <w:t xml:space="preserve">50.82</w:t>
                  </w:r>
                </w:p>
              </w:tc>
              <w:tc>
                <w:tcPr/>
                <w:p>
                  <w:pPr>
                    <w:pStyle w:val="Compact"/>
                    <w:jc w:val="center"/>
                    <w:jc w:val="center"/>
                  </w:pPr>
                  <w:r>
                    <w:t xml:space="preserve">7.38</w:t>
                  </w:r>
                </w:p>
              </w:tc>
              <w:tc>
                <w:tcPr/>
                <w:p>
                  <w:pPr>
                    <w:pStyle w:val="Compact"/>
                    <w:jc w:val="center"/>
                    <w:jc w:val="center"/>
                  </w:pPr>
                  <w:r>
                    <w:t xml:space="preserve">0.104</w:t>
                  </w:r>
                </w:p>
              </w:tc>
              <w:tc>
                <w:tcPr/>
                <w:p>
                  <w:pPr>
                    <w:pStyle w:val="Compact"/>
                    <w:jc w:val="center"/>
                    <w:jc w:val="center"/>
                  </w:pPr>
                  <w:r>
                    <w:t xml:space="preserve">0.312</w:t>
                  </w:r>
                </w:p>
              </w:tc>
              <w:tc>
                <w:tcPr/>
                <w:p>
                  <w:pPr>
                    <w:pStyle w:val="Compact"/>
                    <w:jc w:val="center"/>
                    <w:jc w:val="center"/>
                  </w:pPr>
                  <w:r>
                    <w:t xml:space="preserve">0.118</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-3.54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0.90</w:t>
                  </w:r>
                </w:p>
              </w:tc>
              <w:tc>
                <w:tcPr/>
                <w:p>
                  <w:pPr>
                    <w:pStyle w:val="Compact"/>
                    <w:jc w:val="center"/>
                    <w:jc w:val="center"/>
                  </w:pPr>
                  <w:r>
                    <w:t xml:space="preserve">0.90</w:t>
                  </w:r>
                </w:p>
              </w:tc>
              <w:tc>
                <w:tcPr/>
                <w:p>
                  <w:pPr>
                    <w:pStyle w:val="Compact"/>
                    <w:jc w:val="center"/>
                    <w:jc w:val="center"/>
                  </w:pPr>
                  <w:r>
                    <w:t xml:space="preserve">3.18</w:t>
                  </w:r>
                </w:p>
              </w:tc>
              <w:tc>
                <w:tcPr/>
                <w:p>
                  <w:pPr>
                    <w:pStyle w:val="Compact"/>
                    <w:jc w:val="center"/>
                    <w:jc w:val="center"/>
                  </w:pPr>
                  <w:r>
                    <w:t xml:space="preserve">3.93</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0.98</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-4.17</w:t>
                  </w:r>
                </w:p>
              </w:tc>
              <w:tc>
                <w:tcPr/>
                <w:p>
                  <w:pPr>
                    <w:pStyle w:val="Compact"/>
                    <w:jc w:val="center"/>
                    <w:jc w:val="center"/>
                  </w:pPr>
                  <w:r>
                    <w:t xml:space="preserve">0.14</w:t>
                  </w:r>
                </w:p>
              </w:tc>
              <w:tc>
                <w:tcPr/>
                <w:p>
                  <w:pPr>
                    <w:pStyle w:val="Compact"/>
                    <w:jc w:val="center"/>
                    <w:jc w:val="center"/>
                  </w:pPr>
                  <w:r>
                    <w:t xml:space="preserve">0.42</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0.10</w:t>
                  </w:r>
                </w:p>
              </w:tc>
              <w:tc>
                <w:tcPr/>
                <w:p>
                  <w:pPr>
                    <w:pStyle w:val="Compact"/>
                    <w:jc w:val="center"/>
                    <w:jc w:val="center"/>
                  </w:pPr>
                  <w:r>
                    <w:t xml:space="preserve">499</w:t>
                  </w:r>
                </w:p>
              </w:tc>
              <w:tc>
                <w:tcPr/>
                <w:p>
                  <w:pPr>
                    <w:pStyle w:val="Compact"/>
                    <w:jc w:val="left"/>
                    <w:jc w:val="center"/>
                  </w:pPr>
                  <w:r>
                    <w:t xml:space="preserve">0</w:t>
                  </w:r>
                </w:p>
              </w:tc>
            </w:tr>
          </w:tbl>
          <w:p>
            <w:pPr>
              <w:jc w:val="center"/>
            </w:pPr>
            <w:pPr>
              <w:jc w:val="start"/>
              <w:spacing w:before="200"/>
              <w:pStyle w:val="ImageCaption"/>
            </w:pPr>
            <w:r>
              <w:t xml:space="preserve">Table S 35: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Across the six phase-by-model cells, B_finite ranges from</w:t>
            </w:r>
            <w:r>
              <w:t xml:space="preserve"> </w:t>
            </w:r>
            <w:r>
              <w:rPr>
                <w:rStyle w:val="VerbatimChar"/>
              </w:rPr>
              <w:t xml:space="preserve">r min(sbm_null_results$B_finite)</w:t>
            </w:r>
            <w:r>
              <w:t xml:space="preserve"> </w:t>
            </w:r>
            <w:r>
              <w:t xml:space="preserve">to</w:t>
            </w:r>
            <w:r>
              <w:t xml:space="preserve"> </w:t>
            </w:r>
            <w:r>
              <w:rPr>
                <w:rStyle w:val="VerbatimChar"/>
              </w:rPr>
              <w:t xml:space="preserve">r max(sbm_null_results$B_finite)</w:t>
            </w:r>
            <w:r>
              <w:t xml:space="preserve"> </w:t>
            </w:r>
            <w:r>
              <w:t xml:space="preserve">and total failures are</w:t>
            </w:r>
            <w:r>
              <w:t xml:space="preserve"> </w:t>
            </w:r>
            <w:r>
              <w:rPr>
                <w:rStyle w:val="VerbatimChar"/>
              </w:rPr>
              <w:t xml:space="preserve">r sum(sbm_null_results$failures)</w:t>
            </w:r>
            <w:r>
              <w:t xml:space="preserve">.</w:t>
            </w:r>
          </w:p>
          <w:bookmarkEnd w:id="185"/>
        </w:tc>
      </w:tr>
    </w:tbl>
    <w:tbl>
      <w:tblPr>
        <w:tblStyle w:val="Table"/>
        <w:tblW w:type="pct" w:w="5000"/>
        <w:tblLook w:firstRow="0" w:lastRow="0" w:firstColumn="0" w:lastColumn="0" w:noHBand="0" w:noVBand="0" w:val="0000"/>
        <w:jc w:val="start"/>
        <w:tblLayout w:type="fixed"/>
      </w:tblPr>
      <w:tblGrid>
        <w:gridCol w:w="7920"/>
      </w:tblGrid>
      <w:tr>
        <w:tc>
          <w:tcPr/>
          <w:bookmarkStart w:id="189" w:name="fig-sbm-null"/>
          <w:p>
            <w:pPr>
              <w:pStyle w:val="Compact"/>
              <w:jc w:val="center"/>
            </w:pPr>
            <w:r>
              <w:drawing>
                <wp:inline>
                  <wp:extent cx="5943600" cy="2971800"/>
                  <wp:effectExtent b="0" l="0" r="0" t="0"/>
                  <wp:docPr descr="" title="" id="187" name="Picture"/>
                  <a:graphic>
                    <a:graphicData uri="http://schemas.openxmlformats.org/drawingml/2006/picture">
                      <pic:pic>
                        <pic:nvPicPr>
                          <pic:cNvPr descr="S1-supplement-sensitivity_files/figure-docx/fig-sbm-null-1.png" id="188" name="Picture"/>
                          <pic:cNvPicPr>
                            <a:picLocks noChangeArrowheads="1" noChangeAspect="1"/>
                          </pic:cNvPicPr>
                        </pic:nvPicPr>
                        <pic:blipFill>
                          <a:blip r:embed="rId18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9"/>
        </w:tc>
      </w:tr>
    </w:tbl>
    <w:bookmarkEnd w:id="190"/>
    <w:bookmarkStart w:id="191"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1"/>
    <w:bookmarkEnd w:id="192"/>
    <w:bookmarkStart w:id="201" w:name="sec-s9-5"/>
    <w:p>
      <w:pPr>
        <w:pStyle w:val="Heading2"/>
      </w:pPr>
      <w:r>
        <w:t xml:space="preserve">S1.9.5 Seriation-Order Null Test</w:t>
      </w:r>
    </w:p>
    <w:bookmarkStart w:id="198"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3" w:name="tbl-seriation-null"/>
          <w:tbl>
            <w:tblPr>
              <w:tblStyle w:val="Table"/>
              <w:tblW w:type="pct" w:w="5000"/>
              <w:tblLook w:firstRow="1" w:lastRow="0" w:firstColumn="0" w:lastColumn="0" w:noHBand="0" w:noVBand="0" w:val="0020"/>
              <w:jc w:val="start"/>
              <w:tblLayout w:type="fixed"/>
            </w:tblPr>
            <w:tblGrid>
              <w:gridCol w:w="874"/>
              <w:gridCol w:w="340"/>
              <w:gridCol w:w="923"/>
              <w:gridCol w:w="777"/>
              <w:gridCol w:w="680"/>
              <w:gridCol w:w="826"/>
              <w:gridCol w:w="826"/>
              <w:gridCol w:w="777"/>
              <w:gridCol w:w="680"/>
              <w:gridCol w:w="728"/>
              <w:gridCol w:w="485"/>
            </w:tblGrid>
            <w:tr>
              <w:trPr>
                <w:tblHeader w:val="true"/>
              </w:trPr>
              <w:tc>
                <w:tcPr/>
                <w:p>
                  <w:pPr>
                    <w:pStyle w:val="Compact"/>
                  </w:pPr>
                </w:p>
              </w:tc>
              <w:tc>
                <w:tcPr/>
                <w:p>
                  <w:pPr>
                    <w:pStyle w:val="Compact"/>
                    <w:jc w:val="left"/>
                    <w:jc w:val="center"/>
                  </w:pPr>
                  <w:r>
                    <w:t xml:space="preserve">Phase</w:t>
                  </w:r>
                </w:p>
              </w:tc>
              <w:tc>
                <w:tcPr/>
                <w:p>
                  <w:pPr>
                    <w:pStyle w:val="Compact"/>
                    <w:jc w:val="center"/>
                    <w:jc w:val="center"/>
                  </w:pPr>
                  <w:r>
                    <w:t xml:space="preserve">Obs_concentration</w:t>
                  </w:r>
                </w:p>
              </w:tc>
              <w:tc>
                <w:tcPr/>
                <w:p>
                  <w:pPr>
                    <w:pStyle w:val="Compact"/>
                    <w:jc w:val="center"/>
                    <w:jc w:val="center"/>
                  </w:pPr>
                  <w:r>
                    <w:t xml:space="preserve">Null_mean_conc</w:t>
                  </w:r>
                </w:p>
              </w:tc>
              <w:tc>
                <w:tcPr/>
                <w:p>
                  <w:pPr>
                    <w:pStyle w:val="Compact"/>
                    <w:jc w:val="center"/>
                    <w:jc w:val="center"/>
                  </w:pPr>
                  <w:r>
                    <w:t xml:space="preserve">Null_sd_conc</w:t>
                  </w:r>
                </w:p>
              </w:tc>
              <w:tc>
                <w:tcPr/>
                <w:p>
                  <w:pPr>
                    <w:pStyle w:val="Compact"/>
                    <w:jc w:val="center"/>
                    <w:jc w:val="center"/>
                  </w:pPr>
                  <w:r>
                    <w:t xml:space="preserve">p_concentration</w:t>
                  </w:r>
                </w:p>
              </w:tc>
              <w:tc>
                <w:tcPr/>
                <w:p>
                  <w:pPr>
                    <w:pStyle w:val="Compact"/>
                    <w:jc w:val="center"/>
                    <w:jc w:val="center"/>
                  </w:pPr>
                  <w:r>
                    <w:t xml:space="preserve">Obs_path_length</w:t>
                  </w:r>
                </w:p>
              </w:tc>
              <w:tc>
                <w:tcPr/>
                <w:p>
                  <w:pPr>
                    <w:pStyle w:val="Compact"/>
                    <w:jc w:val="center"/>
                    <w:jc w:val="center"/>
                  </w:pPr>
                  <w:r>
                    <w:t xml:space="preserve">Null_mean_path</w:t>
                  </w:r>
                </w:p>
              </w:tc>
              <w:tc>
                <w:tcPr/>
                <w:p>
                  <w:pPr>
                    <w:pStyle w:val="Compact"/>
                    <w:jc w:val="center"/>
                    <w:jc w:val="center"/>
                  </w:pPr>
                  <w:r>
                    <w:t xml:space="preserve">Null_sd_path</w:t>
                  </w:r>
                </w:p>
              </w:tc>
              <w:tc>
                <w:tcPr/>
                <w:p>
                  <w:pPr>
                    <w:pStyle w:val="Compact"/>
                    <w:jc w:val="center"/>
                    <w:jc w:val="center"/>
                  </w:pPr>
                  <w:r>
                    <w:t xml:space="preserve">p_path_length</w:t>
                  </w:r>
                </w:p>
              </w:tc>
              <w:tc>
                <w:tcPr/>
                <w:p>
                  <w:pPr>
                    <w:pStyle w:val="Compact"/>
                    <w:jc w:val="center"/>
                    <w:jc w:val="center"/>
                  </w:pPr>
                  <w:r>
                    <w:t xml:space="preserve">B_finite</w:t>
                  </w:r>
                </w:p>
              </w:tc>
            </w:tr>
            <w:tr>
              <w:tc>
                <w:tcPr/>
                <w:p>
                  <w:pPr>
                    <w:pStyle w:val="Compact"/>
                    <w:jc w:val="left"/>
                    <w:jc w:val="center"/>
                  </w:pPr>
                  <w:r>
                    <w:t xml:space="preserve">concentration…1</w:t>
                  </w:r>
                </w:p>
              </w:tc>
              <w:tc>
                <w:tcPr/>
                <w:p>
                  <w:pPr>
                    <w:pStyle w:val="Compact"/>
                    <w:jc w:val="left"/>
                    <w:jc w:val="center"/>
                  </w:pPr>
                  <w:r>
                    <w:t xml:space="preserve">Aur-P1</w:t>
                  </w:r>
                </w:p>
              </w:tc>
              <w:tc>
                <w:tcPr/>
                <w:p>
                  <w:pPr>
                    <w:pStyle w:val="Compact"/>
                    <w:jc w:val="center"/>
                    <w:jc w:val="center"/>
                  </w:pPr>
                  <w:r>
                    <w:t xml:space="preserve">0.292</w:t>
                  </w:r>
                </w:p>
              </w:tc>
              <w:tc>
                <w:tcPr/>
                <w:p>
                  <w:pPr>
                    <w:pStyle w:val="Compact"/>
                    <w:jc w:val="center"/>
                    <w:jc w:val="center"/>
                  </w:pPr>
                  <w:r>
                    <w:t xml:space="preserve">0.314</w:t>
                  </w:r>
                </w:p>
              </w:tc>
              <w:tc>
                <w:tcPr/>
                <w:p>
                  <w:pPr>
                    <w:pStyle w:val="Compact"/>
                    <w:jc w:val="center"/>
                    <w:jc w:val="center"/>
                  </w:pPr>
                  <w:r>
                    <w:t xml:space="preserve">0.040</w:t>
                  </w:r>
                </w:p>
              </w:tc>
              <w:tc>
                <w:tcPr/>
                <w:p>
                  <w:pPr>
                    <w:pStyle w:val="Compact"/>
                    <w:jc w:val="center"/>
                    <w:jc w:val="center"/>
                  </w:pPr>
                  <w:r>
                    <w:t xml:space="preserve">0.311</w:t>
                  </w:r>
                </w:p>
              </w:tc>
              <w:tc>
                <w:tcPr/>
                <w:p>
                  <w:pPr>
                    <w:pStyle w:val="Compact"/>
                    <w:jc w:val="center"/>
                    <w:jc w:val="center"/>
                  </w:pPr>
                  <w:r>
                    <w:t xml:space="preserve">10.211</w:t>
                  </w:r>
                </w:p>
              </w:tc>
              <w:tc>
                <w:tcPr/>
                <w:p>
                  <w:pPr>
                    <w:pStyle w:val="Compact"/>
                    <w:jc w:val="center"/>
                    <w:jc w:val="center"/>
                  </w:pPr>
                  <w:r>
                    <w:t xml:space="preserve">11.213</w:t>
                  </w:r>
                </w:p>
              </w:tc>
              <w:tc>
                <w:tcPr/>
                <w:p>
                  <w:pPr>
                    <w:pStyle w:val="Compact"/>
                    <w:jc w:val="center"/>
                    <w:jc w:val="center"/>
                  </w:pPr>
                  <w:r>
                    <w:t xml:space="preserve">0.899</w:t>
                  </w:r>
                </w:p>
              </w:tc>
              <w:tc>
                <w:tcPr/>
                <w:p>
                  <w:pPr>
                    <w:pStyle w:val="Compact"/>
                    <w:jc w:val="center"/>
                    <w:jc w:val="center"/>
                  </w:pPr>
                  <w:r>
                    <w:t xml:space="preserve">0.169</w:t>
                  </w:r>
                </w:p>
              </w:tc>
              <w:tc>
                <w:tcPr/>
                <w:p>
                  <w:pPr>
                    <w:pStyle w:val="Compact"/>
                    <w:jc w:val="center"/>
                    <w:jc w:val="center"/>
                  </w:pPr>
                  <w:r>
                    <w:t xml:space="preserve">999</w:t>
                  </w:r>
                </w:p>
              </w:tc>
            </w:tr>
            <w:tr>
              <w:tc>
                <w:tcPr/>
                <w:p>
                  <w:pPr>
                    <w:pStyle w:val="Compact"/>
                    <w:jc w:val="left"/>
                    <w:jc w:val="center"/>
                  </w:pPr>
                  <w:r>
                    <w:t xml:space="preserve">concentration…2</w:t>
                  </w:r>
                </w:p>
              </w:tc>
              <w:tc>
                <w:tcPr/>
                <w:p>
                  <w:pPr>
                    <w:pStyle w:val="Compact"/>
                    <w:jc w:val="left"/>
                    <w:jc w:val="center"/>
                  </w:pPr>
                  <w:r>
                    <w:t xml:space="preserve">Aur-P2</w:t>
                  </w:r>
                </w:p>
              </w:tc>
              <w:tc>
                <w:tcPr/>
                <w:p>
                  <w:pPr>
                    <w:pStyle w:val="Compact"/>
                    <w:jc w:val="center"/>
                    <w:jc w:val="center"/>
                  </w:pPr>
                  <w:r>
                    <w:t xml:space="preserve">0.415</w:t>
                  </w:r>
                </w:p>
              </w:tc>
              <w:tc>
                <w:tcPr/>
                <w:p>
                  <w:pPr>
                    <w:pStyle w:val="Compact"/>
                    <w:jc w:val="center"/>
                    <w:jc w:val="center"/>
                  </w:pPr>
                  <w:r>
                    <w:t xml:space="preserve">0.366</w:t>
                  </w:r>
                </w:p>
              </w:tc>
              <w:tc>
                <w:tcPr/>
                <w:p>
                  <w:pPr>
                    <w:pStyle w:val="Compact"/>
                    <w:jc w:val="center"/>
                    <w:jc w:val="center"/>
                  </w:pPr>
                  <w:r>
                    <w:t xml:space="preserve">0.035</w:t>
                  </w:r>
                </w:p>
              </w:tc>
              <w:tc>
                <w:tcPr/>
                <w:p>
                  <w:pPr>
                    <w:pStyle w:val="Compact"/>
                    <w:jc w:val="center"/>
                    <w:jc w:val="center"/>
                  </w:pPr>
                  <w:r>
                    <w:t xml:space="preserve">0.912</w:t>
                  </w:r>
                </w:p>
              </w:tc>
              <w:tc>
                <w:tcPr/>
                <w:p>
                  <w:pPr>
                    <w:pStyle w:val="Compact"/>
                    <w:jc w:val="center"/>
                    <w:jc w:val="center"/>
                  </w:pPr>
                  <w:r>
                    <w:t xml:space="preserve">4.381</w:t>
                  </w:r>
                </w:p>
              </w:tc>
              <w:tc>
                <w:tcPr/>
                <w:p>
                  <w:pPr>
                    <w:pStyle w:val="Compact"/>
                    <w:jc w:val="center"/>
                    <w:jc w:val="center"/>
                  </w:pPr>
                  <w:r>
                    <w:t xml:space="preserve">4.046</w:t>
                  </w:r>
                </w:p>
              </w:tc>
              <w:tc>
                <w:tcPr/>
                <w:p>
                  <w:pPr>
                    <w:pStyle w:val="Compact"/>
                    <w:jc w:val="center"/>
                    <w:jc w:val="center"/>
                  </w:pPr>
                  <w:r>
                    <w:t xml:space="preserve">0.359</w:t>
                  </w:r>
                </w:p>
              </w:tc>
              <w:tc>
                <w:tcPr/>
                <w:p>
                  <w:pPr>
                    <w:pStyle w:val="Compact"/>
                    <w:jc w:val="center"/>
                    <w:jc w:val="center"/>
                  </w:pPr>
                  <w:r>
                    <w:t xml:space="preserve">0.854</w:t>
                  </w:r>
                </w:p>
              </w:tc>
              <w:tc>
                <w:tcPr/>
                <w:p>
                  <w:pPr>
                    <w:pStyle w:val="Compact"/>
                    <w:jc w:val="center"/>
                    <w:jc w:val="center"/>
                  </w:pPr>
                  <w:r>
                    <w:t xml:space="preserve">999</w:t>
                  </w:r>
                </w:p>
              </w:tc>
            </w:tr>
          </w:tbl>
          <w:p>
            <w:pPr>
              <w:jc w:val="center"/>
            </w:pPr>
            <w:pPr>
              <w:jc w:val="start"/>
              <w:spacing w:before="200"/>
              <w:pStyle w:val="ImageCaption"/>
            </w:pPr>
            <w:r>
              <w:t xml:space="preserve">Table S 36: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3"/>
        </w:tc>
      </w:tr>
    </w:tbl>
    <w:tbl>
      <w:tblPr>
        <w:tblStyle w:val="Table"/>
        <w:tblW w:type="pct" w:w="5000"/>
        <w:tblLook w:firstRow="0" w:lastRow="0" w:firstColumn="0" w:lastColumn="0" w:noHBand="0" w:noVBand="0" w:val="0000"/>
        <w:jc w:val="start"/>
        <w:tblLayout w:type="fixed"/>
      </w:tblPr>
      <w:tblGrid>
        <w:gridCol w:w="7920"/>
      </w:tblGrid>
      <w:tr>
        <w:tc>
          <w:tcPr/>
          <w:bookmarkStart w:id="197" w:name="fig-seriation-null"/>
          <w:p>
            <w:pPr>
              <w:pStyle w:val="Compact"/>
              <w:jc w:val="center"/>
            </w:pPr>
            <w:r>
              <w:drawing>
                <wp:inline>
                  <wp:extent cx="5943600" cy="2971800"/>
                  <wp:effectExtent b="0" l="0" r="0" t="0"/>
                  <wp:docPr descr="" title="" id="195" name="Picture"/>
                  <a:graphic>
                    <a:graphicData uri="http://schemas.openxmlformats.org/drawingml/2006/picture">
                      <pic:pic>
                        <pic:nvPicPr>
                          <pic:cNvPr descr="S1-supplement-sensitivity_files/figure-docx/fig-seriation-null-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7"/>
        </w:tc>
      </w:tr>
    </w:tbl>
    <w:bookmarkEnd w:id="198"/>
    <w:bookmarkStart w:id="200"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99"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37: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199"/>
        </w:tc>
      </w:tr>
    </w:tbl>
    <w:bookmarkEnd w:id="200"/>
    <w:bookmarkEnd w:id="201"/>
    <w:bookmarkStart w:id="204" w:name="sec-s9-6"/>
    <w:p>
      <w:pPr>
        <w:pStyle w:val="Heading2"/>
      </w:pPr>
      <w:r>
        <w:t xml:space="preserve">S1.9.6 Cross-Validation of Group Assignments (ARI)</w:t>
      </w:r>
    </w:p>
    <w:bookmarkStart w:id="202"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02"/>
    <w:bookmarkStart w:id="203"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37</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37</w:t>
        </w:r>
      </w:hyperlink>
      <w:r>
        <w:t xml:space="preserve">). In Aur-P1 this means the bootstrap recovers the manual two-group partition closely: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returns a consistent multi-block solution for Aur-P1 under every encoding, though that preference does not exceed the Curveball null.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03"/>
    <w:bookmarkEnd w:id="204"/>
    <w:bookmarkEnd w:id="205"/>
    <w:bookmarkStart w:id="213" w:name="sec-s10"/>
    <w:p>
      <w:pPr>
        <w:pStyle w:val="Heading1"/>
      </w:pPr>
      <w:r>
        <w:t xml:space="preserve">S1.10 Withheld-Data Validation</w:t>
      </w:r>
    </w:p>
    <w:bookmarkStart w:id="207"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6" w:name="tbl-validation-summary"/>
          <w:tbl>
            <w:tblPr>
              <w:tblStyle w:val="Table"/>
              <w:tblW w:type="pct" w:w="5000"/>
              <w:tblLook w:firstRow="1" w:lastRow="0" w:firstColumn="0" w:lastColumn="0" w:noHBand="0" w:noVBand="0" w:val="0020"/>
              <w:jc w:val="start"/>
              <w:tblLayout w:type="fixed"/>
            </w:tblPr>
            <w:tblGrid>
              <w:gridCol w:w="3357"/>
              <w:gridCol w:w="1721"/>
              <w:gridCol w:w="28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3.72</w:t>
                  </w:r>
                </w:p>
              </w:tc>
              <w:tc>
                <w:tcPr/>
                <w:p>
                  <w:pPr>
                    <w:pStyle w:val="Compact"/>
                    <w:jc w:val="center"/>
                    <w:jc w:val="center"/>
                  </w:pPr>
                  <w:r>
                    <w:t xml:space="preserve">0.139</w:t>
                  </w:r>
                </w:p>
              </w:tc>
            </w:tr>
            <w:tr>
              <w:tc>
                <w:tcPr/>
                <w:p>
                  <w:pPr>
                    <w:pStyle w:val="Compact"/>
                    <w:jc w:val="left"/>
                    <w:jc w:val="center"/>
                  </w:pPr>
                  <w:r>
                    <w:t xml:space="preserve">A: Maximally-selected split (P2)</w:t>
                  </w:r>
                </w:p>
              </w:tc>
              <w:tc>
                <w:tcPr/>
                <w:p>
                  <w:pPr>
                    <w:pStyle w:val="Compact"/>
                    <w:jc w:val="left"/>
                    <w:jc w:val="center"/>
                  </w:pPr>
                  <w:r>
                    <w:t xml:space="preserve">1.77</w:t>
                  </w:r>
                </w:p>
              </w:tc>
              <w:tc>
                <w:tcPr/>
                <w:p>
                  <w:pPr>
                    <w:pStyle w:val="Compact"/>
                    <w:jc w:val="center"/>
                    <w:jc w:val="center"/>
                  </w:pPr>
                  <w:r>
                    <w:t xml:space="preserve">1</w:t>
                  </w:r>
                </w:p>
              </w:tc>
            </w:tr>
            <w:tr>
              <w:tc>
                <w:tcPr/>
                <w:p>
                  <w:pPr>
                    <w:pStyle w:val="Compact"/>
                    <w:jc w:val="left"/>
                    <w:jc w:val="center"/>
                  </w:pPr>
                  <w:r>
                    <w:t xml:space="preserve">B-i: LOOCV site classification (P1)</w:t>
                  </w:r>
                </w:p>
              </w:tc>
              <w:tc>
                <w:tcPr/>
                <w:p>
                  <w:pPr>
                    <w:pStyle w:val="Compact"/>
                    <w:jc w:val="left"/>
                    <w:jc w:val="center"/>
                  </w:pPr>
                  <w:r>
                    <w:t xml:space="preserve">100 %</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89 %</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55% sig, med p=0.04</w:t>
                  </w:r>
                </w:p>
              </w:tc>
              <w:tc>
                <w:tcPr/>
                <w:p>
                  <w:pPr>
                    <w:pStyle w:val="Compact"/>
                    <w:jc w:val="center"/>
                    <w:jc w:val="center"/>
                  </w:pPr>
                  <w:r>
                    <w:t xml:space="preserve">not combined (dependent splits)</w:t>
                  </w:r>
                </w:p>
              </w:tc>
            </w:tr>
            <w:tr>
              <w:tc>
                <w:tcPr/>
                <w:p>
                  <w:pPr>
                    <w:pStyle w:val="Compact"/>
                    <w:jc w:val="left"/>
                    <w:jc w:val="center"/>
                  </w:pPr>
                  <w:r>
                    <w:t xml:space="preserve">B-ii: Object-half holdout Jaccard (P2)</w:t>
                  </w:r>
                </w:p>
              </w:tc>
              <w:tc>
                <w:tcPr/>
                <w:p>
                  <w:pPr>
                    <w:pStyle w:val="Compact"/>
                    <w:jc w:val="left"/>
                    <w:jc w:val="center"/>
                  </w:pPr>
                  <w:r>
                    <w:t xml:space="preserve">0% sig, med p=0.199</w:t>
                  </w:r>
                </w:p>
              </w:tc>
              <w:tc>
                <w:tcPr/>
                <w:p>
                  <w:pPr>
                    <w:pStyle w:val="Compact"/>
                    <w:jc w:val="center"/>
                    <w:jc w:val="center"/>
                  </w:pPr>
                  <w:r>
                    <w:t xml:space="preserve">not combined (dependent splits)</w:t>
                  </w:r>
                </w:p>
              </w:tc>
            </w:tr>
            <w:tr>
              <w:tc>
                <w:tcPr/>
                <w:p>
                  <w:pPr>
                    <w:pStyle w:val="Compact"/>
                    <w:jc w:val="left"/>
                    <w:jc w:val="center"/>
                  </w:pPr>
                  <w:r>
                    <w:t xml:space="preserve">B-ii: Object-half holdout Simpson (P1)</w:t>
                  </w:r>
                </w:p>
              </w:tc>
              <w:tc>
                <w:tcPr/>
                <w:p>
                  <w:pPr>
                    <w:pStyle w:val="Compact"/>
                    <w:jc w:val="left"/>
                    <w:jc w:val="center"/>
                  </w:pPr>
                  <w:r>
                    <w:t xml:space="preserve">0% sig, med p=0.976</w:t>
                  </w:r>
                </w:p>
              </w:tc>
              <w:tc>
                <w:tcPr/>
                <w:p>
                  <w:pPr>
                    <w:pStyle w:val="Compact"/>
                    <w:jc w:val="center"/>
                    <w:jc w:val="center"/>
                  </w:pPr>
                  <w:r>
                    <w:t xml:space="preserve">not combined (dependent splits)</w:t>
                  </w:r>
                </w:p>
              </w:tc>
            </w:tr>
            <w:tr>
              <w:tc>
                <w:tcPr/>
                <w:p>
                  <w:pPr>
                    <w:pStyle w:val="Compact"/>
                    <w:jc w:val="left"/>
                    <w:jc w:val="center"/>
                  </w:pPr>
                  <w:r>
                    <w:t xml:space="preserve">B-ii: Object-half holdout Simpson (P2)</w:t>
                  </w:r>
                </w:p>
              </w:tc>
              <w:tc>
                <w:tcPr/>
                <w:p>
                  <w:pPr>
                    <w:pStyle w:val="Compact"/>
                    <w:jc w:val="left"/>
                    <w:jc w:val="center"/>
                  </w:pPr>
                  <w:r>
                    <w:t xml:space="preserve">0% sig, med p=0.917</w:t>
                  </w:r>
                </w:p>
              </w:tc>
              <w:tc>
                <w:tcPr/>
                <w:p>
                  <w:pPr>
                    <w:pStyle w:val="Compact"/>
                    <w:jc w:val="center"/>
                    <w:jc w:val="center"/>
                  </w:pPr>
                  <w:r>
                    <w:t xml:space="preserve">not combined (dependent splits)</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38: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6"/>
        </w:tc>
      </w:tr>
    </w:tbl>
    <w:bookmarkEnd w:id="207"/>
    <w:bookmarkStart w:id="208"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8"/>
    <w:bookmarkStart w:id="212" w:name="sec-s10-1"/>
    <w:p>
      <w:pPr>
        <w:pStyle w:val="Heading2"/>
      </w:pPr>
      <w:r>
        <w:t xml:space="preserve">S1.10.3 Richness-preserving nulls and Simpson turnover</w:t>
      </w:r>
    </w:p>
    <w:bookmarkStart w:id="210"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9"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39: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09"/>
        </w:tc>
      </w:tr>
    </w:tbl>
    <w:bookmarkEnd w:id="210"/>
    <w:bookmarkStart w:id="211"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at the 0.3rd percentile of the object-count null, meaning even less turnover separation than random object draws produce.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1"/>
    <w:bookmarkEnd w:id="212"/>
    <w:bookmarkEnd w:id="213"/>
    <w:bookmarkStart w:id="235" w:name="sec-s11"/>
    <w:p>
      <w:pPr>
        <w:pStyle w:val="Heading1"/>
      </w:pPr>
      <w:r>
        <w:t xml:space="preserve">S1.11 Community Description</w:t>
      </w:r>
    </w:p>
    <w:bookmarkStart w:id="214"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4"/>
    <w:bookmarkStart w:id="221" w:name="sec-s11-1"/>
    <w:p>
      <w:pPr>
        <w:pStyle w:val="Heading2"/>
      </w:pPr>
      <w:r>
        <w:t xml:space="preserve">S1.11.2 Community membership</w:t>
      </w:r>
    </w:p>
    <w:bookmarkStart w:id="220"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5"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40: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5"/>
        </w:tc>
      </w:tr>
    </w:tbl>
    <w:tbl>
      <w:tblPr>
        <w:tblStyle w:val="Table"/>
        <w:tblW w:type="pct" w:w="5000"/>
        <w:tblLook w:firstRow="0" w:lastRow="0" w:firstColumn="0" w:lastColumn="0" w:noHBand="0" w:noVBand="0" w:val="0000"/>
        <w:jc w:val="start"/>
        <w:tblLayout w:type="fixed"/>
      </w:tblPr>
      <w:tblGrid>
        <w:gridCol w:w="7920"/>
      </w:tblGrid>
      <w:tr>
        <w:tc>
          <w:tcPr/>
          <w:bookmarkStart w:id="219" w:name="fig-comembership-heatmap"/>
          <w:p>
            <w:pPr>
              <w:pStyle w:val="Compact"/>
              <w:jc w:val="center"/>
            </w:pPr>
            <w:r>
              <w:drawing>
                <wp:inline>
                  <wp:extent cx="5943600" cy="5943600"/>
                  <wp:effectExtent b="0" l="0" r="0" t="0"/>
                  <wp:docPr descr="" title="" id="217" name="Picture"/>
                  <a:graphic>
                    <a:graphicData uri="http://schemas.openxmlformats.org/drawingml/2006/picture">
                      <pic:pic>
                        <pic:nvPicPr>
                          <pic:cNvPr descr="../figures/comembership-heatmap.png" id="218" name="Picture"/>
                          <pic:cNvPicPr>
                            <a:picLocks noChangeArrowheads="1" noChangeAspect="1"/>
                          </pic:cNvPicPr>
                        </pic:nvPicPr>
                        <pic:blipFill>
                          <a:blip r:embed="rId216"/>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9"/>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0"/>
    <w:bookmarkEnd w:id="221"/>
    <w:bookmarkStart w:id="224" w:name="sec-s11-2"/>
    <w:p>
      <w:pPr>
        <w:pStyle w:val="Heading2"/>
      </w:pPr>
      <w:r>
        <w:t xml:space="preserve">S1.11.3 Sign-type profiles</w:t>
      </w:r>
    </w:p>
    <w:bookmarkStart w:id="223"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2"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41: Sign-type composition of Louvain communities at threshold 0.2. Values show the proportion of sites within each community that have at least one object bearing the sign type. Only sign types present in ≥10% of sites in at least one community are shown.</w:t>
            </w:r>
          </w:p>
          <w:bookmarkEnd w:id="222"/>
        </w:tc>
      </w:tr>
    </w:tbl>
    <w:bookmarkEnd w:id="223"/>
    <w:bookmarkEnd w:id="224"/>
    <w:bookmarkStart w:id="230" w:name="sec-s11-3"/>
    <w:p>
      <w:pPr>
        <w:pStyle w:val="Heading2"/>
      </w:pPr>
      <w:r>
        <w:t xml:space="preserve">S1.11.4 Geographic distribution</w:t>
      </w:r>
    </w:p>
    <w:bookmarkStart w:id="229"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8" w:name="fig-community-maps"/>
          <w:p>
            <w:pPr>
              <w:pStyle w:val="Compact"/>
              <w:jc w:val="center"/>
            </w:pPr>
            <w:r>
              <w:drawing>
                <wp:inline>
                  <wp:extent cx="5943600" cy="4622800"/>
                  <wp:effectExtent b="0" l="0" r="0" t="0"/>
                  <wp:docPr descr="" title="" id="226" name="Picture"/>
                  <a:graphic>
                    <a:graphicData uri="http://schemas.openxmlformats.org/drawingml/2006/picture">
                      <pic:pic>
                        <pic:nvPicPr>
                          <pic:cNvPr descr="../figures/community-maps.png" id="227" name="Picture"/>
                          <pic:cNvPicPr>
                            <a:picLocks noChangeArrowheads="1" noChangeAspect="1"/>
                          </pic:cNvPicPr>
                        </pic:nvPicPr>
                        <pic:blipFill>
                          <a:blip r:embed="rId225"/>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28"/>
        </w:tc>
      </w:tr>
    </w:tbl>
    <w:bookmarkEnd w:id="229"/>
    <w:bookmarkEnd w:id="230"/>
    <w:bookmarkStart w:id="233" w:name="sec-s11-4"/>
    <w:p>
      <w:pPr>
        <w:pStyle w:val="Heading2"/>
      </w:pPr>
      <w:r>
        <w:t xml:space="preserve">S1.11.5 Cross-algorithm comparison</w:t>
      </w:r>
    </w:p>
    <w:bookmarkStart w:id="232"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1"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bl>
          <w:p>
            <w:pPr>
              <w:jc w:val="center"/>
            </w:pPr>
            <w:pPr>
              <w:jc w:val="start"/>
              <w:spacing w:before="200"/>
              <w:pStyle w:val="ImageCaption"/>
            </w:pPr>
            <w:r>
              <w:t xml:space="preserve">Table S 42: Cross-algorithm agreement in community assignment at threshold 0.2. For each phase, sites are grouped by their Louvain community (reference), and the proportion of other algorithms that assign the site to the same community ID is reported. Community IDs are assigned consistently across algorithms within a phase, so raw IDs are comparable. Values close to 1.0 indicate strong cross-algorithm agreement.</w:t>
            </w:r>
          </w:p>
          <w:bookmarkEnd w:id="231"/>
        </w:tc>
      </w:tr>
    </w:tbl>
    <w:bookmarkEnd w:id="232"/>
    <w:bookmarkEnd w:id="233"/>
    <w:bookmarkStart w:id="234"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40</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40</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41</w:t>
        </w:r>
      </w:hyperlink>
      <w:r>
        <w:t xml:space="preserve"> </w:t>
      </w:r>
      <w:r>
        <w:t xml:space="preserve">shows that line separates the two large Aur-P1 communities most sharply (1.00 in the broad block against 0.44 in the restricted block), with cross, dot, hatching, obline and obnotch also concentrated in the broad block; circumspiral occurs only in the Les Cottés singleton. dashline and zigzag are near-absent in every multi-site community. The communities therefore reflect graded differences in repertoire composition rather than diagnostic sign packages.</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13</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42</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34"/>
    <w:bookmarkEnd w:id="235"/>
    <w:bookmarkStart w:id="286" w:name="sec-s12"/>
    <w:p>
      <w:pPr>
        <w:pStyle w:val="Heading1"/>
      </w:pPr>
      <w:r>
        <w:t xml:space="preserve">S1.12 Object Types and Sampling Intensity</w:t>
      </w:r>
    </w:p>
    <w:bookmarkStart w:id="236"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6"/>
    <w:bookmarkStart w:id="245" w:name="sec-s12-1"/>
    <w:p>
      <w:pPr>
        <w:pStyle w:val="Heading2"/>
      </w:pPr>
      <w:r>
        <w:t xml:space="preserve">S1.12.2 Object-count distribution and feasible common counts</w:t>
      </w:r>
    </w:p>
    <w:bookmarkStart w:id="243"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7"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43: Per-site object counts by phase and manual restricted(1)/broad(2) group.</w:t>
            </w:r>
          </w:p>
          <w:bookmarkEnd w:id="23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8" w:name="tbl-divsite"/>
          <w:tbl>
            <w:tblPr>
              <w:tblStyle w:val="Table"/>
              <w:tblW w:type="pct" w:w="5000"/>
              <w:tblLook w:firstRow="1" w:lastRow="0" w:firstColumn="0" w:lastColumn="0" w:noHBand="0" w:noVBand="0" w:val="0020"/>
              <w:jc w:val="start"/>
              <w:tblLayout w:type="fixed"/>
            </w:tblPr>
            <w:tblGrid>
              <w:gridCol w:w="1909"/>
              <w:gridCol w:w="494"/>
              <w:gridCol w:w="1909"/>
              <w:gridCol w:w="848"/>
              <w:gridCol w:w="424"/>
              <w:gridCol w:w="424"/>
              <w:gridCol w:w="636"/>
              <w:gridCol w:w="1272"/>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Sample size</w:t>
                  </w:r>
                </w:p>
              </w:tc>
              <w:tc>
                <w:tcPr/>
                <w:p>
                  <w:pPr>
                    <w:pStyle w:val="Compact"/>
                    <w:jc w:val="right"/>
                    <w:jc w:val="center"/>
                  </w:pPr>
                  <w:r>
                    <w:t xml:space="preserve">H obs</w:t>
                  </w:r>
                </w:p>
              </w:tc>
              <w:tc>
                <w:tcPr/>
                <w:p>
                  <w:pPr>
                    <w:pStyle w:val="Compact"/>
                    <w:jc w:val="right"/>
                    <w:jc w:val="center"/>
                  </w:pPr>
                  <w:r>
                    <w:t xml:space="preserve">H exp</w:t>
                  </w:r>
                </w:p>
              </w:tc>
              <w:tc>
                <w:tcPr/>
                <w:p>
                  <w:pPr>
                    <w:pStyle w:val="Compact"/>
                    <w:jc w:val="right"/>
                    <w:jc w:val="center"/>
                  </w:pPr>
                  <w:r>
                    <w:t xml:space="preserve">H excess</w:t>
                  </w:r>
                </w:p>
              </w:tc>
              <w:tc>
                <w:tcPr/>
                <w:p>
                  <w:pPr>
                    <w:pStyle w:val="Compact"/>
                    <w:jc w:val="left"/>
                    <w:jc w:val="center"/>
                  </w:pPr>
                  <w:r>
                    <w:t xml:space="preserve">Named in Figure 6</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2</w:t>
                  </w:r>
                </w:p>
              </w:tc>
              <w:tc>
                <w:tcPr/>
                <w:p>
                  <w:pPr>
                    <w:pStyle w:val="Compact"/>
                    <w:jc w:val="right"/>
                    <w:jc w:val="center"/>
                  </w:pPr>
                  <w:r>
                    <w:t xml:space="preserve">0.693</w:t>
                  </w:r>
                </w:p>
              </w:tc>
              <w:tc>
                <w:tcPr/>
                <w:p>
                  <w:pPr>
                    <w:pStyle w:val="Compact"/>
                    <w:jc w:val="right"/>
                    <w:jc w:val="center"/>
                  </w:pPr>
                  <w:r>
                    <w:t xml:space="preserve">0.559</w:t>
                  </w:r>
                </w:p>
              </w:tc>
              <w:tc>
                <w:tcPr/>
                <w:p>
                  <w:pPr>
                    <w:pStyle w:val="Compact"/>
                    <w:jc w:val="right"/>
                    <w:jc w:val="center"/>
                  </w:pPr>
                  <w:r>
                    <w:t xml:space="preserve">0.134</w:t>
                  </w:r>
                </w:p>
              </w:tc>
              <w:tc>
                <w:tcPr/>
                <w:p>
                  <w:pPr>
                    <w:pStyle w:val="Compact"/>
                    <w:jc w:val="left"/>
                    <w:jc w:val="center"/>
                  </w:pPr>
                  <w:r>
                    <w:t xml:space="preserve">no</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2</w:t>
                  </w:r>
                </w:p>
              </w:tc>
              <w:tc>
                <w:tcPr/>
                <w:p>
                  <w:pPr>
                    <w:pStyle w:val="Compact"/>
                    <w:jc w:val="right"/>
                    <w:jc w:val="center"/>
                  </w:pPr>
                  <w:r>
                    <w:t xml:space="preserve">0.000</w:t>
                  </w:r>
                </w:p>
              </w:tc>
              <w:tc>
                <w:tcPr/>
                <w:p>
                  <w:pPr>
                    <w:pStyle w:val="Compact"/>
                    <w:jc w:val="right"/>
                    <w:jc w:val="center"/>
                  </w:pPr>
                  <w:r>
                    <w:t xml:space="preserve">0.559</w:t>
                  </w:r>
                </w:p>
              </w:tc>
              <w:tc>
                <w:tcPr/>
                <w:p>
                  <w:pPr>
                    <w:pStyle w:val="Compact"/>
                    <w:jc w:val="right"/>
                    <w:jc w:val="center"/>
                  </w:pPr>
                  <w:r>
                    <w:t xml:space="preserve">-0.559</w:t>
                  </w:r>
                </w:p>
              </w:tc>
              <w:tc>
                <w:tcPr/>
                <w:p>
                  <w:pPr>
                    <w:pStyle w:val="Compact"/>
                    <w:jc w:val="left"/>
                    <w:jc w:val="center"/>
                  </w:pPr>
                  <w:r>
                    <w:t xml:space="preserve">no</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0.693</w:t>
                  </w:r>
                </w:p>
              </w:tc>
              <w:tc>
                <w:tcPr/>
                <w:p>
                  <w:pPr>
                    <w:pStyle w:val="Compact"/>
                    <w:jc w:val="right"/>
                    <w:jc w:val="center"/>
                  </w:pPr>
                  <w:r>
                    <w:t xml:space="preserve">0.559</w:t>
                  </w:r>
                </w:p>
              </w:tc>
              <w:tc>
                <w:tcPr/>
                <w:p>
                  <w:pPr>
                    <w:pStyle w:val="Compact"/>
                    <w:jc w:val="right"/>
                    <w:jc w:val="center"/>
                  </w:pPr>
                  <w:r>
                    <w:t xml:space="preserve">0.134</w:t>
                  </w:r>
                </w:p>
              </w:tc>
              <w:tc>
                <w:tcPr/>
                <w:p>
                  <w:pPr>
                    <w:pStyle w:val="Compact"/>
                    <w:jc w:val="left"/>
                    <w:jc w:val="center"/>
                  </w:pPr>
                  <w:r>
                    <w:t xml:space="preserve">no</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3</w:t>
                  </w:r>
                </w:p>
              </w:tc>
              <w:tc>
                <w:tcPr/>
                <w:p>
                  <w:pPr>
                    <w:pStyle w:val="Compact"/>
                    <w:jc w:val="right"/>
                    <w:jc w:val="center"/>
                  </w:pPr>
                  <w:r>
                    <w:t xml:space="preserve">0.000</w:t>
                  </w:r>
                </w:p>
              </w:tc>
              <w:tc>
                <w:tcPr/>
                <w:p>
                  <w:pPr>
                    <w:pStyle w:val="Compact"/>
                    <w:jc w:val="right"/>
                    <w:jc w:val="center"/>
                  </w:pPr>
                  <w:r>
                    <w:t xml:space="preserve">0.840</w:t>
                  </w:r>
                </w:p>
              </w:tc>
              <w:tc>
                <w:tcPr/>
                <w:p>
                  <w:pPr>
                    <w:pStyle w:val="Compact"/>
                    <w:jc w:val="right"/>
                    <w:jc w:val="center"/>
                  </w:pPr>
                  <w:r>
                    <w:t xml:space="preserve">-0.840</w:t>
                  </w:r>
                </w:p>
              </w:tc>
              <w:tc>
                <w:tcPr/>
                <w:p>
                  <w:pPr>
                    <w:pStyle w:val="Compact"/>
                    <w:jc w:val="left"/>
                    <w:jc w:val="center"/>
                  </w:pPr>
                  <w:r>
                    <w:t xml:space="preserve">no</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0.637</w:t>
                  </w:r>
                </w:p>
              </w:tc>
              <w:tc>
                <w:tcPr/>
                <w:p>
                  <w:pPr>
                    <w:pStyle w:val="Compact"/>
                    <w:jc w:val="right"/>
                    <w:jc w:val="center"/>
                  </w:pPr>
                  <w:r>
                    <w:t xml:space="preserve">0.840</w:t>
                  </w:r>
                </w:p>
              </w:tc>
              <w:tc>
                <w:tcPr/>
                <w:p>
                  <w:pPr>
                    <w:pStyle w:val="Compact"/>
                    <w:jc w:val="right"/>
                    <w:jc w:val="center"/>
                  </w:pPr>
                  <w:r>
                    <w:t xml:space="preserve">-0.203</w:t>
                  </w:r>
                </w:p>
              </w:tc>
              <w:tc>
                <w:tcPr/>
                <w:p>
                  <w:pPr>
                    <w:pStyle w:val="Compact"/>
                    <w:jc w:val="left"/>
                    <w:jc w:val="center"/>
                  </w:pPr>
                  <w:r>
                    <w:t xml:space="preserve">no</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3</w:t>
                  </w:r>
                </w:p>
              </w:tc>
              <w:tc>
                <w:tcPr/>
                <w:p>
                  <w:pPr>
                    <w:pStyle w:val="Compact"/>
                    <w:jc w:val="right"/>
                    <w:jc w:val="center"/>
                  </w:pPr>
                  <w:r>
                    <w:t xml:space="preserve">0.000</w:t>
                  </w:r>
                </w:p>
              </w:tc>
              <w:tc>
                <w:tcPr/>
                <w:p>
                  <w:pPr>
                    <w:pStyle w:val="Compact"/>
                    <w:jc w:val="right"/>
                    <w:jc w:val="center"/>
                  </w:pPr>
                  <w:r>
                    <w:t xml:space="preserve">0.840</w:t>
                  </w:r>
                </w:p>
              </w:tc>
              <w:tc>
                <w:tcPr/>
                <w:p>
                  <w:pPr>
                    <w:pStyle w:val="Compact"/>
                    <w:jc w:val="right"/>
                    <w:jc w:val="center"/>
                  </w:pPr>
                  <w:r>
                    <w:t xml:space="preserve">-0.840</w:t>
                  </w:r>
                </w:p>
              </w:tc>
              <w:tc>
                <w:tcPr/>
                <w:p>
                  <w:pPr>
                    <w:pStyle w:val="Compact"/>
                    <w:jc w:val="left"/>
                    <w:jc w:val="center"/>
                  </w:pPr>
                  <w:r>
                    <w:t xml:space="preserve">no</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right"/>
                    <w:jc w:val="center"/>
                  </w:pPr>
                  <w:r>
                    <w:t xml:space="preserve">0.562</w:t>
                  </w:r>
                </w:p>
              </w:tc>
              <w:tc>
                <w:tcPr/>
                <w:p>
                  <w:pPr>
                    <w:pStyle w:val="Compact"/>
                    <w:jc w:val="right"/>
                    <w:jc w:val="center"/>
                  </w:pPr>
                  <w:r>
                    <w:t xml:space="preserve">1.051</w:t>
                  </w:r>
                </w:p>
              </w:tc>
              <w:tc>
                <w:tcPr/>
                <w:p>
                  <w:pPr>
                    <w:pStyle w:val="Compact"/>
                    <w:jc w:val="right"/>
                    <w:jc w:val="center"/>
                  </w:pPr>
                  <w:r>
                    <w:t xml:space="preserve">-0.488</w:t>
                  </w:r>
                </w:p>
              </w:tc>
              <w:tc>
                <w:tcPr/>
                <w:p>
                  <w:pPr>
                    <w:pStyle w:val="Compact"/>
                    <w:jc w:val="left"/>
                    <w:jc w:val="center"/>
                  </w:pPr>
                  <w:r>
                    <w:t xml:space="preserve">no</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7</w:t>
                  </w:r>
                </w:p>
              </w:tc>
              <w:tc>
                <w:tcPr/>
                <w:p>
                  <w:pPr>
                    <w:pStyle w:val="Compact"/>
                    <w:jc w:val="right"/>
                    <w:jc w:val="center"/>
                  </w:pPr>
                  <w:r>
                    <w:t xml:space="preserve">1.004</w:t>
                  </w:r>
                </w:p>
              </w:tc>
              <w:tc>
                <w:tcPr/>
                <w:p>
                  <w:pPr>
                    <w:pStyle w:val="Compact"/>
                    <w:jc w:val="right"/>
                    <w:jc w:val="center"/>
                  </w:pPr>
                  <w:r>
                    <w:t xml:space="preserve">1.350</w:t>
                  </w:r>
                </w:p>
              </w:tc>
              <w:tc>
                <w:tcPr/>
                <w:p>
                  <w:pPr>
                    <w:pStyle w:val="Compact"/>
                    <w:jc w:val="right"/>
                    <w:jc w:val="center"/>
                  </w:pPr>
                  <w:r>
                    <w:t xml:space="preserve">-0.345</w:t>
                  </w:r>
                </w:p>
              </w:tc>
              <w:tc>
                <w:tcPr/>
                <w:p>
                  <w:pPr>
                    <w:pStyle w:val="Compact"/>
                    <w:jc w:val="left"/>
                    <w:jc w:val="center"/>
                  </w:pPr>
                  <w:r>
                    <w:t xml:space="preserve">yes</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7</w:t>
                  </w:r>
                </w:p>
              </w:tc>
              <w:tc>
                <w:tcPr/>
                <w:p>
                  <w:pPr>
                    <w:pStyle w:val="Compact"/>
                    <w:jc w:val="right"/>
                    <w:jc w:val="center"/>
                  </w:pPr>
                  <w:r>
                    <w:t xml:space="preserve">1.154</w:t>
                  </w:r>
                </w:p>
              </w:tc>
              <w:tc>
                <w:tcPr/>
                <w:p>
                  <w:pPr>
                    <w:pStyle w:val="Compact"/>
                    <w:jc w:val="right"/>
                    <w:jc w:val="center"/>
                  </w:pPr>
                  <w:r>
                    <w:t xml:space="preserve">1.350</w:t>
                  </w:r>
                </w:p>
              </w:tc>
              <w:tc>
                <w:tcPr/>
                <w:p>
                  <w:pPr>
                    <w:pStyle w:val="Compact"/>
                    <w:jc w:val="right"/>
                    <w:jc w:val="center"/>
                  </w:pPr>
                  <w:r>
                    <w:t xml:space="preserve">-0.196</w:t>
                  </w:r>
                </w:p>
              </w:tc>
              <w:tc>
                <w:tcPr/>
                <w:p>
                  <w:pPr>
                    <w:pStyle w:val="Compact"/>
                    <w:jc w:val="left"/>
                    <w:jc w:val="center"/>
                  </w:pPr>
                  <w:r>
                    <w:t xml:space="preserve">yes</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7</w:t>
                  </w:r>
                </w:p>
              </w:tc>
              <w:tc>
                <w:tcPr/>
                <w:p>
                  <w:pPr>
                    <w:pStyle w:val="Compact"/>
                    <w:jc w:val="right"/>
                    <w:jc w:val="center"/>
                  </w:pPr>
                  <w:r>
                    <w:t xml:space="preserve">1.748</w:t>
                  </w:r>
                </w:p>
              </w:tc>
              <w:tc>
                <w:tcPr/>
                <w:p>
                  <w:pPr>
                    <w:pStyle w:val="Compact"/>
                    <w:jc w:val="right"/>
                    <w:jc w:val="center"/>
                  </w:pPr>
                  <w:r>
                    <w:t xml:space="preserve">1.350</w:t>
                  </w:r>
                </w:p>
              </w:tc>
              <w:tc>
                <w:tcPr/>
                <w:p>
                  <w:pPr>
                    <w:pStyle w:val="Compact"/>
                    <w:jc w:val="right"/>
                    <w:jc w:val="center"/>
                  </w:pPr>
                  <w:r>
                    <w:t xml:space="preserve">0.398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28</w:t>
                  </w:r>
                </w:p>
              </w:tc>
              <w:tc>
                <w:tcPr/>
                <w:p>
                  <w:pPr>
                    <w:pStyle w:val="Compact"/>
                    <w:jc w:val="right"/>
                    <w:jc w:val="center"/>
                  </w:pPr>
                  <w:r>
                    <w:t xml:space="preserve">1.336</w:t>
                  </w:r>
                </w:p>
              </w:tc>
              <w:tc>
                <w:tcPr/>
                <w:p>
                  <w:pPr>
                    <w:pStyle w:val="Compact"/>
                    <w:jc w:val="right"/>
                    <w:jc w:val="center"/>
                  </w:pPr>
                  <w:r>
                    <w:t xml:space="preserve">1.876</w:t>
                  </w:r>
                </w:p>
              </w:tc>
              <w:tc>
                <w:tcPr/>
                <w:p>
                  <w:pPr>
                    <w:pStyle w:val="Compact"/>
                    <w:jc w:val="right"/>
                    <w:jc w:val="center"/>
                  </w:pPr>
                  <w:r>
                    <w:t xml:space="preserve">-0.540</w:t>
                  </w:r>
                </w:p>
              </w:tc>
              <w:tc>
                <w:tcPr/>
                <w:p>
                  <w:pPr>
                    <w:pStyle w:val="Compact"/>
                    <w:jc w:val="left"/>
                    <w:jc w:val="center"/>
                  </w:pPr>
                  <w:r>
                    <w:t xml:space="preserve">yes</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30</w:t>
                  </w:r>
                </w:p>
              </w:tc>
              <w:tc>
                <w:tcPr/>
                <w:p>
                  <w:pPr>
                    <w:pStyle w:val="Compact"/>
                    <w:jc w:val="right"/>
                    <w:jc w:val="center"/>
                  </w:pPr>
                  <w:r>
                    <w:t xml:space="preserve">1.948</w:t>
                  </w:r>
                </w:p>
              </w:tc>
              <w:tc>
                <w:tcPr/>
                <w:p>
                  <w:pPr>
                    <w:pStyle w:val="Compact"/>
                    <w:jc w:val="right"/>
                    <w:jc w:val="center"/>
                  </w:pPr>
                  <w:r>
                    <w:t xml:space="preserve">1.896</w:t>
                  </w:r>
                </w:p>
              </w:tc>
              <w:tc>
                <w:tcPr/>
                <w:p>
                  <w:pPr>
                    <w:pStyle w:val="Compact"/>
                    <w:jc w:val="right"/>
                    <w:jc w:val="center"/>
                  </w:pPr>
                  <w:r>
                    <w:t xml:space="preserve">0.052</w:t>
                  </w:r>
                </w:p>
              </w:tc>
              <w:tc>
                <w:tcPr/>
                <w:p>
                  <w:pPr>
                    <w:pStyle w:val="Compact"/>
                    <w:jc w:val="left"/>
                    <w:jc w:val="center"/>
                  </w:pPr>
                  <w:r>
                    <w:t xml:space="preserve">yes</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30</w:t>
                  </w:r>
                </w:p>
              </w:tc>
              <w:tc>
                <w:tcPr/>
                <w:p>
                  <w:pPr>
                    <w:pStyle w:val="Compact"/>
                    <w:jc w:val="right"/>
                    <w:jc w:val="center"/>
                  </w:pPr>
                  <w:r>
                    <w:t xml:space="preserve">1.868</w:t>
                  </w:r>
                </w:p>
              </w:tc>
              <w:tc>
                <w:tcPr/>
                <w:p>
                  <w:pPr>
                    <w:pStyle w:val="Compact"/>
                    <w:jc w:val="right"/>
                    <w:jc w:val="center"/>
                  </w:pPr>
                  <w:r>
                    <w:t xml:space="preserve">1.896</w:t>
                  </w:r>
                </w:p>
              </w:tc>
              <w:tc>
                <w:tcPr/>
                <w:p>
                  <w:pPr>
                    <w:pStyle w:val="Compact"/>
                    <w:jc w:val="right"/>
                    <w:jc w:val="center"/>
                  </w:pPr>
                  <w:r>
                    <w:t xml:space="preserve">-0.028</w:t>
                  </w:r>
                </w:p>
              </w:tc>
              <w:tc>
                <w:tcPr/>
                <w:p>
                  <w:pPr>
                    <w:pStyle w:val="Compact"/>
                    <w:jc w:val="left"/>
                    <w:jc w:val="center"/>
                  </w:pPr>
                  <w:r>
                    <w:t xml:space="preserve">yes</w:t>
                  </w:r>
                </w:p>
              </w:tc>
            </w:tr>
            <w:tr>
              <w:tc>
                <w:tcPr/>
                <w:p>
                  <w:pPr>
                    <w:pStyle w:val="Compact"/>
                    <w:jc w:val="left"/>
                    <w:jc w:val="center"/>
                  </w:pPr>
                  <w:r>
                    <w:t xml:space="preserve">Hohle Fels…17</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41</w:t>
                  </w:r>
                </w:p>
              </w:tc>
              <w:tc>
                <w:tcPr/>
                <w:p>
                  <w:pPr>
                    <w:pStyle w:val="Compact"/>
                    <w:jc w:val="right"/>
                    <w:jc w:val="center"/>
                  </w:pPr>
                  <w:r>
                    <w:t xml:space="preserve">2.153</w:t>
                  </w:r>
                </w:p>
              </w:tc>
              <w:tc>
                <w:tcPr/>
                <w:p>
                  <w:pPr>
                    <w:pStyle w:val="Compact"/>
                    <w:jc w:val="right"/>
                    <w:jc w:val="center"/>
                  </w:pPr>
                  <w:r>
                    <w:t xml:space="preserve">1.973</w:t>
                  </w:r>
                </w:p>
              </w:tc>
              <w:tc>
                <w:tcPr/>
                <w:p>
                  <w:pPr>
                    <w:pStyle w:val="Compact"/>
                    <w:jc w:val="right"/>
                    <w:jc w:val="center"/>
                  </w:pPr>
                  <w:r>
                    <w:t xml:space="preserve">0.181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43</w:t>
                  </w:r>
                </w:p>
              </w:tc>
              <w:tc>
                <w:tcPr/>
                <w:p>
                  <w:pPr>
                    <w:pStyle w:val="Compact"/>
                    <w:jc w:val="right"/>
                    <w:jc w:val="center"/>
                  </w:pPr>
                  <w:r>
                    <w:t xml:space="preserve">1.578</w:t>
                  </w:r>
                </w:p>
              </w:tc>
              <w:tc>
                <w:tcPr/>
                <w:p>
                  <w:pPr>
                    <w:pStyle w:val="Compact"/>
                    <w:jc w:val="right"/>
                    <w:jc w:val="center"/>
                  </w:pPr>
                  <w:r>
                    <w:t xml:space="preserve">1.973</w:t>
                  </w:r>
                </w:p>
              </w:tc>
              <w:tc>
                <w:tcPr/>
                <w:p>
                  <w:pPr>
                    <w:pStyle w:val="Compact"/>
                    <w:jc w:val="right"/>
                    <w:jc w:val="center"/>
                  </w:pPr>
                  <w:r>
                    <w:t xml:space="preserve">-0.395</w:t>
                  </w:r>
                </w:p>
              </w:tc>
              <w:tc>
                <w:tcPr/>
                <w:p>
                  <w:pPr>
                    <w:pStyle w:val="Compact"/>
                    <w:jc w:val="left"/>
                    <w:jc w:val="center"/>
                  </w:pPr>
                  <w:r>
                    <w:t xml:space="preserve">yes</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43</w:t>
                  </w:r>
                </w:p>
              </w:tc>
              <w:tc>
                <w:tcPr/>
                <w:p>
                  <w:pPr>
                    <w:pStyle w:val="Compact"/>
                    <w:jc w:val="right"/>
                    <w:jc w:val="center"/>
                  </w:pPr>
                  <w:r>
                    <w:t xml:space="preserve">1.677</w:t>
                  </w:r>
                </w:p>
              </w:tc>
              <w:tc>
                <w:tcPr/>
                <w:p>
                  <w:pPr>
                    <w:pStyle w:val="Compact"/>
                    <w:jc w:val="right"/>
                    <w:jc w:val="center"/>
                  </w:pPr>
                  <w:r>
                    <w:t xml:space="preserve">1.973</w:t>
                  </w:r>
                </w:p>
              </w:tc>
              <w:tc>
                <w:tcPr/>
                <w:p>
                  <w:pPr>
                    <w:pStyle w:val="Compact"/>
                    <w:jc w:val="right"/>
                    <w:jc w:val="center"/>
                  </w:pPr>
                  <w:r>
                    <w:t xml:space="preserve">-0.296</w:t>
                  </w:r>
                </w:p>
              </w:tc>
              <w:tc>
                <w:tcPr/>
                <w:p>
                  <w:pPr>
                    <w:pStyle w:val="Compact"/>
                    <w:jc w:val="left"/>
                    <w:jc w:val="center"/>
                  </w:pPr>
                  <w:r>
                    <w:t xml:space="preserve">yes</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235</w:t>
                  </w:r>
                </w:p>
              </w:tc>
              <w:tc>
                <w:tcPr/>
                <w:p>
                  <w:pPr>
                    <w:pStyle w:val="Compact"/>
                    <w:jc w:val="right"/>
                    <w:jc w:val="center"/>
                  </w:pPr>
                  <w:r>
                    <w:t xml:space="preserve">1.940</w:t>
                  </w:r>
                </w:p>
              </w:tc>
              <w:tc>
                <w:tcPr/>
                <w:p>
                  <w:pPr>
                    <w:pStyle w:val="Compact"/>
                    <w:jc w:val="right"/>
                    <w:jc w:val="center"/>
                  </w:pPr>
                  <w:r>
                    <w:t xml:space="preserve">2.183</w:t>
                  </w:r>
                </w:p>
              </w:tc>
              <w:tc>
                <w:tcPr/>
                <w:p>
                  <w:pPr>
                    <w:pStyle w:val="Compact"/>
                    <w:jc w:val="right"/>
                    <w:jc w:val="center"/>
                  </w:pPr>
                  <w:r>
                    <w:t xml:space="preserve">-0.242</w:t>
                  </w:r>
                </w:p>
              </w:tc>
              <w:tc>
                <w:tcPr/>
                <w:p>
                  <w:pPr>
                    <w:pStyle w:val="Compact"/>
                    <w:jc w:val="left"/>
                    <w:jc w:val="center"/>
                  </w:pPr>
                  <w:r>
                    <w:t xml:space="preserve">yes</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0.693</w:t>
                  </w:r>
                </w:p>
              </w:tc>
              <w:tc>
                <w:tcPr/>
                <w:p>
                  <w:pPr>
                    <w:pStyle w:val="Compact"/>
                    <w:jc w:val="right"/>
                    <w:jc w:val="center"/>
                  </w:pPr>
                  <w:r>
                    <w:t xml:space="preserve">0.547</w:t>
                  </w:r>
                </w:p>
              </w:tc>
              <w:tc>
                <w:tcPr/>
                <w:p>
                  <w:pPr>
                    <w:pStyle w:val="Compact"/>
                    <w:jc w:val="right"/>
                    <w:jc w:val="center"/>
                  </w:pPr>
                  <w:r>
                    <w:t xml:space="preserve">0.146</w:t>
                  </w:r>
                </w:p>
              </w:tc>
              <w:tc>
                <w:tcPr/>
                <w:p>
                  <w:pPr>
                    <w:pStyle w:val="Compact"/>
                    <w:jc w:val="left"/>
                    <w:jc w:val="center"/>
                  </w:pPr>
                  <w:r>
                    <w:t xml:space="preserve">no</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5</w:t>
                  </w:r>
                </w:p>
              </w:tc>
              <w:tc>
                <w:tcPr/>
                <w:p>
                  <w:pPr>
                    <w:pStyle w:val="Compact"/>
                    <w:jc w:val="right"/>
                    <w:jc w:val="center"/>
                  </w:pPr>
                  <w:r>
                    <w:t xml:space="preserve">1.609</w:t>
                  </w:r>
                </w:p>
              </w:tc>
              <w:tc>
                <w:tcPr/>
                <w:p>
                  <w:pPr>
                    <w:pStyle w:val="Compact"/>
                    <w:jc w:val="right"/>
                    <w:jc w:val="center"/>
                  </w:pPr>
                  <w:r>
                    <w:t xml:space="preserve">1.118</w:t>
                  </w:r>
                </w:p>
              </w:tc>
              <w:tc>
                <w:tcPr/>
                <w:p>
                  <w:pPr>
                    <w:pStyle w:val="Compact"/>
                    <w:jc w:val="right"/>
                    <w:jc w:val="center"/>
                  </w:pPr>
                  <w:r>
                    <w:t xml:space="preserve">0.492</w:t>
                  </w:r>
                </w:p>
              </w:tc>
              <w:tc>
                <w:tcPr/>
                <w:p>
                  <w:pPr>
                    <w:pStyle w:val="Compact"/>
                    <w:jc w:val="left"/>
                    <w:jc w:val="center"/>
                  </w:pPr>
                  <w:r>
                    <w:t xml:space="preserve">yes</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6</w:t>
                  </w:r>
                </w:p>
              </w:tc>
              <w:tc>
                <w:tcPr/>
                <w:p>
                  <w:pPr>
                    <w:pStyle w:val="Compact"/>
                    <w:jc w:val="right"/>
                    <w:jc w:val="center"/>
                  </w:pPr>
                  <w:r>
                    <w:t xml:space="preserve">0.637</w:t>
                  </w:r>
                </w:p>
              </w:tc>
              <w:tc>
                <w:tcPr/>
                <w:p>
                  <w:pPr>
                    <w:pStyle w:val="Compact"/>
                    <w:jc w:val="right"/>
                    <w:jc w:val="center"/>
                  </w:pPr>
                  <w:r>
                    <w:t xml:space="preserve">1.222</w:t>
                  </w:r>
                </w:p>
              </w:tc>
              <w:tc>
                <w:tcPr/>
                <w:p>
                  <w:pPr>
                    <w:pStyle w:val="Compact"/>
                    <w:jc w:val="right"/>
                    <w:jc w:val="center"/>
                  </w:pPr>
                  <w:r>
                    <w:t xml:space="preserve">-0.586</w:t>
                  </w:r>
                </w:p>
              </w:tc>
              <w:tc>
                <w:tcPr/>
                <w:p>
                  <w:pPr>
                    <w:pStyle w:val="Compact"/>
                    <w:jc w:val="left"/>
                    <w:jc w:val="center"/>
                  </w:pPr>
                  <w:r>
                    <w:t xml:space="preserve">yes</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13</w:t>
                  </w:r>
                </w:p>
              </w:tc>
              <w:tc>
                <w:tcPr/>
                <w:p>
                  <w:pPr>
                    <w:pStyle w:val="Compact"/>
                    <w:jc w:val="right"/>
                    <w:jc w:val="center"/>
                  </w:pPr>
                  <w:r>
                    <w:t xml:space="preserve">0.617</w:t>
                  </w:r>
                </w:p>
              </w:tc>
              <w:tc>
                <w:tcPr/>
                <w:p>
                  <w:pPr>
                    <w:pStyle w:val="Compact"/>
                    <w:jc w:val="right"/>
                    <w:jc w:val="center"/>
                  </w:pPr>
                  <w:r>
                    <w:t xml:space="preserve">1.517</w:t>
                  </w:r>
                </w:p>
              </w:tc>
              <w:tc>
                <w:tcPr/>
                <w:p>
                  <w:pPr>
                    <w:pStyle w:val="Compact"/>
                    <w:jc w:val="right"/>
                    <w:jc w:val="center"/>
                  </w:pPr>
                  <w:r>
                    <w:t xml:space="preserve">-0.899</w:t>
                  </w:r>
                </w:p>
              </w:tc>
              <w:tc>
                <w:tcPr/>
                <w:p>
                  <w:pPr>
                    <w:pStyle w:val="Compact"/>
                    <w:jc w:val="left"/>
                    <w:jc w:val="center"/>
                  </w:pPr>
                  <w:r>
                    <w:t xml:space="preserve">yes</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21</w:t>
                  </w:r>
                </w:p>
              </w:tc>
              <w:tc>
                <w:tcPr/>
                <w:p>
                  <w:pPr>
                    <w:pStyle w:val="Compact"/>
                    <w:jc w:val="right"/>
                    <w:jc w:val="center"/>
                  </w:pPr>
                  <w:r>
                    <w:t xml:space="preserve">1.737</w:t>
                  </w:r>
                </w:p>
              </w:tc>
              <w:tc>
                <w:tcPr/>
                <w:p>
                  <w:pPr>
                    <w:pStyle w:val="Compact"/>
                    <w:jc w:val="right"/>
                    <w:jc w:val="center"/>
                  </w:pPr>
                  <w:r>
                    <w:t xml:space="preserve">1.641</w:t>
                  </w:r>
                </w:p>
              </w:tc>
              <w:tc>
                <w:tcPr/>
                <w:p>
                  <w:pPr>
                    <w:pStyle w:val="Compact"/>
                    <w:jc w:val="right"/>
                    <w:jc w:val="center"/>
                  </w:pPr>
                  <w:r>
                    <w:t xml:space="preserve">0.096</w:t>
                  </w:r>
                </w:p>
              </w:tc>
              <w:tc>
                <w:tcPr/>
                <w:p>
                  <w:pPr>
                    <w:pStyle w:val="Compact"/>
                    <w:jc w:val="left"/>
                    <w:jc w:val="center"/>
                  </w:pPr>
                  <w:r>
                    <w:t xml:space="preserve">yes</w:t>
                  </w:r>
                </w:p>
              </w:tc>
            </w:tr>
            <w:tr>
              <w:tc>
                <w:tcPr/>
                <w:p>
                  <w:pPr>
                    <w:pStyle w:val="Compact"/>
                    <w:jc w:val="left"/>
                    <w:jc w:val="center"/>
                  </w:pPr>
                  <w:r>
                    <w:t xml:space="preserve">Hohle Fels…29</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43</w:t>
                  </w:r>
                </w:p>
              </w:tc>
              <w:tc>
                <w:tcPr/>
                <w:p>
                  <w:pPr>
                    <w:pStyle w:val="Compact"/>
                    <w:jc w:val="right"/>
                    <w:jc w:val="center"/>
                  </w:pPr>
                  <w:r>
                    <w:t xml:space="preserve">1.945</w:t>
                  </w:r>
                </w:p>
              </w:tc>
              <w:tc>
                <w:tcPr/>
                <w:p>
                  <w:pPr>
                    <w:pStyle w:val="Compact"/>
                    <w:jc w:val="right"/>
                    <w:jc w:val="center"/>
                  </w:pPr>
                  <w:r>
                    <w:t xml:space="preserve">1.781</w:t>
                  </w:r>
                </w:p>
              </w:tc>
              <w:tc>
                <w:tcPr/>
                <w:p>
                  <w:pPr>
                    <w:pStyle w:val="Compact"/>
                    <w:jc w:val="right"/>
                    <w:jc w:val="center"/>
                  </w:pPr>
                  <w:r>
                    <w:t xml:space="preserve">0.165</w:t>
                  </w:r>
                </w:p>
              </w:tc>
              <w:tc>
                <w:tcPr/>
                <w:p>
                  <w:pPr>
                    <w:pStyle w:val="Compact"/>
                    <w:jc w:val="left"/>
                    <w:jc w:val="center"/>
                  </w:pPr>
                  <w:r>
                    <w:t xml:space="preserve">yes</w:t>
                  </w:r>
                </w:p>
              </w:tc>
            </w:tr>
          </w:tbl>
          <w:p>
            <w:pPr>
              <w:jc w:val="center"/>
            </w:pPr>
            <w:pPr>
              <w:jc w:val="start"/>
              <w:spacing w:before="200"/>
              <w:pStyle w:val="ImageCaption"/>
            </w:pPr>
            <w:r>
              <w:t xml:space="preserve">Table S 44: Per-site values behind main-text Figure 6, by phase. Sample size is the row margin of the site-by-sign-type count matrix, that is the number of sign occurrences at the site, and it is the quantity plotted on the figure’s horizontal axis; it is not the object count given in</w:t>
            </w:r>
            <w:r>
              <w:t xml:space="preserve"> </w:t>
            </w:r>
            <w:hyperlink w:anchor="tbl-objcount">
              <w:r>
                <w:rPr>
                  <w:rStyle w:val="Hyperlink"/>
                </w:rPr>
                <w:t xml:space="preserve">Table S 43</w:t>
              </w:r>
            </w:hyperlink>
            <w:r>
              <w:t xml:space="preserve">, because one object can carry more than one occurrence of a sign type. H_obs is the observed Shannon diversity, H_exp is the simulated mean at that sample size, and H_excess is H_obs minus H_exp. The final column records whether the site carries a name on the figure; sites below the naming threshold are still plotted as points.</w:t>
            </w:r>
          </w:p>
          <w:bookmarkEnd w:id="238"/>
        </w:tc>
      </w:tr>
    </w:tbl>
    <w:tbl>
      <w:tblPr>
        <w:tblStyle w:val="Table"/>
        <w:tblW w:type="pct" w:w="5000"/>
        <w:tblLook w:firstRow="0" w:lastRow="0" w:firstColumn="0" w:lastColumn="0" w:noHBand="0" w:noVBand="0" w:val="0000"/>
        <w:jc w:val="start"/>
        <w:tblLayout w:type="fixed"/>
      </w:tblPr>
      <w:tblGrid>
        <w:gridCol w:w="7920"/>
      </w:tblGrid>
      <w:tr>
        <w:tc>
          <w:tcPr/>
          <w:bookmarkStart w:id="242" w:name="fig-objhist"/>
          <w:p>
            <w:pPr>
              <w:pStyle w:val="Compact"/>
              <w:jc w:val="center"/>
            </w:pPr>
            <w:r>
              <w:drawing>
                <wp:inline>
                  <wp:extent cx="5943600" cy="2971800"/>
                  <wp:effectExtent b="0" l="0" r="0" t="0"/>
                  <wp:docPr descr="" title="" id="240" name="Picture"/>
                  <a:graphic>
                    <a:graphicData uri="http://schemas.openxmlformats.org/drawingml/2006/picture">
                      <pic:pic>
                        <pic:nvPicPr>
                          <pic:cNvPr descr="S1-supplement-sensitivity_files/figure-docx/fig-objhist-1.png" id="241" name="Picture"/>
                          <pic:cNvPicPr>
                            <a:picLocks noChangeArrowheads="1" noChangeAspect="1"/>
                          </pic:cNvPicPr>
                        </pic:nvPicPr>
                        <pic:blipFill>
                          <a:blip r:embed="rId23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2"/>
        </w:tc>
      </w:tr>
    </w:tbl>
    <w:bookmarkEnd w:id="243"/>
    <w:bookmarkStart w:id="244"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4"/>
    <w:bookmarkEnd w:id="245"/>
    <w:bookmarkStart w:id="254" w:name="sec-s12-2"/>
    <w:p>
      <w:pPr>
        <w:pStyle w:val="Heading2"/>
      </w:pPr>
      <w:r>
        <w:t xml:space="preserve">S1.12.3 Object-level downsampling sensitivity</w:t>
      </w:r>
    </w:p>
    <w:bookmarkStart w:id="252"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6"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45: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7"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46: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7"/>
        </w:tc>
      </w:tr>
    </w:tbl>
    <w:tbl>
      <w:tblPr>
        <w:tblStyle w:val="Table"/>
        <w:tblW w:type="pct" w:w="5000"/>
        <w:tblLook w:firstRow="0" w:lastRow="0" w:firstColumn="0" w:lastColumn="0" w:noHBand="0" w:noVBand="0" w:val="0000"/>
        <w:jc w:val="start"/>
        <w:tblLayout w:type="fixed"/>
      </w:tblPr>
      <w:tblGrid>
        <w:gridCol w:w="7920"/>
      </w:tblGrid>
      <w:tr>
        <w:tc>
          <w:tcPr/>
          <w:bookmarkStart w:id="251" w:name="fig-retention"/>
          <w:p>
            <w:pPr>
              <w:pStyle w:val="Compact"/>
              <w:jc w:val="center"/>
            </w:pPr>
            <w:r>
              <w:drawing>
                <wp:inline>
                  <wp:extent cx="5943600" cy="5943600"/>
                  <wp:effectExtent b="0" l="0" r="0" t="0"/>
                  <wp:docPr descr="" title="" id="249" name="Picture"/>
                  <a:graphic>
                    <a:graphicData uri="http://schemas.openxmlformats.org/drawingml/2006/picture">
                      <pic:pic>
                        <pic:nvPicPr>
                          <pic:cNvPr descr="S1-supplement-sensitivity_files/figure-docx/fig-retention-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1"/>
        </w:tc>
      </w:tr>
    </w:tbl>
    <w:bookmarkEnd w:id="252"/>
    <w:bookmarkStart w:id="253"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3"/>
    <w:bookmarkEnd w:id="254"/>
    <w:bookmarkStart w:id="262" w:name="sec-s12-3"/>
    <w:p>
      <w:pPr>
        <w:pStyle w:val="Heading2"/>
      </w:pPr>
      <w:r>
        <w:t xml:space="preserve">S1.12.4 Coverage-based rarefaction</w:t>
      </w:r>
    </w:p>
    <w:bookmarkStart w:id="260"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5"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47: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5"/>
        </w:tc>
      </w:tr>
    </w:tbl>
    <w:tbl>
      <w:tblPr>
        <w:tblStyle w:val="Table"/>
        <w:tblW w:type="pct" w:w="5000"/>
        <w:tblLook w:firstRow="0" w:lastRow="0" w:firstColumn="0" w:lastColumn="0" w:noHBand="0" w:noVBand="0" w:val="0000"/>
        <w:jc w:val="start"/>
        <w:tblLayout w:type="fixed"/>
      </w:tblPr>
      <w:tblGrid>
        <w:gridCol w:w="7920"/>
      </w:tblGrid>
      <w:tr>
        <w:tc>
          <w:tcPr/>
          <w:bookmarkStart w:id="259" w:name="fig-rarefaction"/>
          <w:p>
            <w:pPr>
              <w:pStyle w:val="Compact"/>
              <w:jc w:val="center"/>
            </w:pPr>
            <w:r>
              <w:drawing>
                <wp:inline>
                  <wp:extent cx="5943600" cy="3396342"/>
                  <wp:effectExtent b="0" l="0" r="0" t="0"/>
                  <wp:docPr descr="" title="" id="257" name="Picture"/>
                  <a:graphic>
                    <a:graphicData uri="http://schemas.openxmlformats.org/drawingml/2006/picture">
                      <pic:pic>
                        <pic:nvPicPr>
                          <pic:cNvPr descr="S1-supplement-sensitivity_files/figure-docx/fig-rarefaction-1.png" id="258" name="Picture"/>
                          <pic:cNvPicPr>
                            <a:picLocks noChangeArrowheads="1" noChangeAspect="1"/>
                          </pic:cNvPicPr>
                        </pic:nvPicPr>
                        <pic:blipFill>
                          <a:blip r:embed="rId256"/>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9"/>
        </w:tc>
      </w:tr>
    </w:tbl>
    <w:bookmarkEnd w:id="260"/>
    <w:bookmarkStart w:id="261"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1"/>
    <w:bookmarkEnd w:id="262"/>
    <w:bookmarkStart w:id="266" w:name="sec-s12-4"/>
    <w:p>
      <w:pPr>
        <w:pStyle w:val="Heading2"/>
      </w:pPr>
      <w:r>
        <w:t xml:space="preserve">S1.12.5 Negative-binomial regression with object-count covariate</w:t>
      </w:r>
    </w:p>
    <w:bookmarkStart w:id="264"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3"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48: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5"/>
    <w:bookmarkEnd w:id="266"/>
    <w:bookmarkStart w:id="274" w:name="sec-s12-5"/>
    <w:p>
      <w:pPr>
        <w:pStyle w:val="Heading2"/>
      </w:pPr>
      <w:r>
        <w:t xml:space="preserve">S1.12.6 Equal-effort pool comparison (iNEXT)</w:t>
      </w:r>
    </w:p>
    <w:bookmarkStart w:id="272"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7"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bl>
          <w:p>
            <w:pPr>
              <w:jc w:val="center"/>
            </w:pPr>
            <w:pPr>
              <w:jc w:val="start"/>
              <w:spacing w:before="200"/>
              <w:pStyle w:val="ImageCaption"/>
            </w:pPr>
            <w:r>
              <w:t xml:space="preserve">Table S 49: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pool-inext"/>
          <w:p>
            <w:pPr>
              <w:pStyle w:val="Compact"/>
              <w:jc w:val="center"/>
            </w:pPr>
            <w:r>
              <w:drawing>
                <wp:inline>
                  <wp:extent cx="5943600" cy="3566160"/>
                  <wp:effectExtent b="0" l="0" r="0" t="0"/>
                  <wp:docPr descr="" title="" id="269" name="Picture"/>
                  <a:graphic>
                    <a:graphicData uri="http://schemas.openxmlformats.org/drawingml/2006/picture">
                      <pic:pic>
                        <pic:nvPicPr>
                          <pic:cNvPr descr="S1-supplement-sensitivity_files/figure-docx/fig-pool-inext-1.png" id="270" name="Picture"/>
                          <pic:cNvPicPr>
                            <a:picLocks noChangeArrowheads="1" noChangeAspect="1"/>
                          </pic:cNvPicPr>
                        </pic:nvPicPr>
                        <pic:blipFill>
                          <a:blip r:embed="rId26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1"/>
        </w:tc>
      </w:tr>
    </w:tbl>
    <w:bookmarkEnd w:id="272"/>
    <w:bookmarkStart w:id="273"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3"/>
    <w:bookmarkEnd w:id="274"/>
    <w:bookmarkStart w:id="284" w:name="sec-s12-6"/>
    <w:p>
      <w:pPr>
        <w:pStyle w:val="Heading2"/>
      </w:pPr>
      <w:r>
        <w:t xml:space="preserve">S1.12.7 Figurine Exclusion</w:t>
      </w:r>
    </w:p>
    <w:bookmarkStart w:id="282" w:name="rationale-25"/>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5"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50: Distribution of figurine objects across phases and sites. Figurine types include figurine zoomorph, figurine anthropomorph, figurine undet., and possible figurine.</w:t>
            </w:r>
          </w:p>
          <w:bookmarkEnd w:id="275"/>
        </w:tc>
      </w:tr>
    </w:tbl>
    <w:p>
      <w:pPr>
        <w:pStyle w:val="BodyText"/>
      </w:pPr>
      <w:hyperlink w:anchor="tbl-figurine-count">
        <w:r>
          <w:rPr>
            <w:rStyle w:val="Hyperlink"/>
          </w:rPr>
          <w:t xml:space="preserve">Table S 50</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5 anthropomorph, 10 undet.,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6"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51: Network statistics before and after excluding all figurine objects (figurine zoomorph, figurine anthropomorph, figurine undet., and possible figurine). Threshold = 0.2, Jaccard similarity.</w:t>
            </w:r>
          </w:p>
          <w:bookmarkEnd w:id="2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7"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52: Number of sites per phase before and after figurine exclusion. Sites are lost when all objects at that site are figurines.</w:t>
            </w:r>
          </w:p>
          <w:bookmarkEnd w:id="277"/>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8"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53: Network statistics before and after excluding figurines from Vogelherd only. All other figurines (Hohle Fels, Geissenklösterle, Hohlenstein-Stadel, La Ferrassie) are retained. Threshold = 0.2, Jaccard similarity.</w:t>
            </w:r>
          </w:p>
          <w:bookmarkEnd w:id="2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9"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54: Vogelherd object counts before and after removing figurines. Non-figurine objects at Vogelherd (tools, plaquettes, etc.) are retained.</w:t>
            </w:r>
          </w:p>
          <w:bookmarkEnd w:id="279"/>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0"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55: Side-by-side comparison of network statistics across all conditions: baseline (all objects), exclude all figurines, and exclude Vogelherd figurines only. The rightmost columns show the percentage change in mean degree from baseline.</w:t>
            </w:r>
          </w:p>
          <w:bookmarkEnd w:id="280"/>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55</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1"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56: Mean degree by figurine-exclusion condition, with percentage change from baseline. Reproduced directly from the joint comparison in</w:t>
            </w:r>
            <w:r>
              <w:t xml:space="preserve"> </w:t>
            </w:r>
            <w:hyperlink w:anchor="tbl-objtype-joint">
              <w:r>
                <w:rPr>
                  <w:rStyle w:val="Hyperlink"/>
                </w:rPr>
                <w:t xml:space="preserve">Table S 55</w:t>
              </w:r>
            </w:hyperlink>
            <w:r>
              <w:t xml:space="preserve">.</w:t>
            </w:r>
          </w:p>
          <w:bookmarkEnd w:id="281"/>
        </w:tc>
      </w:tr>
    </w:tbl>
    <w:bookmarkEnd w:id="282"/>
    <w:bookmarkStart w:id="283"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283"/>
    <w:bookmarkEnd w:id="284"/>
    <w:bookmarkStart w:id="285"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5"/>
    <w:bookmarkEnd w:id="286"/>
    <w:bookmarkStart w:id="295" w:name="sec-s-power"/>
    <w:p>
      <w:pPr>
        <w:pStyle w:val="Heading1"/>
      </w:pPr>
      <w:r>
        <w:t xml:space="preserve">S1.13 Design Sensitivity: Minimum Detectable Effects</w:t>
      </w:r>
    </w:p>
    <w:bookmarkStart w:id="287"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[28]</w:t>
      </w:r>
      <w:r>
        <w:t xml:space="preserve">. Conventions for medium effects are rho = 0.3 and R</w:t>
      </w:r>
      <w:r>
        <w:rPr>
          <w:vertAlign w:val="superscript"/>
        </w:rPr>
        <w:t xml:space="preserve">2</w:t>
      </w:r>
      <w:r>
        <w:t xml:space="preserve"> </w:t>
      </w:r>
      <w:r>
        <w:t xml:space="preserve">= 0.13</w:t>
      </w:r>
      <w:r>
        <w:t xml:space="preserve"> </w:t>
      </w:r>
      <w:r>
        <w:t xml:space="preserve">[29]</w:t>
      </w:r>
      <w:r>
        <w:t xml:space="preserve">. Mantel p-values are approximate under spatial dependence</w:t>
      </w:r>
      <w:r>
        <w:t xml:space="preserve"> </w:t>
      </w:r>
      <w:r>
        <w:t xml:space="preserve">[30,31]</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[32]</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7"/>
    <w:bookmarkStart w:id="293"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8"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0.97</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0.05</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57: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8"/>
        </w:tc>
      </w:tr>
    </w:tbl>
    <w:tbl>
      <w:tblPr>
        <w:tblStyle w:val="Table"/>
        <w:tblW w:type="pct" w:w="5000"/>
        <w:tblLook w:firstRow="0" w:lastRow="0" w:firstColumn="0" w:lastColumn="0" w:noHBand="0" w:noVBand="0" w:val="0000"/>
        <w:jc w:val="start"/>
        <w:tblLayout w:type="fixed"/>
      </w:tblPr>
      <w:tblGrid>
        <w:gridCol w:w="7920"/>
      </w:tblGrid>
      <w:tr>
        <w:tc>
          <w:tcPr/>
          <w:bookmarkStart w:id="292" w:name="fig-power-curves"/>
          <w:p>
            <w:pPr>
              <w:pStyle w:val="Compact"/>
              <w:jc w:val="center"/>
            </w:pPr>
            <w:r>
              <w:drawing>
                <wp:inline>
                  <wp:extent cx="5943600" cy="4622800"/>
                  <wp:effectExtent b="0" l="0" r="0" t="0"/>
                  <wp:docPr descr="" title="" id="290" name="Picture"/>
                  <a:graphic>
                    <a:graphicData uri="http://schemas.openxmlformats.org/drawingml/2006/picture">
                      <pic:pic>
                        <pic:nvPicPr>
                          <pic:cNvPr descr="S1-supplement-sensitivity_files/figure-docx/fig-power-curves-1.png" id="291" name="Picture"/>
                          <pic:cNvPicPr>
                            <a:picLocks noChangeArrowheads="1" noChangeAspect="1"/>
                          </pic:cNvPicPr>
                        </pic:nvPicPr>
                        <pic:blipFill>
                          <a:blip r:embed="rId289"/>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57</w:t>
              </w:r>
            </w:hyperlink>
            <w:r>
              <w:t xml:space="preserve">. Curves are simulation estimates (Mantel and PerMANOVA: B = 300 with 99 permutations; network: B = 200 with 99 permutations).</w:t>
            </w:r>
          </w:p>
          <w:bookmarkEnd w:id="292"/>
        </w:tc>
      </w:tr>
    </w:tbl>
    <w:bookmarkEnd w:id="293"/>
    <w:bookmarkStart w:id="294"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57</w:t>
        </w:r>
      </w:hyperlink>
      <w:r>
        <w:t xml:space="preserve"> </w:t>
      </w:r>
      <w:r>
        <w:t xml:space="preserve">can be excluded.</w:t>
      </w:r>
    </w:p>
    <w:bookmarkEnd w:id="294"/>
    <w:bookmarkEnd w:id="295"/>
    <w:bookmarkStart w:id="36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60" w:name="references-cited"/>
    <w:p>
      <w:pPr>
        <w:pStyle w:val="Heading2"/>
      </w:pPr>
      <w:r>
        <w:t xml:space="preserve">References cited</w:t>
      </w:r>
    </w:p>
    <w:bookmarkStart w:id="359" w:name="refs"/>
    <w:bookmarkStart w:id="297"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96">
        <w:r>
          <w:rPr>
            <w:rStyle w:val="Hyperlink"/>
          </w:rPr>
          <w:t xml:space="preserve">https://doi.org/10.18637/jss.v022.i07</w:t>
        </w:r>
      </w:hyperlink>
      <w:r>
        <w:t xml:space="preserve">.</w:t>
      </w:r>
    </w:p>
    <w:bookmarkEnd w:id="297"/>
    <w:bookmarkStart w:id="299"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98">
        <w:r>
          <w:rPr>
            <w:rStyle w:val="Hyperlink"/>
          </w:rPr>
          <w:t xml:space="preserve">https://doi.org/10.1890/0012-9615(1999)069[0001:DBRATM]2.0.CO;2</w:t>
        </w:r>
      </w:hyperlink>
      <w:r>
        <w:t xml:space="preserve">.</w:t>
      </w:r>
    </w:p>
    <w:bookmarkEnd w:id="299"/>
    <w:bookmarkStart w:id="301"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00">
        <w:r>
          <w:rPr>
            <w:rStyle w:val="Hyperlink"/>
          </w:rPr>
          <w:t xml:space="preserve">https://doi.org/10.1016/j.quascirev.2021.106995</w:t>
        </w:r>
      </w:hyperlink>
      <w:r>
        <w:t xml:space="preserve">.</w:t>
      </w:r>
    </w:p>
    <w:bookmarkEnd w:id="301"/>
    <w:bookmarkStart w:id="303"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2">
        <w:r>
          <w:rPr>
            <w:rStyle w:val="Hyperlink"/>
          </w:rPr>
          <w:t xml:space="preserve">https://doi.org/10.1007/s41982-017-0004-4</w:t>
        </w:r>
      </w:hyperlink>
      <w:r>
        <w:t xml:space="preserve">.</w:t>
      </w:r>
    </w:p>
    <w:bookmarkEnd w:id="303"/>
    <w:bookmarkStart w:id="305"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04">
        <w:r>
          <w:rPr>
            <w:rStyle w:val="Hyperlink"/>
          </w:rPr>
          <w:t xml:space="preserve">https://doi.org/10.30861/9781841718309</w:t>
        </w:r>
      </w:hyperlink>
      <w:r>
        <w:t xml:space="preserve">.</w:t>
      </w:r>
    </w:p>
    <w:bookmarkEnd w:id="305"/>
    <w:bookmarkStart w:id="307"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6">
        <w:r>
          <w:rPr>
            <w:rStyle w:val="Hyperlink"/>
          </w:rPr>
          <w:t xml:space="preserve">https://doi.org/10.1016/j.jhevol.2011.06.005</w:t>
        </w:r>
      </w:hyperlink>
      <w:r>
        <w:t xml:space="preserve">.</w:t>
      </w:r>
    </w:p>
    <w:bookmarkEnd w:id="307"/>
    <w:bookmarkStart w:id="309"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8">
        <w:r>
          <w:rPr>
            <w:rStyle w:val="Hyperlink"/>
          </w:rPr>
          <w:t xml:space="preserve">https://doi.org/10.1002/jqs.3236</w:t>
        </w:r>
      </w:hyperlink>
      <w:r>
        <w:t xml:space="preserve">.</w:t>
      </w:r>
    </w:p>
    <w:bookmarkEnd w:id="309"/>
    <w:bookmarkStart w:id="310"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10"/>
    <w:bookmarkStart w:id="312"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11">
        <w:r>
          <w:rPr>
            <w:rStyle w:val="Hyperlink"/>
          </w:rPr>
          <w:t xml:space="preserve">https://doi.org/10.1007/978-3-211-49294-9_4</w:t>
        </w:r>
      </w:hyperlink>
      <w:r>
        <w:t xml:space="preserve">.</w:t>
      </w:r>
    </w:p>
    <w:bookmarkEnd w:id="312"/>
    <w:bookmarkStart w:id="314"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3">
        <w:r>
          <w:rPr>
            <w:rStyle w:val="Hyperlink"/>
          </w:rPr>
          <w:t xml:space="preserve">https://doi.org/10.1038/nature03585</w:t>
        </w:r>
      </w:hyperlink>
      <w:r>
        <w:t xml:space="preserve">.</w:t>
      </w:r>
    </w:p>
    <w:bookmarkEnd w:id="314"/>
    <w:bookmarkStart w:id="316"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15">
        <w:r>
          <w:rPr>
            <w:rStyle w:val="Hyperlink"/>
          </w:rPr>
          <w:t xml:space="preserve">https://doi.org/10.1007/s41982-025-00246-x</w:t>
        </w:r>
      </w:hyperlink>
      <w:r>
        <w:t xml:space="preserve">.</w:t>
      </w:r>
    </w:p>
    <w:bookmarkEnd w:id="316"/>
    <w:bookmarkStart w:id="318"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17">
        <w:r>
          <w:rPr>
            <w:rStyle w:val="Hyperlink"/>
          </w:rPr>
          <w:t xml:space="preserve">https://doi.org/10.1088/1742-5468/2008/10/P10008</w:t>
        </w:r>
      </w:hyperlink>
      <w:r>
        <w:t xml:space="preserve">.</w:t>
      </w:r>
    </w:p>
    <w:bookmarkEnd w:id="318"/>
    <w:bookmarkStart w:id="320"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19">
        <w:r>
          <w:rPr>
            <w:rStyle w:val="Hyperlink"/>
          </w:rPr>
          <w:t xml:space="preserve">https://doi.org/10.1103/PhysRevE.69.026113</w:t>
        </w:r>
      </w:hyperlink>
      <w:r>
        <w:t xml:space="preserve">.</w:t>
      </w:r>
    </w:p>
    <w:bookmarkEnd w:id="320"/>
    <w:bookmarkStart w:id="322"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21">
        <w:r>
          <w:rPr>
            <w:rStyle w:val="Hyperlink"/>
          </w:rPr>
          <w:t xml:space="preserve">https://doi.org/10.1016/j.socnet.2020.11.005</w:t>
        </w:r>
      </w:hyperlink>
      <w:r>
        <w:t xml:space="preserve">.</w:t>
      </w:r>
    </w:p>
    <w:bookmarkEnd w:id="322"/>
    <w:bookmarkStart w:id="324"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23">
        <w:r>
          <w:rPr>
            <w:rStyle w:val="Hyperlink"/>
          </w:rPr>
          <w:t xml:space="preserve">https://doi.org/10.1198/108571102320</w:t>
        </w:r>
      </w:hyperlink>
      <w:r>
        <w:t xml:space="preserve">.</w:t>
      </w:r>
    </w:p>
    <w:bookmarkEnd w:id="324"/>
    <w:bookmarkStart w:id="326"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25">
        <w:r>
          <w:rPr>
            <w:rStyle w:val="Hyperlink"/>
          </w:rPr>
          <w:t xml:space="preserve">https://doi.org/10.1007/s11258-006-9126-3</w:t>
        </w:r>
      </w:hyperlink>
      <w:r>
        <w:t xml:space="preserve">.</w:t>
      </w:r>
    </w:p>
    <w:bookmarkEnd w:id="326"/>
    <w:bookmarkStart w:id="328"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27">
        <w:r>
          <w:rPr>
            <w:rStyle w:val="Hyperlink"/>
          </w:rPr>
          <w:t xml:space="preserve">https://doi.org/10.1023/A:1023949509487</w:t>
        </w:r>
      </w:hyperlink>
      <w:r>
        <w:t xml:space="preserve">.</w:t>
      </w:r>
    </w:p>
    <w:bookmarkEnd w:id="328"/>
    <w:bookmarkStart w:id="330"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29">
        <w:r>
          <w:rPr>
            <w:rStyle w:val="Hyperlink"/>
          </w:rPr>
          <w:t xml:space="preserve">https://doi.org/10.48550/arXiv.1602.07587</w:t>
        </w:r>
      </w:hyperlink>
      <w:r>
        <w:t xml:space="preserve">.</w:t>
      </w:r>
    </w:p>
    <w:bookmarkEnd w:id="330"/>
    <w:bookmarkStart w:id="332"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31">
        <w:r>
          <w:rPr>
            <w:rStyle w:val="Hyperlink"/>
          </w:rPr>
          <w:t xml:space="preserve">https://doi.org/10.1007/BF01908075</w:t>
        </w:r>
      </w:hyperlink>
      <w:r>
        <w:t xml:space="preserve">.</w:t>
      </w:r>
    </w:p>
    <w:bookmarkEnd w:id="332"/>
    <w:bookmarkStart w:id="334"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33">
        <w:r>
          <w:rPr>
            <w:rStyle w:val="Hyperlink"/>
          </w:rPr>
          <w:t xml:space="preserve">https://doi.org/10.1038/ncomms5114</w:t>
        </w:r>
      </w:hyperlink>
      <w:r>
        <w:t xml:space="preserve">.</w:t>
      </w:r>
    </w:p>
    <w:bookmarkEnd w:id="334"/>
    <w:bookmarkStart w:id="336"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35">
        <w:r>
          <w:rPr>
            <w:rStyle w:val="Hyperlink"/>
          </w:rPr>
          <w:t xml:space="preserve">https://doi.org/10.1080/01621459.2022.2116331</w:t>
        </w:r>
      </w:hyperlink>
      <w:r>
        <w:t xml:space="preserve">.</w:t>
      </w:r>
    </w:p>
    <w:bookmarkEnd w:id="336"/>
    <w:bookmarkStart w:id="338"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37">
        <w:r>
          <w:rPr>
            <w:rStyle w:val="Hyperlink"/>
          </w:rPr>
          <w:t xml:space="preserve">https://doi.org/10.1093/biostatistics/kxac047</w:t>
        </w:r>
      </w:hyperlink>
      <w:r>
        <w:t xml:space="preserve">.</w:t>
      </w:r>
    </w:p>
    <w:bookmarkEnd w:id="338"/>
    <w:bookmarkStart w:id="340"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339">
        <w:r>
          <w:rPr>
            <w:rStyle w:val="Hyperlink"/>
          </w:rPr>
          <w:t xml:space="preserve">https://doi.org/10.1890/11-1952.1</w:t>
        </w:r>
      </w:hyperlink>
      <w:r>
        <w:t xml:space="preserve">.</w:t>
      </w:r>
    </w:p>
    <w:bookmarkEnd w:id="340"/>
    <w:bookmarkStart w:id="342"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41">
        <w:r>
          <w:rPr>
            <w:rStyle w:val="Hyperlink"/>
          </w:rPr>
          <w:t xml:space="preserve">https://doi.org/10.1046/j.1461-0248.2001.00230.x</w:t>
        </w:r>
      </w:hyperlink>
      <w:r>
        <w:t xml:space="preserve">.</w:t>
      </w:r>
    </w:p>
    <w:bookmarkEnd w:id="342"/>
    <w:bookmarkStart w:id="344"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43">
        <w:r>
          <w:rPr>
            <w:rStyle w:val="Hyperlink"/>
          </w:rPr>
          <w:t xml:space="preserve">https://doi.org/10.1111/2041-210X.12613</w:t>
        </w:r>
      </w:hyperlink>
      <w:r>
        <w:t xml:space="preserve">.</w:t>
      </w:r>
    </w:p>
    <w:bookmarkEnd w:id="344"/>
    <w:bookmarkStart w:id="346"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345">
        <w:r>
          <w:rPr>
            <w:rStyle w:val="Hyperlink"/>
          </w:rPr>
          <w:t xml:space="preserve">https://doi.org/10.1007/978-0-387-21706-2</w:t>
        </w:r>
      </w:hyperlink>
      <w:r>
        <w:t xml:space="preserve">.</w:t>
      </w:r>
    </w:p>
    <w:bookmarkEnd w:id="346"/>
    <w:bookmarkStart w:id="348"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47">
        <w:r>
          <w:rPr>
            <w:rStyle w:val="Hyperlink"/>
          </w:rPr>
          <w:t xml:space="preserve">https://doi.org/10.1073/pnas.2520385123</w:t>
        </w:r>
      </w:hyperlink>
      <w:r>
        <w:t xml:space="preserve">.</w:t>
      </w:r>
    </w:p>
    <w:bookmarkEnd w:id="348"/>
    <w:bookmarkStart w:id="350" w:name="ref-Hoenig_Heisey_2001"/>
    <w:p>
      <w:pPr>
        <w:pStyle w:val="Bibliography"/>
      </w:pPr>
      <w:r>
        <w:t xml:space="preserve">[28]</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49">
        <w:r>
          <w:rPr>
            <w:rStyle w:val="Hyperlink"/>
          </w:rPr>
          <w:t xml:space="preserve">https://doi.org/10.1198/000313001300339897</w:t>
        </w:r>
      </w:hyperlink>
      <w:r>
        <w:t xml:space="preserve">.</w:t>
      </w:r>
    </w:p>
    <w:bookmarkEnd w:id="350"/>
    <w:bookmarkStart w:id="352" w:name="ref-Cohen_1992"/>
    <w:p>
      <w:pPr>
        <w:pStyle w:val="Bibliography"/>
      </w:pPr>
      <w:r>
        <w:t xml:space="preserve">[29]</w:t>
      </w:r>
      <w:r>
        <w:t xml:space="preserve"> </w:t>
      </w:r>
      <w:r>
        <w:t xml:space="preserve">	</w:t>
      </w:r>
      <w:r>
        <w:t xml:space="preserve">Cohen J. A power primer. Psychological Bulletin 1992;112:155–9.</w:t>
      </w:r>
      <w:r>
        <w:t xml:space="preserve"> </w:t>
      </w:r>
      <w:hyperlink r:id="rId351">
        <w:r>
          <w:rPr>
            <w:rStyle w:val="Hyperlink"/>
          </w:rPr>
          <w:t xml:space="preserve">https://doi.org/10.1037/0033-2909.112.1.155</w:t>
        </w:r>
      </w:hyperlink>
      <w:r>
        <w:t xml:space="preserve">.</w:t>
      </w:r>
    </w:p>
    <w:bookmarkEnd w:id="352"/>
    <w:bookmarkStart w:id="354" w:name="ref-Legendre_2015"/>
    <w:p>
      <w:pPr>
        <w:pStyle w:val="Bibliography"/>
      </w:pPr>
      <w:r>
        <w:t xml:space="preserve">[30]</w:t>
      </w:r>
      <w:r>
        <w:t xml:space="preserve"> </w:t>
      </w:r>
      <w:r>
        <w:t xml:space="preserve">	</w:t>
      </w:r>
      <w:r>
        <w:t xml:space="preserve">Legendre P, Fortin M-J, Borcard D. Should the mantel test be used in spatial analysis? Methods in Ecology and Evolution 2015;6:1239–47.</w:t>
      </w:r>
      <w:r>
        <w:t xml:space="preserve"> </w:t>
      </w:r>
      <w:hyperlink r:id="rId353">
        <w:r>
          <w:rPr>
            <w:rStyle w:val="Hyperlink"/>
          </w:rPr>
          <w:t xml:space="preserve">https://doi.org/10.1111/2041-210X.12425</w:t>
        </w:r>
      </w:hyperlink>
      <w:r>
        <w:t xml:space="preserve">.</w:t>
      </w:r>
    </w:p>
    <w:bookmarkEnd w:id="354"/>
    <w:bookmarkStart w:id="356" w:name="ref-Guillot_Rousset_2013"/>
    <w:p>
      <w:pPr>
        <w:pStyle w:val="Bibliography"/>
      </w:pPr>
      <w:r>
        <w:t xml:space="preserve">[31]</w:t>
      </w:r>
      <w:r>
        <w:t xml:space="preserve"> </w:t>
      </w:r>
      <w:r>
        <w:t xml:space="preserve">	</w:t>
      </w:r>
      <w:r>
        <w:t xml:space="preserve">Guillot G, Rousset F. Dismantling the mantel tests. Methods in Ecology and Evolution 2013;4:336–44.</w:t>
      </w:r>
      <w:r>
        <w:t xml:space="preserve"> </w:t>
      </w:r>
      <w:hyperlink r:id="rId355">
        <w:r>
          <w:rPr>
            <w:rStyle w:val="Hyperlink"/>
          </w:rPr>
          <w:t xml:space="preserve">https://doi.org/10.1111/2041-210X.12018</w:t>
        </w:r>
      </w:hyperlink>
      <w:r>
        <w:t xml:space="preserve">.</w:t>
      </w:r>
    </w:p>
    <w:bookmarkEnd w:id="356"/>
    <w:bookmarkStart w:id="358" w:name="ref-Anderson_Walsh_2013"/>
    <w:p>
      <w:pPr>
        <w:pStyle w:val="Bibliography"/>
      </w:pPr>
      <w:r>
        <w:t xml:space="preserve">[32]</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57">
        <w:r>
          <w:rPr>
            <w:rStyle w:val="Hyperlink"/>
          </w:rPr>
          <w:t xml:space="preserve">https://doi.org/10.1890/12-2010.1</w:t>
        </w:r>
      </w:hyperlink>
      <w:r>
        <w:t xml:space="preserve">.</w:t>
      </w:r>
    </w:p>
    <w:bookmarkEnd w:id="358"/>
    <w:bookmarkEnd w:id="359"/>
    <w:bookmarkEnd w:id="360"/>
    <w:bookmarkEnd w:id="36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9" Target="media/rId169.png" /><Relationship Type="http://schemas.openxmlformats.org/officeDocument/2006/relationships/image" Id="rId216" Target="media/rId216.png" /><Relationship Type="http://schemas.openxmlformats.org/officeDocument/2006/relationships/image" Id="rId225" Target="media/rId225.png" /><Relationship Type="http://schemas.openxmlformats.org/officeDocument/2006/relationships/image" Id="rId50" Target="media/rId50.png" /><Relationship Type="http://schemas.openxmlformats.org/officeDocument/2006/relationships/image" Id="rId158" Target="media/rId158.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9" Target="media/rId239.png" /><Relationship Type="http://schemas.openxmlformats.org/officeDocument/2006/relationships/image" Id="rId268" Target="media/rId268.png" /><Relationship Type="http://schemas.openxmlformats.org/officeDocument/2006/relationships/image" Id="rId289" Target="media/rId289.png" /><Relationship Type="http://schemas.openxmlformats.org/officeDocument/2006/relationships/image" Id="rId256" Target="media/rId256.png" /><Relationship Type="http://schemas.openxmlformats.org/officeDocument/2006/relationships/image" Id="rId248" Target="media/rId248.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36" Target="media/rId36.png" /><Relationship Type="http://schemas.openxmlformats.org/officeDocument/2006/relationships/hyperlink" Id="rId308" Target="https://doi.org/10.1002/jqs.3236" TargetMode="External" /><Relationship Type="http://schemas.openxmlformats.org/officeDocument/2006/relationships/hyperlink" Id="rId345"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1"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7" Target="https://doi.org/10.1023/A:1023949509487" TargetMode="External" /><Relationship Type="http://schemas.openxmlformats.org/officeDocument/2006/relationships/hyperlink" Id="rId351"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3" Target="https://doi.org/10.1038/ncomms5114" TargetMode="External" /><Relationship Type="http://schemas.openxmlformats.org/officeDocument/2006/relationships/hyperlink" Id="rId341" Target="https://doi.org/10.1046/j.1461-0248.2001.00230.x" TargetMode="External" /><Relationship Type="http://schemas.openxmlformats.org/officeDocument/2006/relationships/hyperlink" Id="rId347" Target="https://doi.org/10.1073/pnas.2520385123" TargetMode="External" /><Relationship Type="http://schemas.openxmlformats.org/officeDocument/2006/relationships/hyperlink" Id="rId335"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7"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5" Target="https://doi.org/10.1111/2041-210X.12018" TargetMode="External" /><Relationship Type="http://schemas.openxmlformats.org/officeDocument/2006/relationships/hyperlink" Id="rId353" Target="https://doi.org/10.1111/2041-210X.12425" TargetMode="External" /><Relationship Type="http://schemas.openxmlformats.org/officeDocument/2006/relationships/hyperlink" Id="rId343" Target="https://doi.org/10.1111/2041-210X.12613" TargetMode="External" /><Relationship Type="http://schemas.openxmlformats.org/officeDocument/2006/relationships/hyperlink" Id="rId349"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39" Target="https://doi.org/10.1890/11-1952.1" TargetMode="External" /><Relationship Type="http://schemas.openxmlformats.org/officeDocument/2006/relationships/hyperlink" Id="rId35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29"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8" Target="https://doi.org/10.1002/jqs.3236" TargetMode="External" /><Relationship Type="http://schemas.openxmlformats.org/officeDocument/2006/relationships/hyperlink" Id="rId345"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1"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7" Target="https://doi.org/10.1023/A:1023949509487" TargetMode="External" /><Relationship Type="http://schemas.openxmlformats.org/officeDocument/2006/relationships/hyperlink" Id="rId351"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3" Target="https://doi.org/10.1038/ncomms5114" TargetMode="External" /><Relationship Type="http://schemas.openxmlformats.org/officeDocument/2006/relationships/hyperlink" Id="rId341" Target="https://doi.org/10.1046/j.1461-0248.2001.00230.x" TargetMode="External" /><Relationship Type="http://schemas.openxmlformats.org/officeDocument/2006/relationships/hyperlink" Id="rId347" Target="https://doi.org/10.1073/pnas.2520385123" TargetMode="External" /><Relationship Type="http://schemas.openxmlformats.org/officeDocument/2006/relationships/hyperlink" Id="rId335"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7"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5" Target="https://doi.org/10.1111/2041-210X.12018" TargetMode="External" /><Relationship Type="http://schemas.openxmlformats.org/officeDocument/2006/relationships/hyperlink" Id="rId353" Target="https://doi.org/10.1111/2041-210X.12425" TargetMode="External" /><Relationship Type="http://schemas.openxmlformats.org/officeDocument/2006/relationships/hyperlink" Id="rId343" Target="https://doi.org/10.1111/2041-210X.12613" TargetMode="External" /><Relationship Type="http://schemas.openxmlformats.org/officeDocument/2006/relationships/hyperlink" Id="rId349"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39" Target="https://doi.org/10.1890/11-1952.1" TargetMode="External" /><Relationship Type="http://schemas.openxmlformats.org/officeDocument/2006/relationships/hyperlink" Id="rId35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29"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2026-10-04T02:21:09Z</dcterms:created>
  <dcterms:modified xsi:type="dcterms:W3CDTF">2026-10-04T02:21:09Z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October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