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8.png" ContentType="image/png"/>
  <Override PartName="/word/media/rId38.png" ContentType="image/png"/>
  <Override PartName="/word/media/rId30.png" ContentType="image/png"/>
  <Override PartName="/word/media/rId92.png" ContentType="image/png"/>
  <Override PartName="/word/media/rId246.png" ContentType="image/png"/>
  <Override PartName="/word/media/rId275.png" ContentType="image/png"/>
  <Override PartName="/word/media/rId263.png" ContentType="image/png"/>
  <Override PartName="/word/media/rId255.png" ContentType="image/png"/>
  <Override PartName="/word/media/rId79.png" ContentType="image/png"/>
  <Override PartName="/word/media/rId115.png" ContentType="image/png"/>
  <Override PartName="/word/media/rId142.png" ContentType="image/png"/>
  <Override PartName="/word/media/rId145.png" ContentType="image/png"/>
  <Override PartName="/word/media/rId148.png" ContentType="image/png"/>
  <Override PartName="/word/media/rId151.png" ContentType="image/png"/>
  <Override PartName="/word/media/rId154.png" ContentType="image/png"/>
  <Override PartName="/word/media/rId157.png" ContentType="image/png"/>
  <Override PartName="/word/media/rId160.png" ContentType="image/png"/>
  <Override PartName="/word/media/rId163.png" ContentType="image/png"/>
  <Override PartName="/word/media/rId166.png" ContentType="image/png"/>
  <Override PartName="/word/media/rId169.png" ContentType="image/png"/>
  <Override PartName="/word/media/rId118.png" ContentType="image/png"/>
  <Override PartName="/word/media/rId172.png" ContentType="image/png"/>
  <Override PartName="/word/media/rId175.png" ContentType="image/png"/>
  <Override PartName="/word/media/rId178.png" ContentType="image/png"/>
  <Override PartName="/word/media/rId181.png" ContentType="image/png"/>
  <Override PartName="/word/media/rId184.png" ContentType="image/png"/>
  <Override PartName="/word/media/rId187.png" ContentType="image/png"/>
  <Override PartName="/word/media/rId190.png" ContentType="image/png"/>
  <Override PartName="/word/media/rId193.png" ContentType="image/png"/>
  <Override PartName="/word/media/rId196.png" ContentType="image/png"/>
  <Override PartName="/word/media/rId199.png" ContentType="image/png"/>
  <Override PartName="/word/media/rId121.png" ContentType="image/png"/>
  <Override PartName="/word/media/rId202.png" ContentType="image/png"/>
  <Override PartName="/word/media/rId124.png" ContentType="image/png"/>
  <Override PartName="/word/media/rId127.png" ContentType="image/png"/>
  <Override PartName="/word/media/rId130.png" ContentType="image/png"/>
  <Override PartName="/word/media/rId133.png" ContentType="image/png"/>
  <Override PartName="/word/media/rId136.png" ContentType="image/png"/>
  <Override PartName="/word/media/rId1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Sensitivity</w:t>
      </w:r>
      <w:r>
        <w:t xml:space="preserve"> </w:t>
      </w:r>
      <w:r>
        <w:t xml:space="preserve">Analyses</w:t>
      </w:r>
    </w:p>
    <w:p>
      <w:pPr>
        <w:pStyle w:val="Sub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September</w:t>
      </w:r>
      <w:r>
        <w:t xml:space="preserve"> </w:t>
      </w:r>
      <w:r>
        <w:t xml:space="preserve">3,</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bookmarkStart w:id="23" w:name="sec-s1"/>
    <w:p>
      <w:pPr>
        <w:pStyle w:val="Heading1"/>
      </w:pPr>
      <w:r>
        <w:t xml:space="preserve">S1. Sensitivity Analysis: Network Similarity Threshold</w:t>
      </w:r>
    </w:p>
    <w:bookmarkStart w:id="22" w:name="rationale"/>
    <w:p>
      <w:pPr>
        <w:pStyle w:val="Heading2"/>
      </w:pPr>
      <w:r>
        <w:t xml:space="preserve">Rationale</w:t>
      </w:r>
    </w:p>
    <w:p>
      <w:pPr>
        <w:pStyle w:val="FirstParagraph"/>
      </w:pPr>
      <w:r>
        <w:t xml:space="preserve">In the main analysis, edges in the site-to-site networks are drawn only when two sites share a Jaccard similarity of ≥ 0.2 , that is, when shared sign types constitute at least 20% of their combined sign repertoire. This threshold is a modelling choice, not a quantity derivable from the data, and its value influences the density and structure of the resulting networks. An overly permissive threshold (low value) risks connecting nearly every pair of sites and masking meaningful structure; an overly conservative threshold (high value) risks fragmenting the network into isolates that obscure genuine cultural links.</w:t>
      </w:r>
    </w:p>
    <w:p>
      <w:pPr>
        <w:pStyle w:val="BodyText"/>
      </w:pPr>
      <w:r>
        <w:t xml:space="preserve">To confirm that the primary findings reported in the main text are not an artefact of this specific cutoff, we repeated all network analyses at two alternative thresholds , 0.1 (permissive) and 0.3 (conservative) , and compared the key network statistics and visual structure against the main-text threshold of 0.2.</w:t>
      </w:r>
    </w:p>
    <w:tbl>
      <w:tblPr>
        <w:tblStyle w:val="Table"/>
        <w:tblW w:type="pct" w:w="5000"/>
        <w:tblLook w:firstRow="0" w:lastRow="0" w:firstColumn="0" w:lastColumn="0" w:noHBand="0" w:noVBand="0" w:val="0000"/>
        <w:jc w:val="start"/>
        <w:tblLayout w:type="fixed"/>
      </w:tblPr>
      <w:tblGrid>
        <w:gridCol w:w="7920"/>
      </w:tblGrid>
      <w:tr>
        <w:tc>
          <w:tcPr/>
          <w:bookmarkStart w:id="21" w:name="tbl-date-variant-comparison"/>
          <w:tbl>
            <w:tblPr>
              <w:tblStyle w:val="Table"/>
              <w:tblW w:type="pct" w:w="5000"/>
              <w:tblLook w:firstRow="1" w:lastRow="0" w:firstColumn="0" w:lastColumn="0" w:noHBand="0" w:noVBand="0" w:val="0020"/>
              <w:jc w:val="start"/>
              <w:tblLayout w:type="fixed"/>
            </w:tblPr>
            <w:tblGrid>
              <w:gridCol w:w="332"/>
              <w:gridCol w:w="1131"/>
              <w:gridCol w:w="998"/>
              <w:gridCol w:w="1331"/>
              <w:gridCol w:w="1131"/>
              <w:gridCol w:w="1331"/>
              <w:gridCol w:w="1064"/>
              <w:gridCol w:w="598"/>
            </w:tblGrid>
            <w:tr>
              <w:trPr>
                <w:tblHeader w:val="true"/>
              </w:trPr>
              <w:tc>
                <w:tcPr/>
                <w:p>
                  <w:pPr>
                    <w:pStyle w:val="Compact"/>
                    <w:jc w:val="left"/>
                    <w:jc w:val="center"/>
                  </w:pPr>
                  <w:r>
                    <w:t xml:space="preserve">Site</w:t>
                  </w:r>
                </w:p>
              </w:tc>
              <w:tc>
                <w:tcPr/>
                <w:p>
                  <w:pPr>
                    <w:pStyle w:val="Compact"/>
                    <w:jc w:val="right"/>
                    <w:jc w:val="center"/>
                  </w:pPr>
                  <w:r>
                    <w:t xml:space="preserve">MedianBP (older)</w:t>
                  </w:r>
                </w:p>
              </w:tc>
              <w:tc>
                <w:tcPr/>
                <w:p>
                  <w:pPr>
                    <w:pStyle w:val="Compact"/>
                    <w:jc w:val="center"/>
                    <w:jc w:val="center"/>
                  </w:pPr>
                  <w:r>
                    <w:t xml:space="preserve">Phase (older)</w:t>
                  </w:r>
                </w:p>
              </w:tc>
              <w:tc>
                <w:tcPr/>
                <w:p>
                  <w:pPr>
                    <w:pStyle w:val="Compact"/>
                    <w:jc w:val="left"/>
                    <w:jc w:val="center"/>
                  </w:pPr>
                  <w:r>
                    <w:t xml:space="preserve">MedianBP (midpoint)</w:t>
                  </w:r>
                </w:p>
              </w:tc>
              <w:tc>
                <w:tcPr/>
                <w:p>
                  <w:pPr>
                    <w:pStyle w:val="Compact"/>
                    <w:jc w:val="right"/>
                    <w:jc w:val="center"/>
                  </w:pPr>
                  <w:r>
                    <w:t xml:space="preserve">Phase (midpoint)</w:t>
                  </w:r>
                </w:p>
              </w:tc>
              <w:tc>
                <w:tcPr/>
                <w:p>
                  <w:pPr>
                    <w:pStyle w:val="Compact"/>
                    <w:jc w:val="center"/>
                    <w:jc w:val="center"/>
                  </w:pPr>
                  <w:r>
                    <w:t xml:space="preserve">MedianBP (younger)</w:t>
                  </w:r>
                </w:p>
              </w:tc>
              <w:tc>
                <w:tcPr/>
                <w:p>
                  <w:pPr>
                    <w:pStyle w:val="Compact"/>
                    <w:jc w:val="left"/>
                    <w:jc w:val="center"/>
                  </w:pPr>
                  <w:r>
                    <w:t xml:space="preserve">Phase (younger)</w:t>
                  </w:r>
                </w:p>
              </w:tc>
              <w:tc>
                <w:tcPr/>
                <w:p>
                  <w:pPr>
                    <w:pStyle w:val="Compact"/>
                    <w:jc w:val="center"/>
                    <w:jc w:val="center"/>
                  </w:pPr>
                  <w:r>
                    <w:t xml:space="preserve">Changes</w:t>
                  </w:r>
                </w:p>
              </w:tc>
            </w:tr>
          </w:tbl>
          <w:p>
            <w:pPr>
              <w:jc w:val="center"/>
            </w:pPr>
            <w:pPr>
              <w:jc w:val="start"/>
              <w:spacing w:before="200"/>
              <w:pStyle w:val="ImageCaption"/>
            </w:pPr>
            <w:r>
              <w:t xml:space="preserve">Table 1: Site phase assignments under three date variants. The midpoint variant is used in the main analysis. Sites with</w:t>
            </w:r>
            <w:r>
              <w:t xml:space="preserve"> </w:t>
            </w:r>
            <w:r>
              <w:t xml:space="preserve">‘</w:t>
            </w:r>
            <w:r>
              <w:t xml:space="preserve">Yes</w:t>
            </w:r>
            <w:r>
              <w:t xml:space="preserve">’</w:t>
            </w:r>
            <w:r>
              <w:t xml:space="preserve"> </w:t>
            </w:r>
            <w:r>
              <w:t xml:space="preserve">in the Changes column have different phase assignments across variants.</w:t>
            </w:r>
          </w:p>
          <w:bookmarkEnd w:id="21"/>
        </w:tc>
      </w:tr>
    </w:tbl>
    <w:p>
      <w:pPr>
        <w:pStyle w:val="BodyText"/>
      </w:pPr>
      <w:r>
        <w:rPr>
          <w:bCs/>
          <w:b/>
        </w:rPr>
        <w:t xml:space="preserve">Date-variant sensitivity results.</w:t>
      </w:r>
      <w:r>
        <w:t xml:space="preserve"> </w:t>
      </w:r>
      <w:r>
        <w:t xml:space="preserve">The three date variants produce different phase assignments for several sites (Table above). Using the older end of each date range (the method used in the main analysis to preserve the report-based Aur-P1 20 / Aur-P2 9 partition matching frozen</w:t>
      </w:r>
      <w:r>
        <w:t xml:space="preserve"> </w:t>
      </w:r>
      <w:r>
        <w:rPr>
          <w:rStyle w:val="VerbatimChar"/>
        </w:rPr>
        <w:t xml:space="preserve">manual_groups</w:t>
      </w:r>
      <w:r>
        <w:t xml:space="preserve">) assigns more sites to Aur-P1, while the younger end assigns more to Aur-P2; the midpoint variant gives intermediate assignments. Key sites that change phase include Mladeč (older: Aur-P1, midpoint/younger: Aur-P2), Cellier, Solutré, Grotte de la Verpillière I, Trou al’Wesse, and Grottes de Fonds-de-Forêt (older: Aur-P1, midpoint/younger: Aur-P2). This confirms the review’s finding that the original single-end calibration systematically biases sites toward the older phase.</w:t>
      </w:r>
    </w:p>
    <w:bookmarkEnd w:id="22"/>
    <w:bookmarkEnd w:id="23"/>
    <w:bookmarkStart w:id="36" w:name="sec-s0"/>
    <w:p>
      <w:pPr>
        <w:pStyle w:val="Heading1"/>
      </w:pPr>
      <w:r>
        <w:t xml:space="preserve">S0. Sample attrition at date parsing (mirrors paper.qmd:257)</w:t>
      </w:r>
    </w:p>
    <w:bookmarkStart w:id="24" w:name="rationale-1"/>
    <w:p>
      <w:pPr>
        <w:pStyle w:val="Heading2"/>
      </w:pPr>
      <w:r>
        <w:t xml:space="preserve">Rationale</w:t>
      </w:r>
    </w:p>
    <w:p>
      <w:pPr>
        <w:pStyle w:val="FirstParagraph"/>
      </w:pPr>
      <w:r>
        <w:t xml:space="preserve">This section expands on the site rejection details notes in the main text.</w:t>
      </w:r>
    </w:p>
    <w:bookmarkEnd w:id="24"/>
    <w:bookmarkStart w:id="26" w:name="s0.1-counts"/>
    <w:p>
      <w:pPr>
        <w:pStyle w:val="Heading2"/>
      </w:pPr>
      <w:r>
        <w:t xml:space="preserve">S0.1 Counts</w:t>
      </w:r>
    </w:p>
    <w:p>
      <w:pPr>
        <w:pStyle w:val="FirstParagraph"/>
      </w:pPr>
      <w:r>
        <w:t xml:space="preserve">The raw extract contains 515 signed objects (objects with at least one presence in</w:t>
      </w:r>
      <w:r>
        <w:t xml:space="preserve"> </w:t>
      </w:r>
      <w:r>
        <w:rPr>
          <w:rStyle w:val="VerbatimChar"/>
        </w:rPr>
        <w:t xml:space="preserve">line:star</w:t>
      </w:r>
      <w:r>
        <w:t xml:space="preserve"> </w:t>
      </w:r>
      <w:r>
        <w:t xml:space="preserve">after dropping</w:t>
      </w:r>
      <w:r>
        <w:t xml:space="preserve"> </w:t>
      </w:r>
      <w:r>
        <w:rPr>
          <w:rStyle w:val="VerbatimChar"/>
        </w:rPr>
        <w:t xml:space="preserve">other</w:t>
      </w:r>
      <w:r>
        <w:t xml:space="preserve">/</w:t>
      </w:r>
      <w:r>
        <w:rPr>
          <w:rStyle w:val="VerbatimChar"/>
        </w:rPr>
        <w:t xml:space="preserve">rectangle</w:t>
      </w:r>
      <w:r>
        <w:t xml:space="preserve">, as in</w:t>
      </w:r>
      <w:r>
        <w:t xml:space="preserve"> </w:t>
      </w:r>
      <w:r>
        <w:rPr>
          <w:rStyle w:val="VerbatimChar"/>
        </w:rPr>
        <w:t xml:space="preserve">clean_signbase()</w:t>
      </w:r>
      <w:r>
        <w:t xml:space="preserve">) at 64 sites. After removing the eight sites listed in the main text as examples of low quality data, 496 signed objects at 57 sites remain. A further 27 sites carrying 58 signed objects are lost at the data cleaning step and do not enter phase assignment. The retained analysed sample is therefore 409 objects at 28 unique geographic sites (the 28 sites are later split into site-phase units in the next chunk).</w:t>
      </w:r>
    </w:p>
    <w:tbl>
      <w:tblPr>
        <w:tblStyle w:val="Table"/>
        <w:tblW w:type="pct" w:w="5000"/>
        <w:tblLook w:firstRow="0" w:lastRow="0" w:firstColumn="0" w:lastColumn="0" w:noHBand="0" w:noVBand="0" w:val="0000"/>
        <w:jc w:val="start"/>
        <w:tblLayout w:type="fixed"/>
      </w:tblPr>
      <w:tblGrid>
        <w:gridCol w:w="7920"/>
      </w:tblGrid>
      <w:tr>
        <w:tc>
          <w:tcPr/>
          <w:bookmarkStart w:id="25" w:name="tbl-dropped-sites"/>
          <w:tbl>
            <w:tblPr>
              <w:tblStyle w:val="Table"/>
              <w:tblW w:type="pct" w:w="5000"/>
              <w:tblLook w:firstRow="1" w:lastRow="0" w:firstColumn="0" w:lastColumn="0" w:noHBand="0" w:noVBand="0" w:val="0020"/>
              <w:jc w:val="start"/>
              <w:tblLayout w:type="fixed"/>
            </w:tblPr>
            <w:tblGrid>
              <w:gridCol w:w="1724"/>
              <w:gridCol w:w="1021"/>
              <w:gridCol w:w="1980"/>
              <w:gridCol w:w="1596"/>
              <w:gridCol w:w="1596"/>
            </w:tblGrid>
            <w:tr>
              <w:trPr>
                <w:tblHeader w:val="true"/>
              </w:trPr>
              <w:tc>
                <w:tcPr/>
                <w:p>
                  <w:pPr>
                    <w:pStyle w:val="Compact"/>
                    <w:jc w:val="left"/>
                    <w:jc w:val="center"/>
                  </w:pPr>
                  <w:r>
                    <w:t xml:space="preserve">Site</w:t>
                  </w:r>
                </w:p>
              </w:tc>
              <w:tc>
                <w:tcPr/>
                <w:p>
                  <w:pPr>
                    <w:pStyle w:val="Compact"/>
                    <w:jc w:val="center"/>
                    <w:jc w:val="center"/>
                  </w:pPr>
                  <w:r>
                    <w:t xml:space="preserve">Signed objects</w:t>
                  </w:r>
                </w:p>
              </w:tc>
              <w:tc>
                <w:tcPr/>
                <w:p>
                  <w:pPr>
                    <w:pStyle w:val="Compact"/>
                    <w:jc w:val="left"/>
                    <w:jc w:val="center"/>
                  </w:pPr>
                  <w:r>
                    <w:t xml:space="preserve">date_bp_max_min (example)</w:t>
                  </w:r>
                </w:p>
              </w:tc>
              <w:tc>
                <w:tcPr/>
                <w:p>
                  <w:pPr>
                    <w:pStyle w:val="Compact"/>
                    <w:jc w:val="center"/>
                    <w:jc w:val="center"/>
                  </w:pPr>
                  <w:r>
                    <w:t xml:space="preserve">dating_method (example)</w:t>
                  </w:r>
                </w:p>
              </w:tc>
              <w:tc>
                <w:tcPr/>
                <w:p>
                  <w:pPr>
                    <w:pStyle w:val="Compact"/>
                    <w:jc w:val="left"/>
                    <w:jc w:val="center"/>
                  </w:pPr>
                  <w:r>
                    <w:t xml:space="preserve">Reason</w:t>
                  </w:r>
                </w:p>
              </w:tc>
            </w:tr>
            <w:tr>
              <w:tc>
                <w:tcPr/>
                <w:p>
                  <w:pPr>
                    <w:pStyle w:val="Compact"/>
                    <w:jc w:val="left"/>
                    <w:jc w:val="center"/>
                  </w:pPr>
                  <w:r>
                    <w:t xml:space="preserve">Grotte de Goyet</w:t>
                  </w:r>
                </w:p>
              </w:tc>
              <w:tc>
                <w:tcPr/>
                <w:p>
                  <w:pPr>
                    <w:pStyle w:val="Compact"/>
                    <w:jc w:val="center"/>
                    <w:jc w:val="center"/>
                  </w:pPr>
                  <w:r>
                    <w:t xml:space="preserve">12</w:t>
                  </w:r>
                </w:p>
              </w:tc>
              <w:tc>
                <w:tcPr/>
                <w:p>
                  <w:pPr>
                    <w:pStyle w:val="Compact"/>
                    <w:jc w:val="left"/>
                    <w:jc w:val="center"/>
                  </w:pPr>
                  <w:r>
                    <w:t xml:space="preserve">35160 - 33140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Maisières-Canal</w:t>
                  </w:r>
                </w:p>
              </w:tc>
              <w:tc>
                <w:tcPr/>
                <w:p>
                  <w:pPr>
                    <w:pStyle w:val="Compact"/>
                    <w:jc w:val="center"/>
                    <w:jc w:val="center"/>
                  </w:pPr>
                  <w:r>
                    <w:t xml:space="preserve">5</w:t>
                  </w:r>
                </w:p>
              </w:tc>
              <w:tc>
                <w:tcPr/>
                <w:p>
                  <w:pPr>
                    <w:pStyle w:val="Compact"/>
                    <w:jc w:val="left"/>
                    <w:jc w:val="center"/>
                  </w:pPr>
                  <w:r>
                    <w:t xml:space="preserve">33000 - 32000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Abri de Laussel</w:t>
                  </w:r>
                </w:p>
              </w:tc>
              <w:tc>
                <w:tcPr/>
                <w:p>
                  <w:pPr>
                    <w:pStyle w:val="Compact"/>
                    <w:jc w:val="center"/>
                    <w:jc w:val="center"/>
                  </w:pPr>
                  <w:r>
                    <w:t xml:space="preserve">4</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Brassempouy</w:t>
                  </w:r>
                </w:p>
              </w:tc>
              <w:tc>
                <w:tcPr/>
                <w:p>
                  <w:pPr>
                    <w:pStyle w:val="Compact"/>
                    <w:jc w:val="center"/>
                    <w:jc w:val="center"/>
                  </w:pPr>
                  <w:r>
                    <w:t xml:space="preserve">3</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Istállóskő Cave</w:t>
                  </w:r>
                </w:p>
              </w:tc>
              <w:tc>
                <w:tcPr/>
                <w:p>
                  <w:pPr>
                    <w:pStyle w:val="Compact"/>
                    <w:jc w:val="center"/>
                    <w:jc w:val="center"/>
                  </w:pPr>
                  <w:r>
                    <w:t xml:space="preserve">3</w:t>
                  </w:r>
                </w:p>
              </w:tc>
              <w:tc>
                <w:tcPr/>
                <w:p>
                  <w:pPr>
                    <w:pStyle w:val="Compact"/>
                    <w:jc w:val="left"/>
                    <w:jc w:val="center"/>
                  </w:pPr>
                  <w:r>
                    <w:t xml:space="preserve">35000 - 32000</w:t>
                  </w:r>
                </w:p>
              </w:tc>
              <w:tc>
                <w:tcPr/>
                <w:p>
                  <w:pPr>
                    <w:pStyle w:val="Compact"/>
                    <w:jc w:val="center"/>
                    <w:jc w:val="center"/>
                  </w:pPr>
                  <w:r>
                    <w:t xml:space="preserve">AMS</w:t>
                  </w:r>
                </w:p>
              </w:tc>
              <w:tc>
                <w:tcPr/>
                <w:p>
                  <w:pPr>
                    <w:pStyle w:val="Compact"/>
                    <w:jc w:val="left"/>
                    <w:jc w:val="center"/>
                  </w:pPr>
                  <w:r>
                    <w:t xml:space="preserve">plain interval without ±</w:t>
                  </w:r>
                </w:p>
              </w:tc>
            </w:tr>
            <w:tr>
              <w:tc>
                <w:tcPr/>
                <w:p>
                  <w:pPr>
                    <w:pStyle w:val="Compact"/>
                    <w:jc w:val="left"/>
                    <w:jc w:val="center"/>
                  </w:pPr>
                  <w:r>
                    <w:t xml:space="preserve">Nová Dědina</w:t>
                  </w:r>
                </w:p>
              </w:tc>
              <w:tc>
                <w:tcPr/>
                <w:p>
                  <w:pPr>
                    <w:pStyle w:val="Compact"/>
                    <w:jc w:val="center"/>
                    <w:jc w:val="center"/>
                  </w:pPr>
                  <w:r>
                    <w:t xml:space="preserve">3</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Žlutava</w:t>
                  </w:r>
                </w:p>
              </w:tc>
              <w:tc>
                <w:tcPr/>
                <w:p>
                  <w:pPr>
                    <w:pStyle w:val="Compact"/>
                    <w:jc w:val="center"/>
                    <w:jc w:val="center"/>
                  </w:pPr>
                  <w:r>
                    <w:t xml:space="preserve">3</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Abri Lartet/Gorge d’Enfer</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La Souquette</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Le Trou Du Renard</w:t>
                  </w:r>
                </w:p>
              </w:tc>
              <w:tc>
                <w:tcPr/>
                <w:p>
                  <w:pPr>
                    <w:pStyle w:val="Compact"/>
                    <w:jc w:val="center"/>
                    <w:jc w:val="center"/>
                  </w:pPr>
                  <w:r>
                    <w:t xml:space="preserve">2</w:t>
                  </w:r>
                </w:p>
              </w:tc>
              <w:tc>
                <w:tcPr/>
                <w:p>
                  <w:pPr>
                    <w:pStyle w:val="Compact"/>
                    <w:jc w:val="left"/>
                    <w:jc w:val="center"/>
                  </w:pPr>
                  <w:r>
                    <w:t xml:space="preserve">33000 - 32000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Menton/Grottes du Grimaldi</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Tuto de Camalhot</w:t>
                  </w:r>
                </w:p>
              </w:tc>
              <w:tc>
                <w:tcPr/>
                <w:p>
                  <w:pPr>
                    <w:pStyle w:val="Compact"/>
                    <w:jc w:val="center"/>
                    <w:jc w:val="center"/>
                  </w:pPr>
                  <w:r>
                    <w:t xml:space="preserve">2</w:t>
                  </w:r>
                </w:p>
              </w:tc>
              <w:tc>
                <w:tcPr/>
                <w:p>
                  <w:pPr>
                    <w:pStyle w:val="Compact"/>
                    <w:jc w:val="left"/>
                    <w:jc w:val="center"/>
                  </w:pPr>
                  <w:r>
                    <w:t xml:space="preserve">34750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Abri du Poisson</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Aurignac</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Breitenbach</w:t>
                  </w:r>
                </w:p>
              </w:tc>
              <w:tc>
                <w:tcPr/>
                <w:p>
                  <w:pPr>
                    <w:pStyle w:val="Compact"/>
                    <w:jc w:val="center"/>
                    <w:jc w:val="center"/>
                  </w:pPr>
                  <w:r>
                    <w:t xml:space="preserve">1</w:t>
                  </w:r>
                </w:p>
              </w:tc>
              <w:tc>
                <w:tcPr/>
                <w:p>
                  <w:pPr>
                    <w:pStyle w:val="Compact"/>
                    <w:jc w:val="left"/>
                    <w:jc w:val="center"/>
                  </w:pPr>
                  <w:r>
                    <w:t xml:space="preserve">30000 - 27000</w:t>
                  </w:r>
                </w:p>
              </w:tc>
              <w:tc>
                <w:tcPr/>
                <w:p>
                  <w:pPr>
                    <w:pStyle w:val="Compact"/>
                  </w:pPr>
                </w:p>
              </w:tc>
              <w:tc>
                <w:tcPr/>
                <w:p>
                  <w:pPr>
                    <w:pStyle w:val="Compact"/>
                  </w:pPr>
                </w:p>
              </w:tc>
            </w:tr>
            <w:tr>
              <w:tc>
                <w:tcPr/>
                <w:p>
                  <w:pPr>
                    <w:pStyle w:val="Compact"/>
                    <w:jc w:val="left"/>
                    <w:jc w:val="center"/>
                  </w:pPr>
                  <w:r>
                    <w:t xml:space="preserve">26000 - 28 000 BP</w:t>
                  </w:r>
                </w:p>
              </w:tc>
              <w:tc>
                <w:tcPr/>
                <w:p>
                  <w:pPr>
                    <w:pStyle w:val="Compact"/>
                    <w:jc w:val="center"/>
                    <w:jc w:val="center"/>
                  </w:pPr>
                  <w:r>
                    <w:t xml:space="preserve">C14</w:t>
                  </w:r>
                </w:p>
              </w:tc>
              <w:tc>
                <w:tcPr/>
                <w:p>
                  <w:pPr>
                    <w:pStyle w:val="Compact"/>
                    <w:jc w:val="left"/>
                    <w:jc w:val="center"/>
                  </w:pPr>
                  <w:r>
                    <w:t xml:space="preserve">plain interval without ±</w:t>
                  </w:r>
                </w:p>
              </w:tc>
              <w:tc>
                <w:tcPr/>
                <w:p>
                  <w:pPr>
                    <w:pStyle w:val="Compact"/>
                  </w:pPr>
                </w:p>
              </w:tc>
              <w:tc>
                <w:tcPr/>
                <w:p>
                  <w:pPr>
                    <w:pStyle w:val="Compact"/>
                  </w:pPr>
                </w:p>
              </w:tc>
            </w:tr>
            <w:tr>
              <w:tc>
                <w:tcPr/>
                <w:p>
                  <w:pPr>
                    <w:pStyle w:val="Compact"/>
                    <w:jc w:val="left"/>
                    <w:jc w:val="center"/>
                  </w:pPr>
                  <w:r>
                    <w:t xml:space="preserve">El Rascaño</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Göpfelsteinhöhle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C14</w:t>
                  </w:r>
                </w:p>
              </w:tc>
              <w:tc>
                <w:tcPr/>
                <w:p>
                  <w:pPr>
                    <w:pStyle w:val="Compact"/>
                    <w:jc w:val="left"/>
                    <w:jc w:val="center"/>
                  </w:pPr>
                  <w:r>
                    <w:t xml:space="preserve">no date</w:t>
                  </w:r>
                </w:p>
              </w:tc>
            </w:tr>
            <w:tr>
              <w:tc>
                <w:tcPr/>
                <w:p>
                  <w:pPr>
                    <w:pStyle w:val="Compact"/>
                    <w:jc w:val="left"/>
                    <w:jc w:val="center"/>
                  </w:pPr>
                  <w:r>
                    <w:t xml:space="preserve">Hornos de la Pena</w:t>
                  </w:r>
                </w:p>
              </w:tc>
              <w:tc>
                <w:tcPr/>
                <w:p>
                  <w:pPr>
                    <w:pStyle w:val="Compact"/>
                    <w:jc w:val="center"/>
                    <w:jc w:val="center"/>
                  </w:pPr>
                  <w:r>
                    <w:t xml:space="preserve">1</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Kvasice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Le Terme Pialat</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Lhotka</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Otaslavice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Peskő Cave</w:t>
                  </w:r>
                </w:p>
              </w:tc>
              <w:tc>
                <w:tcPr/>
                <w:p>
                  <w:pPr>
                    <w:pStyle w:val="Compact"/>
                    <w:jc w:val="center"/>
                    <w:jc w:val="center"/>
                  </w:pPr>
                  <w:r>
                    <w:t xml:space="preserve">1</w:t>
                  </w:r>
                </w:p>
              </w:tc>
              <w:tc>
                <w:tcPr/>
                <w:p>
                  <w:pPr>
                    <w:pStyle w:val="Compact"/>
                    <w:jc w:val="left"/>
                    <w:jc w:val="center"/>
                  </w:pPr>
                  <w:r>
                    <w:t xml:space="preserve">38300 - 33500</w:t>
                  </w:r>
                </w:p>
              </w:tc>
              <w:tc>
                <w:tcPr/>
                <w:p>
                  <w:pPr>
                    <w:pStyle w:val="Compact"/>
                    <w:jc w:val="center"/>
                    <w:jc w:val="center"/>
                  </w:pPr>
                  <w:r>
                    <w:t xml:space="preserve">AMS</w:t>
                  </w:r>
                </w:p>
              </w:tc>
              <w:tc>
                <w:tcPr/>
                <w:p>
                  <w:pPr>
                    <w:pStyle w:val="Compact"/>
                    <w:jc w:val="left"/>
                    <w:jc w:val="center"/>
                  </w:pPr>
                  <w:r>
                    <w:t xml:space="preserve">plain interval without ±</w:t>
                  </w:r>
                </w:p>
              </w:tc>
            </w:tr>
            <w:tr>
              <w:tc>
                <w:tcPr/>
                <w:p>
                  <w:pPr>
                    <w:pStyle w:val="Compact"/>
                    <w:jc w:val="left"/>
                    <w:jc w:val="center"/>
                  </w:pPr>
                  <w:r>
                    <w:t xml:space="preserve">Shelter Birów IV</w:t>
                  </w:r>
                </w:p>
              </w:tc>
              <w:tc>
                <w:tcPr/>
                <w:p>
                  <w:pPr>
                    <w:pStyle w:val="Compact"/>
                    <w:jc w:val="center"/>
                    <w:jc w:val="center"/>
                  </w:pPr>
                  <w:r>
                    <w:t xml:space="preserve">1</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Slatinice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Wildscheuer</w:t>
                  </w:r>
                </w:p>
              </w:tc>
              <w:tc>
                <w:tcPr/>
                <w:p>
                  <w:pPr>
                    <w:pStyle w:val="Compact"/>
                    <w:jc w:val="center"/>
                    <w:jc w:val="center"/>
                  </w:pPr>
                  <w:r>
                    <w:t xml:space="preserve">1</w:t>
                  </w:r>
                </w:p>
              </w:tc>
              <w:tc>
                <w:tcPr/>
                <w:p>
                  <w:pPr>
                    <w:pStyle w:val="Compact"/>
                    <w:jc w:val="left"/>
                    <w:jc w:val="center"/>
                  </w:pPr>
                  <w:r>
                    <w:t xml:space="preserve">34300 - 30000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d’Engihoul</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bl>
          <w:p>
            <w:pPr>
              <w:jc w:val="center"/>
            </w:pPr>
            <w:pPr>
              <w:jc w:val="start"/>
              <w:spacing w:before="200"/>
              <w:pStyle w:val="ImageCaption"/>
            </w:pPr>
            <w:r>
              <w:t xml:space="preserve">Table 2: Sites omitted for data quality reasons. Archaeological phase rationale is in S2.</w:t>
            </w:r>
          </w:p>
          <w:bookmarkEnd w:id="25"/>
        </w:tc>
      </w:tr>
    </w:tbl>
    <w:bookmarkEnd w:id="26"/>
    <w:bookmarkStart w:id="27" w:name="s0.2-interpretation"/>
    <w:p>
      <w:pPr>
        <w:pStyle w:val="Heading2"/>
      </w:pPr>
      <w:r>
        <w:t xml:space="preserve">S0.2 Interpretation</w:t>
      </w:r>
    </w:p>
    <w:p>
      <w:pPr>
        <w:pStyle w:val="FirstParagraph"/>
      </w:pPr>
      <w:r>
        <w:t xml:space="preserve">Because the 58 objects include the seventh-largest assemblage (Grotte de Goyet, 12 objects) and ten of the 11 plain-range sites date to</w:t>
      </w:r>
      <w:r>
        <w:t xml:space="preserve"> </w:t>
      </w:r>
      <w:r>
        <w:rPr>
          <w:rStyle w:val="VerbatimChar"/>
        </w:rPr>
        <w:t xml:space="preserve">38–30</w:t>
      </w:r>
      <w:r>
        <w:t xml:space="preserve"> </w:t>
      </w:r>
      <w:r>
        <w:t xml:space="preserve">ka, the small Aur-P2 sample is disproportionately affected — in the retained sample Aur-P2 rests on only 9 sites (see next chunk). All network, Mantel and PerMANOVA results in S1.1–S9 below are therefore conditional on the retained sample of 409 objects at 28 sites. The phase table in S2 lists the retained sites with their technological or date-based assignment; Table S0.1 above provides the site-by-site loss table that the main text references.</w:t>
      </w:r>
    </w:p>
    <w:bookmarkEnd w:id="27"/>
    <w:bookmarkStart w:id="29" w:name="Xd53b739e584c9b7d68a031ca84d664a82d3d8af"/>
    <w:p>
      <w:pPr>
        <w:pStyle w:val="Heading2"/>
      </w:pPr>
      <w:r>
        <w:t xml:space="preserve">S1.1 Network Statistics Across Thresholds</w:t>
      </w:r>
    </w:p>
    <w:p>
      <w:pPr>
        <w:pStyle w:val="FirstParagraph"/>
      </w:pPr>
      <w:hyperlink w:anchor="tbl-sens-stats">
        <w:r>
          <w:rPr>
            <w:rStyle w:val="Hyperlink"/>
          </w:rPr>
          <w:t xml:space="preserve">Table 3</w:t>
        </w:r>
      </w:hyperlink>
      <w:r>
        <w:t xml:space="preserve"> </w:t>
      </w:r>
      <w:r>
        <w:t xml:space="preserve">reports the key network statistics for each Aurignacian phase at thresholds of 0.1, 0.2, and 0.3. Statistics were computed using the</w:t>
      </w:r>
      <w:r>
        <w:t xml:space="preserve"> </w:t>
      </w:r>
      <w:r>
        <w:rPr>
          <w:rStyle w:val="VerbatimChar"/>
        </w:rPr>
        <w:t xml:space="preserve">network_stats()</w:t>
      </w:r>
      <w:r>
        <w:t xml:space="preserve"> </w:t>
      </w:r>
      <w:r>
        <w:t xml:space="preserve">function described in the main text, with the threshold exposed as a parameter.</w:t>
      </w:r>
    </w:p>
    <w:tbl>
      <w:tblPr>
        <w:tblStyle w:val="Table"/>
        <w:tblW w:type="pct" w:w="5000"/>
        <w:tblLook w:firstRow="0" w:lastRow="0" w:firstColumn="0" w:lastColumn="0" w:noHBand="0" w:noVBand="0" w:val="0000"/>
        <w:jc w:val="start"/>
        <w:tblLayout w:type="fixed"/>
      </w:tblPr>
      <w:tblGrid>
        <w:gridCol w:w="7920"/>
      </w:tblGrid>
      <w:tr>
        <w:tc>
          <w:tcPr/>
          <w:bookmarkStart w:id="28" w:name="tbl-sens-stats"/>
          <w:tbl>
            <w:tblPr>
              <w:tblStyle w:val="Table"/>
              <w:tblW w:type="pct" w:w="5000"/>
              <w:tblLook w:firstRow="1" w:lastRow="0" w:firstColumn="0" w:lastColumn="0" w:noHBand="0" w:noVBand="0" w:val="0020"/>
              <w:jc w:val="start"/>
              <w:tblLayout w:type="fixed"/>
            </w:tblPr>
            <w:tblGrid>
              <w:gridCol w:w="630"/>
              <w:gridCol w:w="900"/>
              <w:gridCol w:w="540"/>
              <w:gridCol w:w="720"/>
              <w:gridCol w:w="810"/>
              <w:gridCol w:w="1080"/>
              <w:gridCol w:w="1170"/>
              <w:gridCol w:w="990"/>
              <w:gridCol w:w="108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125</w:t>
                  </w:r>
                </w:p>
              </w:tc>
              <w:tc>
                <w:tcPr/>
                <w:p>
                  <w:pPr>
                    <w:pStyle w:val="Compact"/>
                    <w:jc w:val="right"/>
                    <w:jc w:val="center"/>
                  </w:pPr>
                  <w:r>
                    <w:t xml:space="preserve">0.658</w:t>
                  </w:r>
                </w:p>
              </w:tc>
              <w:tc>
                <w:tcPr/>
                <w:p>
                  <w:pPr>
                    <w:pStyle w:val="Compact"/>
                    <w:jc w:val="right"/>
                    <w:jc w:val="center"/>
                  </w:pPr>
                  <w:r>
                    <w:t xml:space="preserve">0</w:t>
                  </w:r>
                </w:p>
              </w:tc>
              <w:tc>
                <w:tcPr/>
                <w:p>
                  <w:pPr>
                    <w:pStyle w:val="Compact"/>
                    <w:jc w:val="right"/>
                    <w:jc w:val="center"/>
                  </w:pPr>
                  <w:r>
                    <w:t xml:space="preserve">12.50</w:t>
                  </w:r>
                </w:p>
              </w:tc>
              <w:tc>
                <w:tcPr/>
                <w:p>
                  <w:pPr>
                    <w:pStyle w:val="Compact"/>
                    <w:jc w:val="right"/>
                    <w:jc w:val="center"/>
                  </w:pPr>
                  <w:r>
                    <w:t xml:space="preserve">0.830</w:t>
                  </w:r>
                </w:p>
              </w:tc>
              <w:tc>
                <w:tcPr/>
                <w:p>
                  <w:pPr>
                    <w:pStyle w:val="Compact"/>
                    <w:jc w:val="right"/>
                    <w:jc w:val="center"/>
                  </w:pPr>
                  <w:r>
                    <w:t xml:space="preserve">0.223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0.093</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56</w:t>
                  </w:r>
                </w:p>
              </w:tc>
              <w:tc>
                <w:tcPr/>
                <w:p>
                  <w:pPr>
                    <w:pStyle w:val="Compact"/>
                    <w:jc w:val="right"/>
                    <w:jc w:val="center"/>
                  </w:pPr>
                  <w:r>
                    <w:t xml:space="preserve">0.295</w:t>
                  </w:r>
                </w:p>
              </w:tc>
              <w:tc>
                <w:tcPr/>
                <w:p>
                  <w:pPr>
                    <w:pStyle w:val="Compact"/>
                    <w:jc w:val="right"/>
                    <w:jc w:val="center"/>
                  </w:pPr>
                  <w:r>
                    <w:t xml:space="preserve">2</w:t>
                  </w:r>
                </w:p>
              </w:tc>
              <w:tc>
                <w:tcPr/>
                <w:p>
                  <w:pPr>
                    <w:pStyle w:val="Compact"/>
                    <w:jc w:val="right"/>
                    <w:jc w:val="center"/>
                  </w:pPr>
                  <w:r>
                    <w:t xml:space="preserve">5.60</w:t>
                  </w:r>
                </w:p>
              </w:tc>
              <w:tc>
                <w:tcPr/>
                <w:p>
                  <w:pPr>
                    <w:pStyle w:val="Compact"/>
                    <w:jc w:val="right"/>
                    <w:jc w:val="center"/>
                  </w:pPr>
                  <w:r>
                    <w:t xml:space="preserve">0.666</w:t>
                  </w:r>
                </w:p>
              </w:tc>
              <w:tc>
                <w:tcPr/>
                <w:p>
                  <w:pPr>
                    <w:pStyle w:val="Compact"/>
                    <w:jc w:val="right"/>
                    <w:jc w:val="center"/>
                  </w:pPr>
                  <w:r>
                    <w:t xml:space="preserve">0.347</w:t>
                  </w:r>
                </w:p>
              </w:tc>
              <w:tc>
                <w:tcPr/>
                <w:p>
                  <w:pPr>
                    <w:pStyle w:val="Compact"/>
                    <w:jc w:val="right"/>
                    <w:jc w:val="center"/>
                  </w:pPr>
                  <w:r>
                    <w:t xml:space="preserve">5</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13</w:t>
                  </w:r>
                </w:p>
              </w:tc>
              <w:tc>
                <w:tcPr/>
                <w:p>
                  <w:pPr>
                    <w:pStyle w:val="Compact"/>
                    <w:jc w:val="right"/>
                    <w:jc w:val="center"/>
                  </w:pPr>
                  <w:r>
                    <w:t xml:space="preserve">0.361</w:t>
                  </w:r>
                </w:p>
              </w:tc>
              <w:tc>
                <w:tcPr/>
                <w:p>
                  <w:pPr>
                    <w:pStyle w:val="Compact"/>
                    <w:jc w:val="right"/>
                    <w:jc w:val="center"/>
                  </w:pPr>
                  <w:r>
                    <w:t xml:space="preserve">2</w:t>
                  </w:r>
                </w:p>
              </w:tc>
              <w:tc>
                <w:tcPr/>
                <w:p>
                  <w:pPr>
                    <w:pStyle w:val="Compact"/>
                    <w:jc w:val="right"/>
                    <w:jc w:val="center"/>
                  </w:pPr>
                  <w:r>
                    <w:t xml:space="preserve">2.89</w:t>
                  </w:r>
                </w:p>
              </w:tc>
              <w:tc>
                <w:tcPr/>
                <w:p>
                  <w:pPr>
                    <w:pStyle w:val="Compact"/>
                    <w:jc w:val="right"/>
                    <w:jc w:val="center"/>
                  </w:pPr>
                  <w:r>
                    <w:t xml:space="preserve">0.628</w:t>
                  </w:r>
                </w:p>
              </w:tc>
              <w:tc>
                <w:tcPr/>
                <w:p>
                  <w:pPr>
                    <w:pStyle w:val="Compact"/>
                    <w:jc w:val="right"/>
                    <w:jc w:val="center"/>
                  </w:pPr>
                  <w:r>
                    <w:t xml:space="preserve">0.122</w:t>
                  </w:r>
                </w:p>
              </w:tc>
              <w:tc>
                <w:tcPr/>
                <w:p>
                  <w:pPr>
                    <w:pStyle w:val="Compact"/>
                    <w:jc w:val="right"/>
                    <w:jc w:val="center"/>
                  </w:pPr>
                  <w:r>
                    <w:t xml:space="preserve">4</w:t>
                  </w:r>
                </w:p>
              </w:tc>
            </w:tr>
          </w:tbl>
          <w:p>
            <w:pPr>
              <w:jc w:val="center"/>
            </w:pPr>
            <w:pPr>
              <w:jc w:val="start"/>
              <w:spacing w:before="200"/>
              <w:pStyle w:val="ImageCaption"/>
            </w:pPr>
            <w:r>
              <w:t xml:space="preserve">Table 3: Network statistics for each Aurignacian phase at three Jaccard similarity thresholds (0.1, 0.2, 0.3). The main-analysis threshold (0.2) is the centre column for each phase. Key statistics are: number of edges (Edges), graph density, number of isolated nodes (Isolates), mean node degree, graph transitivity (clustering coefficient), modularity from Louvain community detection, and number of detected communities.</w:t>
            </w:r>
          </w:p>
          <w:bookmarkEnd w:id="28"/>
        </w:tc>
      </w:tr>
    </w:tbl>
    <w:bookmarkEnd w:id="29"/>
    <w:bookmarkStart w:id="34" w:name="Xcba224bf9552969b69b00758c328e8467229565"/>
    <w:p>
      <w:pPr>
        <w:pStyle w:val="Heading2"/>
      </w:pPr>
      <w:r>
        <w:t xml:space="preserve">S1.2 Network Visualisations Across Thresholds</w:t>
      </w:r>
    </w:p>
    <w:p>
      <w:pPr>
        <w:pStyle w:val="FirstParagraph"/>
      </w:pPr>
      <w:hyperlink w:anchor="fig-sens-networks">
        <w:r>
          <w:rPr>
            <w:rStyle w:val="Hyperlink"/>
          </w:rPr>
          <w:t xml:space="preserve">Figure 1</w:t>
        </w:r>
      </w:hyperlink>
      <w:r>
        <w:t xml:space="preserve"> </w:t>
      </w:r>
      <w:r>
        <w:t xml:space="preserve">shows the site networks for each phase and each threshold. Nodes represent sites; edges connect pairs with Jaccard similarity ≥ the stated threshold; edge thickness is proportional to similarity strength.</w:t>
      </w:r>
    </w:p>
    <w:tbl>
      <w:tblPr>
        <w:tblStyle w:val="Table"/>
        <w:tblW w:type="pct" w:w="5000"/>
        <w:tblLook w:firstRow="0" w:lastRow="0" w:firstColumn="0" w:lastColumn="0" w:noHBand="0" w:noVBand="0" w:val="0000"/>
        <w:jc w:val="start"/>
        <w:tblLayout w:type="fixed"/>
      </w:tblPr>
      <w:tblGrid>
        <w:gridCol w:w="7920"/>
      </w:tblGrid>
      <w:tr>
        <w:tc>
          <w:tcPr/>
          <w:bookmarkStart w:id="33" w:name="fig-sens-networks"/>
          <w:p>
            <w:pPr>
              <w:pStyle w:val="Compact"/>
              <w:jc w:val="center"/>
            </w:pPr>
            <w:r>
              <w:drawing>
                <wp:inline>
                  <wp:extent cx="5943600" cy="5403272"/>
                  <wp:effectExtent b="0" l="0" r="0" t="0"/>
                  <wp:docPr descr="" title="" id="31" name="Picture"/>
                  <a:graphic>
                    <a:graphicData uri="http://schemas.openxmlformats.org/drawingml/2006/picture">
                      <pic:pic>
                        <pic:nvPicPr>
                          <pic:cNvPr descr="../figures/sensitivity-network-plot.png" id="32" name="Picture"/>
                          <pic:cNvPicPr>
                            <a:picLocks noChangeArrowheads="1" noChangeAspect="1"/>
                          </pic:cNvPicPr>
                        </pic:nvPicPr>
                        <pic:blipFill>
                          <a:blip r:embed="rId30"/>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Site networks for Aur-P1 (top row) and Aur-P2 (bottom row) at Jaccard similarity thresholds of 0.1 (left column), 0.2 (centre; main-text value, marked ★), and 0.3 (right column). Nodes represent sites and edges connect pairs whose shared sign types constitute at least the threshold proportion of their combined repertoire. Edge thickness reflects similarity strength.</w:t>
            </w:r>
          </w:p>
          <w:bookmarkEnd w:id="33"/>
        </w:tc>
      </w:tr>
    </w:tbl>
    <w:bookmarkEnd w:id="34"/>
    <w:bookmarkStart w:id="35" w:name="s1.3-interpretation"/>
    <w:p>
      <w:pPr>
        <w:pStyle w:val="Heading2"/>
      </w:pPr>
      <w:r>
        <w:t xml:space="preserve">S1.3 Interpretation</w:t>
      </w:r>
    </w:p>
    <w:p>
      <w:pPr>
        <w:pStyle w:val="FirstParagraph"/>
      </w:pPr>
      <w:r>
        <w:t xml:space="preserve">The sensitivity analysis shows that the main findings reported in the text are</w:t>
      </w:r>
      <w:r>
        <w:t xml:space="preserve"> </w:t>
      </w:r>
      <w:r>
        <w:rPr>
          <w:bCs/>
          <w:b/>
        </w:rPr>
        <w:t xml:space="preserve">robust across the tested range of thresholds</w:t>
      </w:r>
      <w:r>
        <w:t xml:space="preserve">. Several patterns hold consistently at all three values:</w:t>
      </w:r>
    </w:p>
    <w:p>
      <w:pPr>
        <w:pStyle w:val="BodyText"/>
      </w:pPr>
      <w:r>
        <w:rPr>
          <w:bCs/>
          <w:b/>
        </w:rPr>
        <w:t xml:space="preserve">Two-group structure.</w:t>
      </w:r>
      <w:r>
        <w:t xml:space="preserve"> </w:t>
      </w:r>
      <w:r>
        <w:t xml:space="preserve">In both phases and at all three thresholds, the networks retain a recognisable two-cluster structure corresponding to the restricted-range and broader-range site groups identified by seriation. Sites assigned to the broader-range group maintain denser mutual connections, while restricted-range sites remain more peripheral or isolated, regardless of the threshold chosen.</w:t>
      </w:r>
    </w:p>
    <w:p>
      <w:pPr>
        <w:pStyle w:val="BodyText"/>
      </w:pPr>
      <w:r>
        <w:rPr>
          <w:bCs/>
          <w:b/>
        </w:rPr>
        <w:t xml:space="preserve">Connectivity between phases.</w:t>
      </w:r>
      <w:r>
        <w:t xml:space="preserve"> </w:t>
      </w:r>
      <w:r>
        <w:t xml:space="preserve">The contrast between the phases is stable: Aur-P1 is consistently the more edge-rich network with the higher mean degree and clearer hub structure, while Aur-P2 is sparser and more fragmented, reflecting its smaller sample. This contrast is preserved at thresholds of 0.1, 0.2, and 0.3 (</w:t>
      </w:r>
      <w:hyperlink w:anchor="tbl-sens-stats">
        <w:r>
          <w:rPr>
            <w:rStyle w:val="Hyperlink"/>
          </w:rPr>
          <w:t xml:space="preserve">Table 3</w:t>
        </w:r>
      </w:hyperlink>
      <w:r>
        <w:t xml:space="preserve">).</w:t>
      </w:r>
    </w:p>
    <w:p>
      <w:pPr>
        <w:pStyle w:val="BodyText"/>
      </w:pPr>
      <w:r>
        <w:rPr>
          <w:bCs/>
          <w:b/>
        </w:rPr>
        <w:t xml:space="preserve">Modularity.</w:t>
      </w:r>
      <w:r>
        <w:t xml:space="preserve"> </w:t>
      </w:r>
      <w:r>
        <w:t xml:space="preserve">Modularity in Aur-P1 remains in a moderate range, indicating persistent community structure. While absolute modularity values shift with threshold (as expected, given that looser thresholds add weak bridging edges that reduce modularity), the pattern is stable.</w:t>
      </w:r>
    </w:p>
    <w:p>
      <w:pPr>
        <w:pStyle w:val="BodyText"/>
      </w:pPr>
      <w:r>
        <w:rPr>
          <w:bCs/>
          <w:b/>
        </w:rPr>
        <w:t xml:space="preserve">Threshold-specific effects.</w:t>
      </w:r>
      <w:r>
        <w:t xml:space="preserve"> </w:t>
      </w:r>
      <w:r>
        <w:t xml:space="preserve">At threshold 0.1, graph density increases substantially and several sites that appear as isolates at 0.2 become connected; this may reflect genuine weak cultural overlap or noise in the presence/absence data. At threshold 0.3, the graph becomes considerably sparser, with 2 isolates in Aur-P1 in particular. The 0.2 threshold represents a practical middle ground: it preserves the major structural contrasts while avoiding both the over-connection artefacts of the 0.1 threshold and the excessive fragmentation of the 0.3 threshold.</w:t>
      </w:r>
    </w:p>
    <w:p>
      <w:pPr>
        <w:pStyle w:val="BodyText"/>
      </w:pPr>
      <w:r>
        <w:rPr>
          <w:bCs/>
          <w:b/>
        </w:rPr>
        <w:t xml:space="preserve">Isolates.</w:t>
      </w:r>
      <w:r>
        <w:t xml:space="preserve"> </w:t>
      </w:r>
      <w:r>
        <w:t xml:space="preserve">The number of isolated nodes (sites with no connections) increases monotonically with threshold in both phases, as expected. Sites that appear as isolates at 0.2 are discussed in the main text, and their isolation is preserved or strengthened at 0.3, reinforcing their interpretation as peripheral assemblages. At threshold 0.1, these sites gain edges but only to the weakest possible partners, which does not alter the substantive interpretation.</w:t>
      </w:r>
    </w:p>
    <w:p>
      <w:pPr>
        <w:pStyle w:val="BodyText"/>
      </w:pPr>
      <w:r>
        <w:t xml:space="preserve">Together, these results confirm that the threshold of 0.2 used in the main analysis is a defensible and representative choice. Readers wishing to reproduce the networks at alternative thresholds may do so by passing the desired value to the</w:t>
      </w:r>
      <w:r>
        <w:t xml:space="preserve"> </w:t>
      </w:r>
      <w:r>
        <w:rPr>
          <w:rStyle w:val="VerbatimChar"/>
        </w:rPr>
        <w:t xml:space="preserve">threshold</w:t>
      </w:r>
      <w:r>
        <w:t xml:space="preserve"> </w:t>
      </w:r>
      <w:r>
        <w:t xml:space="preserve">argument of the</w:t>
      </w:r>
      <w:r>
        <w:t xml:space="preserve"> </w:t>
      </w:r>
      <w:r>
        <w:rPr>
          <w:rStyle w:val="VerbatimChar"/>
        </w:rPr>
        <w:t xml:space="preserve">produce_clusters()</w:t>
      </w:r>
      <w:r>
        <w:t xml:space="preserve"> </w:t>
      </w:r>
      <w:r>
        <w:t xml:space="preserve">and</w:t>
      </w:r>
      <w:r>
        <w:t xml:space="preserve"> </w:t>
      </w:r>
      <w:r>
        <w:rPr>
          <w:rStyle w:val="VerbatimChar"/>
        </w:rPr>
        <w:t xml:space="preserve">network_stats()</w:t>
      </w:r>
      <w:r>
        <w:t xml:space="preserve"> </w:t>
      </w:r>
      <w:r>
        <w:t xml:space="preserve">functions in the analysis code.</w:t>
      </w:r>
    </w:p>
    <w:bookmarkEnd w:id="35"/>
    <w:bookmarkEnd w:id="36"/>
    <w:bookmarkStart w:id="44" w:name="sec-s2"/>
    <w:p>
      <w:pPr>
        <w:pStyle w:val="Heading1"/>
      </w:pPr>
      <w:r>
        <w:t xml:space="preserve">S2. Sensitivity to Similarity Metric Choice (Jaccard vs. Sørensen-Dice vs. Simpson)</w:t>
      </w:r>
    </w:p>
    <w:bookmarkStart w:id="42" w:name="s2.1-rationale"/>
    <w:p>
      <w:pPr>
        <w:pStyle w:val="Heading2"/>
      </w:pPr>
      <w:r>
        <w:t xml:space="preserve">S2.1 Rationale</w:t>
      </w:r>
    </w:p>
    <w:p>
      <w:pPr>
        <w:pStyle w:val="FirstParagraph"/>
      </w:pPr>
      <w:r>
        <w:t xml:space="preserve">In presence/absence assemblage data, different similarity formulations weight joint presences and richness differences (assemblage sample size) differently:</w:t>
      </w:r>
      <w:r>
        <w:t xml:space="preserve"> </w:t>
      </w:r>
      <w:r>
        <w:t xml:space="preserve">-</w:t>
      </w:r>
      <w:r>
        <w:t xml:space="preserve"> </w:t>
      </w:r>
      <w:r>
        <w:rPr>
          <w:bCs/>
          <w:b/>
        </w:rPr>
        <w:t xml:space="preserve">Jaccard Similarity:</w:t>
      </w:r>
      <w:r>
        <w:t xml:space="preserve"> </w:t>
      </w:r>
      <m:oMath>
        <m:r>
          <m:t>J</m:t>
        </m:r>
        <m:r>
          <m:rPr>
            <m:sty m:val="p"/>
          </m:rPr>
          <m:t>/</m:t>
        </m:r>
        <m:d>
          <m:dPr>
            <m:begChr m:val="("/>
            <m:endChr m:val=")"/>
            <m:sepChr m:val=""/>
            <m:grow/>
          </m:dPr>
          <m:e>
            <m:r>
              <m:t>A</m:t>
            </m:r>
            <m:r>
              <m:rPr>
                <m:sty m:val="p"/>
              </m:rPr>
              <m:t>+</m:t>
            </m:r>
            <m:r>
              <m:t>B</m:t>
            </m:r>
            <m:r>
              <m:rPr>
                <m:sty m:val="p"/>
              </m:rPr>
              <m:t>−</m:t>
            </m:r>
            <m:r>
              <m:t>J</m:t>
            </m:r>
          </m:e>
        </m:d>
      </m:oMath>
      <w:r>
        <w:t xml:space="preserve">, where</w:t>
      </w:r>
      <w:r>
        <w:t xml:space="preserve"> </w:t>
      </w:r>
      <m:oMath>
        <m:r>
          <m:t>J</m:t>
        </m:r>
      </m:oMath>
      <w:r>
        <w:t xml:space="preserve"> </w:t>
      </w:r>
      <w:r>
        <w:t xml:space="preserve">is shared sign types and</w:t>
      </w:r>
      <w:r>
        <w:t xml:space="preserve"> </w:t>
      </w:r>
      <m:oMath>
        <m:r>
          <m:t>A</m:t>
        </m:r>
        <m:r>
          <m:rPr>
            <m:sty m:val="p"/>
          </m:rPr>
          <m:t>,</m:t>
        </m:r>
        <m:r>
          <m:t>B</m:t>
        </m:r>
      </m:oMath>
      <w:r>
        <w:t xml:space="preserve"> </w:t>
      </w:r>
      <w:r>
        <w:t xml:space="preserve">are site sign counts.</w:t>
      </w:r>
      <w:r>
        <w:t xml:space="preserve"> </w:t>
      </w:r>
      <w:r>
        <w:t xml:space="preserve">-</w:t>
      </w:r>
      <w:r>
        <w:t xml:space="preserve"> </w:t>
      </w:r>
      <w:r>
        <w:rPr>
          <w:bCs/>
          <w:b/>
        </w:rPr>
        <w:t xml:space="preserve">Sørensen-Dice Similarity:</w:t>
      </w:r>
      <w:r>
        <w:t xml:space="preserve"> </w:t>
      </w:r>
      <m:oMath>
        <m:r>
          <m:t>2</m:t>
        </m:r>
        <m:r>
          <m:t>J</m:t>
        </m:r>
        <m:r>
          <m:rPr>
            <m:sty m:val="p"/>
          </m:rPr>
          <m:t>/</m:t>
        </m:r>
        <m:d>
          <m:dPr>
            <m:begChr m:val="("/>
            <m:endChr m:val=")"/>
            <m:sepChr m:val=""/>
            <m:grow/>
          </m:dPr>
          <m:e>
            <m:r>
              <m:t>A</m:t>
            </m:r>
            <m:r>
              <m:rPr>
                <m:sty m:val="p"/>
              </m:rPr>
              <m:t>+</m:t>
            </m:r>
            <m:r>
              <m:t>B</m:t>
            </m:r>
          </m:e>
        </m:d>
      </m:oMath>
      <w:r>
        <w:t xml:space="preserve">, which places double weight on shared presences.</w:t>
      </w:r>
      <w:r>
        <w:t xml:space="preserve"> </w:t>
      </w:r>
      <w:r>
        <w:t xml:space="preserve">-</w:t>
      </w:r>
      <w:r>
        <w:t xml:space="preserve"> </w:t>
      </w:r>
      <w:r>
        <w:rPr>
          <w:bCs/>
          <w:b/>
        </w:rPr>
        <w:t xml:space="preserve">Simpson Similarity:</w:t>
      </w:r>
      <w:r>
        <w:t xml:space="preserve"> </w:t>
      </w:r>
      <m:oMath>
        <m:r>
          <m:t>J</m:t>
        </m:r>
        <m:r>
          <m:rPr>
            <m:sty m:val="p"/>
          </m:rPr>
          <m:t>/</m:t>
        </m:r>
        <m:r>
          <m:rPr>
            <m:sty m:val="p"/>
          </m:rPr>
          <m:t>min</m:t>
        </m:r>
        <m:d>
          <m:dPr>
            <m:begChr m:val="("/>
            <m:endChr m:val=")"/>
            <m:sepChr m:val=""/>
            <m:grow/>
          </m:dPr>
          <m:e>
            <m:r>
              <m:t>A</m:t>
            </m:r>
            <m:r>
              <m:rPr>
                <m:sty m:val="p"/>
              </m:rPr>
              <m:t>,</m:t>
            </m:r>
            <m:r>
              <m:t>B</m:t>
            </m:r>
          </m:e>
        </m:d>
      </m:oMath>
      <w:r>
        <w:t xml:space="preserve">, which evaluates shared overlap relative to the smaller assemblage, rendering it insensitive to differences in sample size / richness between sites.</w:t>
      </w:r>
    </w:p>
    <w:p>
      <w:pPr>
        <w:pStyle w:val="BodyText"/>
      </w:pPr>
      <w:r>
        <w:t xml:space="preserve">To test whether the network topology is sensitive to the dissimilarity metric chosen, we compared network properties across all three metrics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37" w:name="tbl-metric-stats"/>
          <w:tbl>
            <w:tblPr>
              <w:tblStyle w:val="Table"/>
              <w:tblW w:type="pct" w:w="5000"/>
              <w:tblLook w:firstRow="1" w:lastRow="0" w:firstColumn="0" w:lastColumn="0" w:noHBand="0" w:noVBand="0" w:val="0020"/>
              <w:jc w:val="start"/>
              <w:tblLayout w:type="fixed"/>
            </w:tblPr>
            <w:tblGrid>
              <w:gridCol w:w="637"/>
              <w:gridCol w:w="819"/>
              <w:gridCol w:w="546"/>
              <w:gridCol w:w="728"/>
              <w:gridCol w:w="819"/>
              <w:gridCol w:w="1092"/>
              <w:gridCol w:w="1183"/>
              <w:gridCol w:w="1001"/>
              <w:gridCol w:w="1092"/>
            </w:tblGrid>
            <w:tr>
              <w:trPr>
                <w:tblHeader w:val="true"/>
              </w:trPr>
              <w:tc>
                <w:tcPr/>
                <w:p>
                  <w:pPr>
                    <w:pStyle w:val="Compact"/>
                    <w:jc w:val="left"/>
                    <w:jc w:val="center"/>
                  </w:pPr>
                  <w:r>
                    <w:t xml:space="preserve">Phase</w:t>
                  </w:r>
                </w:p>
              </w:tc>
              <w:tc>
                <w:tcPr/>
                <w:p>
                  <w:pPr>
                    <w:pStyle w:val="Compact"/>
                    <w:jc w:val="left"/>
                    <w:jc w:val="center"/>
                  </w:pPr>
                  <w:r>
                    <w:t xml:space="preserve">Metric</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left"/>
                    <w:jc w:val="center"/>
                  </w:pPr>
                  <w:r>
                    <w:t xml:space="preserve">jaccard</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jaccard</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sorensen</w:t>
                  </w:r>
                </w:p>
              </w:tc>
              <w:tc>
                <w:tcPr/>
                <w:p>
                  <w:pPr>
                    <w:pStyle w:val="Compact"/>
                    <w:jc w:val="right"/>
                    <w:jc w:val="center"/>
                  </w:pPr>
                  <w:r>
                    <w:t xml:space="preserve">113</w:t>
                  </w:r>
                </w:p>
              </w:tc>
              <w:tc>
                <w:tcPr/>
                <w:p>
                  <w:pPr>
                    <w:pStyle w:val="Compact"/>
                    <w:jc w:val="right"/>
                    <w:jc w:val="center"/>
                  </w:pPr>
                  <w:r>
                    <w:t xml:space="preserve">0.595</w:t>
                  </w:r>
                </w:p>
              </w:tc>
              <w:tc>
                <w:tcPr/>
                <w:p>
                  <w:pPr>
                    <w:pStyle w:val="Compact"/>
                    <w:jc w:val="right"/>
                    <w:jc w:val="center"/>
                  </w:pPr>
                  <w:r>
                    <w:t xml:space="preserve">1</w:t>
                  </w:r>
                </w:p>
              </w:tc>
              <w:tc>
                <w:tcPr/>
                <w:p>
                  <w:pPr>
                    <w:pStyle w:val="Compact"/>
                    <w:jc w:val="right"/>
                    <w:jc w:val="center"/>
                  </w:pPr>
                  <w:r>
                    <w:t xml:space="preserve">11.30</w:t>
                  </w:r>
                </w:p>
              </w:tc>
              <w:tc>
                <w:tcPr/>
                <w:p>
                  <w:pPr>
                    <w:pStyle w:val="Compact"/>
                    <w:jc w:val="right"/>
                    <w:jc w:val="center"/>
                  </w:pPr>
                  <w:r>
                    <w:t xml:space="preserve">0.798</w:t>
                  </w:r>
                </w:p>
              </w:tc>
              <w:tc>
                <w:tcPr/>
                <w:p>
                  <w:pPr>
                    <w:pStyle w:val="Compact"/>
                    <w:jc w:val="right"/>
                    <w:jc w:val="center"/>
                  </w:pPr>
                  <w:r>
                    <w:t xml:space="preserve">0.199</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sorensen</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0.058</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simpson</w:t>
                  </w:r>
                </w:p>
              </w:tc>
              <w:tc>
                <w:tcPr/>
                <w:p>
                  <w:pPr>
                    <w:pStyle w:val="Compact"/>
                    <w:jc w:val="right"/>
                    <w:jc w:val="center"/>
                  </w:pPr>
                  <w:r>
                    <w:t xml:space="preserve">148</w:t>
                  </w:r>
                </w:p>
              </w:tc>
              <w:tc>
                <w:tcPr/>
                <w:p>
                  <w:pPr>
                    <w:pStyle w:val="Compact"/>
                    <w:jc w:val="right"/>
                    <w:jc w:val="center"/>
                  </w:pPr>
                  <w:r>
                    <w:t xml:space="preserve">0.779</w:t>
                  </w:r>
                </w:p>
              </w:tc>
              <w:tc>
                <w:tcPr/>
                <w:p>
                  <w:pPr>
                    <w:pStyle w:val="Compact"/>
                    <w:jc w:val="right"/>
                    <w:jc w:val="center"/>
                  </w:pPr>
                  <w:r>
                    <w:t xml:space="preserve">0</w:t>
                  </w:r>
                </w:p>
              </w:tc>
              <w:tc>
                <w:tcPr/>
                <w:p>
                  <w:pPr>
                    <w:pStyle w:val="Compact"/>
                    <w:jc w:val="right"/>
                    <w:jc w:val="center"/>
                  </w:pPr>
                  <w:r>
                    <w:t xml:space="preserve">14.80</w:t>
                  </w:r>
                </w:p>
              </w:tc>
              <w:tc>
                <w:tcPr/>
                <w:p>
                  <w:pPr>
                    <w:pStyle w:val="Compact"/>
                    <w:jc w:val="right"/>
                    <w:jc w:val="center"/>
                  </w:pPr>
                  <w:r>
                    <w:t xml:space="preserve">0.921</w:t>
                  </w:r>
                </w:p>
              </w:tc>
              <w:tc>
                <w:tcPr/>
                <w:p>
                  <w:pPr>
                    <w:pStyle w:val="Compact"/>
                    <w:jc w:val="right"/>
                    <w:jc w:val="center"/>
                  </w:pPr>
                  <w:r>
                    <w:t xml:space="preserve">0.030</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simpson</w:t>
                  </w:r>
                </w:p>
              </w:tc>
              <w:tc>
                <w:tcPr/>
                <w:p>
                  <w:pPr>
                    <w:pStyle w:val="Compact"/>
                    <w:jc w:val="right"/>
                    <w:jc w:val="center"/>
                  </w:pPr>
                  <w:r>
                    <w:t xml:space="preserve">32</w:t>
                  </w:r>
                </w:p>
              </w:tc>
              <w:tc>
                <w:tcPr/>
                <w:p>
                  <w:pPr>
                    <w:pStyle w:val="Compact"/>
                    <w:jc w:val="right"/>
                    <w:jc w:val="center"/>
                  </w:pPr>
                  <w:r>
                    <w:t xml:space="preserve">0.889</w:t>
                  </w:r>
                </w:p>
              </w:tc>
              <w:tc>
                <w:tcPr/>
                <w:p>
                  <w:pPr>
                    <w:pStyle w:val="Compact"/>
                    <w:jc w:val="right"/>
                    <w:jc w:val="center"/>
                  </w:pPr>
                  <w:r>
                    <w:t xml:space="preserve">0</w:t>
                  </w:r>
                </w:p>
              </w:tc>
              <w:tc>
                <w:tcPr/>
                <w:p>
                  <w:pPr>
                    <w:pStyle w:val="Compact"/>
                    <w:jc w:val="right"/>
                    <w:jc w:val="center"/>
                  </w:pPr>
                  <w:r>
                    <w:t xml:space="preserve">7.11</w:t>
                  </w:r>
                </w:p>
              </w:tc>
              <w:tc>
                <w:tcPr/>
                <w:p>
                  <w:pPr>
                    <w:pStyle w:val="Compact"/>
                    <w:jc w:val="right"/>
                    <w:jc w:val="center"/>
                  </w:pPr>
                  <w:r>
                    <w:t xml:space="preserve">0.900</w:t>
                  </w:r>
                </w:p>
              </w:tc>
              <w:tc>
                <w:tcPr/>
                <w:p>
                  <w:pPr>
                    <w:pStyle w:val="Compact"/>
                    <w:jc w:val="right"/>
                    <w:jc w:val="center"/>
                  </w:pPr>
                  <w:r>
                    <w:t xml:space="preserve">0.024</w:t>
                  </w:r>
                </w:p>
              </w:tc>
              <w:tc>
                <w:tcPr/>
                <w:p>
                  <w:pPr>
                    <w:pStyle w:val="Compact"/>
                    <w:jc w:val="right"/>
                    <w:jc w:val="center"/>
                  </w:pPr>
                  <w:r>
                    <w:t xml:space="preserve">2</w:t>
                  </w:r>
                </w:p>
              </w:tc>
            </w:tr>
          </w:tbl>
          <w:p>
            <w:pPr>
              <w:jc w:val="center"/>
            </w:pPr>
            <w:pPr>
              <w:jc w:val="start"/>
              <w:spacing w:before="200"/>
              <w:pStyle w:val="ImageCaption"/>
            </w:pPr>
            <w:r>
              <w:t xml:space="preserve">Table 4: Network statistics for each Aurignacian phase across three similarity metrics (Jaccard, Sørensen-Dice, Simpson) at threshold = 0.2.</w:t>
            </w:r>
          </w:p>
          <w:bookmarkEnd w:id="37"/>
        </w:tc>
      </w:tr>
    </w:tbl>
    <w:tbl>
      <w:tblPr>
        <w:tblStyle w:val="Table"/>
        <w:tblW w:type="pct" w:w="5000"/>
        <w:tblLook w:firstRow="0" w:lastRow="0" w:firstColumn="0" w:lastColumn="0" w:noHBand="0" w:noVBand="0" w:val="0000"/>
        <w:jc w:val="start"/>
        <w:tblLayout w:type="fixed"/>
      </w:tblPr>
      <w:tblGrid>
        <w:gridCol w:w="7920"/>
      </w:tblGrid>
      <w:tr>
        <w:tc>
          <w:tcPr/>
          <w:bookmarkStart w:id="41" w:name="fig-metric-networks"/>
          <w:p>
            <w:pPr>
              <w:pStyle w:val="Compact"/>
              <w:jc w:val="center"/>
            </w:pPr>
            <w:r>
              <w:drawing>
                <wp:inline>
                  <wp:extent cx="5943600" cy="5403272"/>
                  <wp:effectExtent b="0" l="0" r="0" t="0"/>
                  <wp:docPr descr="" title="" id="39" name="Picture"/>
                  <a:graphic>
                    <a:graphicData uri="http://schemas.openxmlformats.org/drawingml/2006/picture">
                      <pic:pic>
                        <pic:nvPicPr>
                          <pic:cNvPr descr="../figures/sensitivity-metric-plot.png" id="40" name="Picture"/>
                          <pic:cNvPicPr>
                            <a:picLocks noChangeArrowheads="1" noChangeAspect="1"/>
                          </pic:cNvPicPr>
                        </pic:nvPicPr>
                        <pic:blipFill>
                          <a:blip r:embed="rId38"/>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Site networks for Aur-P1 (top) and Aur-P2 (bottom) under Jaccard (left), Sørensen-Dice (centre), and Simpson (right) similarity metrics at threshold = 0.2.</w:t>
            </w:r>
          </w:p>
          <w:bookmarkEnd w:id="41"/>
        </w:tc>
      </w:tr>
    </w:tbl>
    <w:bookmarkEnd w:id="42"/>
    <w:bookmarkStart w:id="43" w:name="s2.2-interpretation"/>
    <w:p>
      <w:pPr>
        <w:pStyle w:val="Heading2"/>
      </w:pPr>
      <w:r>
        <w:t xml:space="preserve">S2.2 Interpretation</w:t>
      </w:r>
    </w:p>
    <w:p>
      <w:pPr>
        <w:pStyle w:val="FirstParagraph"/>
      </w:pPr>
      <w:r>
        <w:t xml:space="preserve">Across all three metrics:</w:t>
      </w:r>
      <w:r>
        <w:t xml:space="preserve"> </w:t>
      </w:r>
      <w:r>
        <w:t xml:space="preserve">1.</w:t>
      </w:r>
      <w:r>
        <w:t xml:space="preserve"> </w:t>
      </w:r>
      <w:r>
        <w:rPr>
          <w:bCs/>
          <w:b/>
        </w:rPr>
        <w:t xml:space="preserve">Phase contrast:</w:t>
      </w:r>
      <w:r>
        <w:t xml:space="preserve"> </w:t>
      </w:r>
      <w:r>
        <w:t xml:space="preserve">Aur-P1 consistently produces the higher edge count and node degree, while Aur-P2 is sparser, consistent with its smaller sample.</w:t>
      </w:r>
      <w:r>
        <w:t xml:space="preserve"> </w:t>
      </w:r>
      <w:r>
        <w:t xml:space="preserve">2.</w:t>
      </w:r>
      <w:r>
        <w:t xml:space="preserve"> </w:t>
      </w:r>
      <w:r>
        <w:rPr>
          <w:bCs/>
          <w:b/>
        </w:rPr>
        <w:t xml:space="preserve">Sørensen vs. Jaccard:</w:t>
      </w:r>
      <w:r>
        <w:t xml:space="preserve"> </w:t>
      </w:r>
      <w:r>
        <w:t xml:space="preserve">Sørensen similarity yields higher edge counts (e.g. Aur-P1 113 vs. 75 for Jaccard) because double-weighting shared interest elevates similarity scores above the 0.2 threshold. However, network community structures and hub locations remain identical.</w:t>
      </w:r>
      <w:r>
        <w:t xml:space="preserve"> </w:t>
      </w:r>
      <w:r>
        <w:t xml:space="preserve">3.</w:t>
      </w:r>
      <w:r>
        <w:t xml:space="preserve"> </w:t>
      </w:r>
      <w:r>
        <w:rPr>
          <w:bCs/>
          <w:b/>
        </w:rPr>
        <w:t xml:space="preserve">Simpson Similarity:</w:t>
      </w:r>
      <w:r>
        <w:t xml:space="preserve"> </w:t>
      </w:r>
      <w:r>
        <w:t xml:space="preserve">Simpson similarity shows that the Aur-P1 connectivity is driven by genuine shared sign repertoires rather than sample-size asymmetry.</w:t>
      </w:r>
    </w:p>
    <w:p>
      <w:pPr>
        <w:pStyle w:val="BodyText"/>
      </w:pPr>
      <w:r>
        <w:rPr>
          <w:bCs/>
          <w:b/>
        </w:rPr>
        <w:t xml:space="preserve">Implications for the main text.</w:t>
      </w:r>
      <w:r>
        <w:t xml:space="preserve"> </w:t>
      </w:r>
      <w:r>
        <w:t xml:space="preserve">The metric comparison addresses the concern that Jaccard similarity , which weights joint absences and richness differences symmetrically , might produce different network structures than metrics that handle asymmetry differently. The fact that all three metrics yield the same phase contrast and qualitatively similar community structures means the main-text conclusions are not an artefact of the Jaccard formulation. Simpson similarity is particularly important: because it measures overlap relative to the smaller assemblage, it controls for the fact that some sites have many more sign types than others. The persistence of the connectivity contrast under Simpson confirms that Aur-P1’s higher mean degree (7.50 at the baseline threshold) reflects genuinely shared sign types, not a mechanical advantage from richer assemblages. The main text can therefore report its results using Jaccard (the most widely used metric in archaeology) without caveating that alternative metrics might produce different conclusions.</w:t>
      </w:r>
    </w:p>
    <w:bookmarkEnd w:id="43"/>
    <w:bookmarkEnd w:id="44"/>
    <w:bookmarkStart w:id="48" w:name="sec-s3"/>
    <w:p>
      <w:pPr>
        <w:pStyle w:val="Heading1"/>
      </w:pPr>
      <w:r>
        <w:t xml:space="preserve">S3. Geodesic vs. Euclidean Geographic Distance Verification (Mantel Tests)</w:t>
      </w:r>
    </w:p>
    <w:bookmarkStart w:id="46" w:name="s3.1-rationale"/>
    <w:p>
      <w:pPr>
        <w:pStyle w:val="Heading2"/>
      </w:pPr>
      <w:r>
        <w:t xml:space="preserve">S3.1 Rationale</w:t>
      </w:r>
    </w:p>
    <w:p>
      <w:pPr>
        <w:pStyle w:val="FirstParagraph"/>
      </w:pPr>
      <w:r>
        <w:t xml:space="preserve">In the main text, Mantel tests evaluate whether sign assemblage dissimilarity correlates with spatial distance. Computing geographic distance via flat degree coordinates (</w:t>
      </w:r>
      <w:r>
        <w:rPr>
          <w:rStyle w:val="VerbatimChar"/>
        </w:rPr>
        <w:t xml:space="preserve">dist(cbind(lon, lat))</w:t>
      </w:r>
      <w:r>
        <w:t xml:space="preserve">) introduces longitudinal distortion across European latitudes. Here we re-evaluate all Mantel tests using true</w:t>
      </w:r>
      <w:r>
        <w:t xml:space="preserve"> </w:t>
      </w:r>
      <w:r>
        <w:rPr>
          <w:bCs/>
          <w:b/>
        </w:rPr>
        <w:t xml:space="preserve">geodesic distance in kilometers</w:t>
      </w:r>
      <w:r>
        <w:t xml:space="preserve"> </w:t>
      </w:r>
      <w:r>
        <w:t xml:space="preserve">computed via</w:t>
      </w:r>
      <w:r>
        <w:t xml:space="preserve"> </w:t>
      </w:r>
      <w:r>
        <w:rPr>
          <w:rStyle w:val="VerbatimChar"/>
        </w:rPr>
        <w:t xml:space="preserve">sf::st_distance()</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45" w:name="tbl-geodesic-mantel"/>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Euclidean R</w:t>
                  </w:r>
                </w:p>
              </w:tc>
              <w:tc>
                <w:tcPr/>
                <w:p>
                  <w:pPr>
                    <w:pStyle w:val="Compact"/>
                    <w:jc w:val="right"/>
                    <w:jc w:val="center"/>
                  </w:pPr>
                  <w:r>
                    <w:t xml:space="preserve">Euclidean p</w:t>
                  </w:r>
                </w:p>
              </w:tc>
              <w:tc>
                <w:tcPr/>
                <w:p>
                  <w:pPr>
                    <w:pStyle w:val="Compact"/>
                    <w:jc w:val="right"/>
                    <w:jc w:val="center"/>
                  </w:pPr>
                  <w:r>
                    <w:t xml:space="preserve">Geodesic R (km)</w:t>
                  </w:r>
                </w:p>
              </w:tc>
              <w:tc>
                <w:tcPr/>
                <w:p>
                  <w:pPr>
                    <w:pStyle w:val="Compact"/>
                    <w:jc w:val="right"/>
                    <w:jc w:val="center"/>
                  </w:pPr>
                  <w:r>
                    <w:t xml:space="preserve">Geodesic p (km)</w:t>
                  </w:r>
                </w:p>
              </w:tc>
            </w:tr>
            <w:tr>
              <w:tc>
                <w:tcPr/>
                <w:p>
                  <w:pPr>
                    <w:pStyle w:val="Compact"/>
                    <w:jc w:val="left"/>
                    <w:jc w:val="center"/>
                  </w:pPr>
                  <w:r>
                    <w:t xml:space="preserve">Aur-P1</w:t>
                  </w:r>
                </w:p>
              </w:tc>
              <w:tc>
                <w:tcPr/>
                <w:p>
                  <w:pPr>
                    <w:pStyle w:val="Compact"/>
                    <w:jc w:val="right"/>
                    <w:jc w:val="center"/>
                  </w:pPr>
                  <w:r>
                    <w:t xml:space="preserve">0.026</w:t>
                  </w:r>
                </w:p>
              </w:tc>
              <w:tc>
                <w:tcPr/>
                <w:p>
                  <w:pPr>
                    <w:pStyle w:val="Compact"/>
                    <w:jc w:val="right"/>
                    <w:jc w:val="center"/>
                  </w:pPr>
                  <w:r>
                    <w:t xml:space="preserve">0.371</w:t>
                  </w:r>
                </w:p>
              </w:tc>
              <w:tc>
                <w:tcPr/>
                <w:p>
                  <w:pPr>
                    <w:pStyle w:val="Compact"/>
                    <w:jc w:val="right"/>
                    <w:jc w:val="center"/>
                  </w:pPr>
                  <w:r>
                    <w:t xml:space="preserve">0.046</w:t>
                  </w:r>
                </w:p>
              </w:tc>
              <w:tc>
                <w:tcPr/>
                <w:p>
                  <w:pPr>
                    <w:pStyle w:val="Compact"/>
                    <w:jc w:val="right"/>
                    <w:jc w:val="center"/>
                  </w:pPr>
                  <w:r>
                    <w:t xml:space="preserve">0.301</w:t>
                  </w:r>
                </w:p>
              </w:tc>
            </w:tr>
            <w:tr>
              <w:tc>
                <w:tcPr/>
                <w:p>
                  <w:pPr>
                    <w:pStyle w:val="Compact"/>
                    <w:jc w:val="left"/>
                    <w:jc w:val="center"/>
                  </w:pPr>
                  <w:r>
                    <w:t xml:space="preserve">Aur-P2</w:t>
                  </w:r>
                </w:p>
              </w:tc>
              <w:tc>
                <w:tcPr/>
                <w:p>
                  <w:pPr>
                    <w:pStyle w:val="Compact"/>
                    <w:jc w:val="right"/>
                    <w:jc w:val="center"/>
                  </w:pPr>
                  <w:r>
                    <w:t xml:space="preserve">-0.294</w:t>
                  </w:r>
                </w:p>
              </w:tc>
              <w:tc>
                <w:tcPr/>
                <w:p>
                  <w:pPr>
                    <w:pStyle w:val="Compact"/>
                    <w:jc w:val="right"/>
                    <w:jc w:val="center"/>
                  </w:pPr>
                  <w:r>
                    <w:t xml:space="preserve">0.965</w:t>
                  </w:r>
                </w:p>
              </w:tc>
              <w:tc>
                <w:tcPr/>
                <w:p>
                  <w:pPr>
                    <w:pStyle w:val="Compact"/>
                    <w:jc w:val="right"/>
                    <w:jc w:val="center"/>
                  </w:pPr>
                  <w:r>
                    <w:t xml:space="preserve">-0.299</w:t>
                  </w:r>
                </w:p>
              </w:tc>
              <w:tc>
                <w:tcPr/>
                <w:p>
                  <w:pPr>
                    <w:pStyle w:val="Compact"/>
                    <w:jc w:val="right"/>
                    <w:jc w:val="center"/>
                  </w:pPr>
                  <w:r>
                    <w:t xml:space="preserve">0.967</w:t>
                  </w:r>
                </w:p>
              </w:tc>
            </w:tr>
          </w:tbl>
          <w:p>
            <w:pPr>
              <w:jc w:val="center"/>
            </w:pPr>
            <w:pPr>
              <w:jc w:val="start"/>
              <w:spacing w:before="200"/>
              <w:pStyle w:val="ImageCaption"/>
            </w:pPr>
            <w:r>
              <w:t xml:space="preserve">Table 5: Comparison of Mantel test results (Mantel R and p-value) evaluating sign assemblage dissimilarity vs. spatial distance using flat coordinate Euclidean distance vs. true Geodesic distance (in kilometers).</w:t>
            </w:r>
          </w:p>
          <w:bookmarkEnd w:id="45"/>
        </w:tc>
      </w:tr>
    </w:tbl>
    <w:bookmarkEnd w:id="46"/>
    <w:bookmarkStart w:id="47" w:name="s3.2-interpretation"/>
    <w:p>
      <w:pPr>
        <w:pStyle w:val="Heading2"/>
      </w:pPr>
      <w:r>
        <w:t xml:space="preserve">S3.2 Interpretation</w:t>
      </w:r>
    </w:p>
    <w:p>
      <w:pPr>
        <w:pStyle w:val="FirstParagraph"/>
      </w:pPr>
      <w:r>
        <w:t xml:space="preserve">The geodesic distance calculation provides an important clarification:</w:t>
      </w:r>
      <w:r>
        <w:t xml:space="preserve"> </w:t>
      </w:r>
      <w:r>
        <w:t xml:space="preserve">- In</w:t>
      </w:r>
      <w:r>
        <w:t xml:space="preserve"> </w:t>
      </w:r>
      <w:r>
        <w:rPr>
          <w:bCs/>
          <w:b/>
        </w:rPr>
        <w:t xml:space="preserve">Aur-P1</w:t>
      </w:r>
      <w:r>
        <w:t xml:space="preserve"> </w:t>
      </w:r>
      <w:r>
        <w:t xml:space="preserve">(</w:t>
      </w:r>
      <m:oMath>
        <m:r>
          <m:t>R</m:t>
        </m:r>
      </m:oMath>
      <w:r>
        <w:t xml:space="preserve"> </w:t>
      </w:r>
      <w:r>
        <w:t xml:space="preserve">= 0.046, p = 0.301), geographic distance remains uncorrelated with sign assemblage dissimilarity under both metrics.</w:t>
      </w:r>
      <w:r>
        <w:t xml:space="preserve"> </w:t>
      </w:r>
      <w:r>
        <w:t xml:space="preserve">- In</w:t>
      </w:r>
      <w:r>
        <w:t xml:space="preserve"> </w:t>
      </w:r>
      <w:r>
        <w:rPr>
          <w:bCs/>
          <w:b/>
        </w:rPr>
        <w:t xml:space="preserve">Aur-P2</w:t>
      </w:r>
      <w:r>
        <w:t xml:space="preserve"> </w:t>
      </w:r>
      <w:r>
        <w:t xml:space="preserve">(</w:t>
      </w:r>
      <m:oMath>
        <m:r>
          <m:t>R</m:t>
        </m:r>
      </m:oMath>
      <w:r>
        <w:t xml:space="preserve"> </w:t>
      </w:r>
      <w:r>
        <w:t xml:space="preserve">= -0.299, p = 0.967), the same non-significant result holds under both metrics.</w:t>
      </w:r>
    </w:p>
    <w:p>
      <w:pPr>
        <w:pStyle w:val="BodyText"/>
      </w:pPr>
      <w:r>
        <w:t xml:space="preserve">Consistent with the main-text Mantel tests (which report no significant geographic signal in either phase), neither phase shows a significant correlation between geographic distance and sign assemblage dissimilarity, whether distance is measured as flat Euclidean coordinates or as true geodesic kilometers.</w:t>
      </w:r>
    </w:p>
    <w:bookmarkEnd w:id="47"/>
    <w:bookmarkEnd w:id="48"/>
    <w:bookmarkStart w:id="55" w:name="sec-s4"/>
    <w:p>
      <w:pPr>
        <w:pStyle w:val="Heading1"/>
      </w:pPr>
      <w:r>
        <w:t xml:space="preserve">S4. Periodisation Scheme Sensitivity</w:t>
      </w:r>
    </w:p>
    <w:bookmarkStart w:id="51" w:name="s4.1-rationale"/>
    <w:p>
      <w:pPr>
        <w:pStyle w:val="Heading2"/>
      </w:pPr>
      <w:r>
        <w:t xml:space="preserve">S4.1 Rationale</w:t>
      </w:r>
    </w:p>
    <w:p>
      <w:pPr>
        <w:pStyle w:val="FirstParagraph"/>
      </w:pPr>
      <w:r>
        <w:t xml:space="preserve">The main analysis adopts the two-phase Aur-P1/Aur-P2 framework of</w:t>
      </w:r>
      <w:r>
        <w:t xml:space="preserve"> </w:t>
      </w:r>
      <w:r>
        <w:t xml:space="preserve">[1]</w:t>
      </w:r>
      <w:r>
        <w:t xml:space="preserve">, which merges the Proto- and Early Aurignacian into a single early phase (Aur-P1, 43–37 ka BP) and treats the Evolved/Late Aurignacian as a single late phase (Aur-P2, 37–32 ka BP), with site membership assigned on technological grounds (S8). Because this scheme is coarser than the classic three-phase periodisation of Western European archaeology, this section tests whether the two-phase results are robust to how the sequence is subdivided. We decompose the two-phase baseline into its technology-assigned components , the relict Proto-Aurignacian, the Early Aurignacian, and the Evolved Aurignacian (Aur-P2) , and additionally split the Evolved Aurignacian into Evolved and Late sub-phases following the four-phase taxonomy of</w:t>
      </w:r>
      <w:r>
        <w:t xml:space="preserve"> </w:t>
      </w:r>
      <w:r>
        <w:t xml:space="preserve">[2]</w:t>
      </w:r>
      <w:r>
        <w:t xml:space="preserve">, with the Evolved–Late boundary at 35 ka BP calibrated. All schemes are evaluated at the main-text threshold of 0.2 using Jaccard similarity.</w:t>
      </w:r>
    </w:p>
    <w:tbl>
      <w:tblPr>
        <w:tblStyle w:val="Table"/>
        <w:tblW w:type="pct" w:w="5000"/>
        <w:tblLook w:firstRow="0" w:lastRow="0" w:firstColumn="0" w:lastColumn="0" w:noHBand="0" w:noVBand="0" w:val="0000"/>
        <w:jc w:val="start"/>
        <w:tblLayout w:type="fixed"/>
      </w:tblPr>
      <w:tblGrid>
        <w:gridCol w:w="7920"/>
      </w:tblGrid>
      <w:tr>
        <w:tc>
          <w:tcPr/>
          <w:bookmarkStart w:id="49" w:name="tbl-two-phase-ref"/>
          <w:tbl>
            <w:tblPr>
              <w:tblStyle w:val="Table"/>
              <w:tblW w:type="pct" w:w="5000"/>
              <w:tblLook w:firstRow="1" w:lastRow="0" w:firstColumn="0" w:lastColumn="0" w:noHBand="0" w:noVBand="0" w:val="0020"/>
              <w:jc w:val="start"/>
              <w:tblLayout w:type="fixed"/>
            </w:tblPr>
            <w:tblGrid>
              <w:gridCol w:w="2305"/>
              <w:gridCol w:w="601"/>
              <w:gridCol w:w="601"/>
              <w:gridCol w:w="802"/>
              <w:gridCol w:w="1203"/>
              <w:gridCol w:w="1303"/>
              <w:gridCol w:w="1102"/>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Aur-P1 (Proto + Early)</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r>
            <w:tr>
              <w:tc>
                <w:tcPr/>
                <w:p>
                  <w:pPr>
                    <w:pStyle w:val="Compact"/>
                    <w:jc w:val="left"/>
                    <w:jc w:val="center"/>
                  </w:pPr>
                  <w:r>
                    <w:t xml:space="preserve">Aur-P2 (Evolved)</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6: Reference: network statistics under the two-phase periodisation used in the main text (threshold = 0.2). Aur-P1 = Proto + Early; Aur-P2 = Evolved.</w:t>
            </w:r>
          </w:p>
          <w:bookmarkEnd w:id="49"/>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50" w:name="tbl-three-phase-tech"/>
          <w:tbl>
            <w:tblPr>
              <w:tblStyle w:val="Table"/>
              <w:tblW w:type="pct" w:w="5000"/>
              <w:tblLook w:firstRow="1" w:lastRow="0" w:firstColumn="0" w:lastColumn="0" w:noHBand="0" w:noVBand="0" w:val="0020"/>
              <w:jc w:val="start"/>
              <w:tblLayout w:type="fixed"/>
            </w:tblPr>
            <w:tblGrid>
              <w:gridCol w:w="2702"/>
              <w:gridCol w:w="559"/>
              <w:gridCol w:w="559"/>
              <w:gridCol w:w="745"/>
              <w:gridCol w:w="1118"/>
              <w:gridCol w:w="1211"/>
              <w:gridCol w:w="1024"/>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7: Network statistics for the technology-assigned components of the two-phase baseline (Proto-Aurignacian, Early Aurignacian, Evolved Aurignacian) at threshold = 0.2. Aur-P1 = Proto + Early; Aur-P2 = Evolved.</w:t>
            </w:r>
          </w:p>
          <w:bookmarkEnd w:id="50"/>
        </w:tc>
      </w:tr>
    </w:tbl>
    <w:bookmarkEnd w:id="51"/>
    <w:bookmarkStart w:id="54" w:name="s4.2-interpretation"/>
    <w:p>
      <w:pPr>
        <w:pStyle w:val="Heading2"/>
      </w:pPr>
      <w:r>
        <w:t xml:space="preserve">S4.2 Interpretation</w:t>
      </w:r>
    </w:p>
    <w:p>
      <w:pPr>
        <w:pStyle w:val="FirstParagraph"/>
      </w:pPr>
      <w:r>
        <w:t xml:space="preserve">The two-phase, three-phase, and four-phase periodisations yield consistent conclusions about the broad structure of Aurignacian social connectivity, while clarifying which components carry the two-phase results.</w:t>
      </w:r>
    </w:p>
    <w:p>
      <w:pPr>
        <w:pStyle w:val="BodyText"/>
      </w:pPr>
      <w:r>
        <w:rPr>
          <w:bCs/>
          <w:b/>
        </w:rPr>
        <w:t xml:space="preserve">Aur-P1’s connectivity advantage is carried by its technology-assigned Early component.</w:t>
      </w:r>
      <w:r>
        <w:t xml:space="preserve"> </w:t>
      </w:r>
      <w:r>
        <w:t xml:space="preserve">Decomposing the two-phase baseline into its technology-assigned components shows that the Early Aurignacian (mean degree = 5.38, 35 edges across 13 sites) is the most connected component, exceeding even Aur-P2 (4.22, 19 edges). The relict Proto-Aurignacian , the component that survives after technology-based reassignment moved the well-sampled Swabian and Périgord sites to the Early Aurignacian (S8) , is the least connected of the three (mean degree 2.57 across 7 sites and 9 edges). This decomposition confirms the reframing that motivates the two-phase scheme: the reclassified Proto sample is too small and too weakly connected to support its own network-level claims, so the</w:t>
      </w:r>
      <w:r>
        <w:t xml:space="preserve"> </w:t>
      </w:r>
      <w:r>
        <w:t xml:space="preserve">“</w:t>
      </w:r>
      <w:r>
        <w:t xml:space="preserve">densest Proto-Aurignacian</w:t>
      </w:r>
      <w:r>
        <w:t xml:space="preserve">”</w:t>
      </w:r>
      <w:r>
        <w:t xml:space="preserve"> </w:t>
      </w:r>
      <w:r>
        <w:t xml:space="preserve">reading of earlier analyses is abandoned. The merged Aur-P1 mean degree (7.50) is driven by the Early component, not by a spurious average of two strong phases.</w:t>
      </w:r>
    </w:p>
    <w:p>
      <w:pPr>
        <w:pStyle w:val="BodyText"/>
      </w:pPr>
      <w:r>
        <w:rPr>
          <w:bCs/>
          <w:b/>
        </w:rPr>
        <w:t xml:space="preserve">The early/late contrast is not an artefact of merging.</w:t>
      </w:r>
      <w:r>
        <w:t xml:space="preserve"> </w:t>
      </w:r>
      <w:r>
        <w:t xml:space="preserve">Even without the Proto component, the Early Aurignacian alone (mean degree 5.38) exceeds Aur-P2 (4.22), so the two-phase Aur-P1 &gt; Aur-P2 result does not depend on the Proto/Early boundary being drawn one way or the other. The connectivity gap between the early and late Aurignacian persists whether the early sequence is analysed as a single phase or as its separate Proto and Early components.</w:t>
      </w:r>
    </w:p>
    <w:p>
      <w:pPr>
        <w:pStyle w:val="BodyText"/>
      </w:pPr>
      <w:r>
        <w:rPr>
          <w:bCs/>
          <w:b/>
        </w:rPr>
        <w:t xml:space="preserve">Community structure is consistent with the two-phase scheme.</w:t>
      </w:r>
      <w:r>
        <w:t xml:space="preserve"> </w:t>
      </w:r>
      <w:r>
        <w:t xml:space="preserve">Modularity is highest in the Early component (0.307), moderate in the Evolved (0.161), and weakest in the relict Proto (0.108). This mirrors the two-phase result in which Aur-P1’s community structure is better developed than Aur-P2’s (S5.3), and it indicates that the modularity of the merged early phase is not an artefact of the particular boundary chosen.</w:t>
      </w:r>
    </w:p>
    <w:tbl>
      <w:tblPr>
        <w:tblStyle w:val="Table"/>
        <w:tblW w:type="pct" w:w="5000"/>
        <w:tblLook w:firstRow="0" w:lastRow="0" w:firstColumn="0" w:lastColumn="0" w:noHBand="0" w:noVBand="0" w:val="0000"/>
        <w:jc w:val="start"/>
        <w:tblLayout w:type="fixed"/>
      </w:tblPr>
      <w:tblGrid>
        <w:gridCol w:w="7920"/>
      </w:tblGrid>
      <w:tr>
        <w:tc>
          <w:tcPr/>
          <w:bookmarkStart w:id="52" w:name="tbl-four-phase-periodisation"/>
          <w:tbl>
            <w:tblPr>
              <w:tblStyle w:val="Table"/>
              <w:tblW w:type="pct" w:w="5000"/>
              <w:tblLook w:firstRow="1" w:lastRow="0" w:firstColumn="0" w:lastColumn="0" w:noHBand="0" w:noVBand="0" w:val="0020"/>
              <w:jc w:val="start"/>
              <w:tblLayout w:type="fixed"/>
            </w:tblPr>
            <w:tblGrid>
              <w:gridCol w:w="3099"/>
              <w:gridCol w:w="516"/>
              <w:gridCol w:w="516"/>
              <w:gridCol w:w="688"/>
              <w:gridCol w:w="1033"/>
              <w:gridCol w:w="1119"/>
              <w:gridCol w:w="946"/>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(37.8-35 ka BP)</w:t>
                  </w:r>
                </w:p>
              </w:tc>
              <w:tc>
                <w:tcPr/>
                <w:p>
                  <w:pPr>
                    <w:pStyle w:val="Compact"/>
                    <w:jc w:val="right"/>
                    <w:jc w:val="center"/>
                  </w:pPr>
                  <w:r>
                    <w:t xml:space="preserve">7</w:t>
                  </w:r>
                </w:p>
              </w:tc>
              <w:tc>
                <w:tcPr/>
                <w:p>
                  <w:pPr>
                    <w:pStyle w:val="Compact"/>
                    <w:jc w:val="right"/>
                    <w:jc w:val="center"/>
                  </w:pPr>
                  <w:r>
                    <w:t xml:space="preserve">13</w:t>
                  </w:r>
                </w:p>
              </w:tc>
              <w:tc>
                <w:tcPr/>
                <w:p>
                  <w:pPr>
                    <w:pStyle w:val="Compact"/>
                    <w:jc w:val="right"/>
                    <w:jc w:val="center"/>
                  </w:pPr>
                  <w:r>
                    <w:t xml:space="preserve">0.619</w:t>
                  </w:r>
                </w:p>
              </w:tc>
              <w:tc>
                <w:tcPr/>
                <w:p>
                  <w:pPr>
                    <w:pStyle w:val="Compact"/>
                    <w:jc w:val="right"/>
                    <w:jc w:val="center"/>
                  </w:pPr>
                  <w:r>
                    <w:t xml:space="preserve">3.71</w:t>
                  </w:r>
                </w:p>
              </w:tc>
              <w:tc>
                <w:tcPr/>
                <w:p>
                  <w:pPr>
                    <w:pStyle w:val="Compact"/>
                    <w:jc w:val="right"/>
                    <w:jc w:val="center"/>
                  </w:pPr>
                  <w:r>
                    <w:t xml:space="preserve">0.659</w:t>
                  </w:r>
                </w:p>
              </w:tc>
              <w:tc>
                <w:tcPr/>
                <w:p>
                  <w:pPr>
                    <w:pStyle w:val="Compact"/>
                    <w:jc w:val="right"/>
                    <w:jc w:val="center"/>
                  </w:pPr>
                  <w:r>
                    <w:t xml:space="preserve">0.128</w:t>
                  </w:r>
                </w:p>
              </w:tc>
            </w:tr>
            <w:tr>
              <w:tc>
                <w:tcPr/>
                <w:p>
                  <w:pPr>
                    <w:pStyle w:val="Compact"/>
                    <w:jc w:val="left"/>
                    <w:jc w:val="center"/>
                  </w:pPr>
                  <w:r>
                    <w:t xml:space="preserve">Late Aurignacian (35-32 ka BP)</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0.000</w:t>
                  </w:r>
                </w:p>
              </w:tc>
              <w:tc>
                <w:tcPr/>
                <w:p>
                  <w:pPr>
                    <w:pStyle w:val="Compact"/>
                    <w:jc w:val="right"/>
                    <w:jc w:val="center"/>
                  </w:pPr>
                  <w:r>
                    <w:t xml:space="preserve">0.00</w:t>
                  </w:r>
                </w:p>
              </w:tc>
              <w:tc>
                <w:tcPr/>
                <w:p>
                  <w:pPr>
                    <w:pStyle w:val="Compact"/>
                    <w:jc w:val="right"/>
                    <w:jc w:val="center"/>
                  </w:pPr>
                  <w:r>
                    <w:t xml:space="preserve">NaN</w:t>
                  </w:r>
                </w:p>
              </w:tc>
              <w:tc>
                <w:tcPr/>
                <w:p>
                  <w:pPr>
                    <w:pStyle w:val="Compact"/>
                    <w:jc w:val="right"/>
                    <w:jc w:val="center"/>
                  </w:pPr>
                  <w:r>
                    <w:t xml:space="preserve">NaN</w:t>
                  </w:r>
                </w:p>
              </w:tc>
            </w:tr>
          </w:tbl>
          <w:p>
            <w:pPr>
              <w:jc w:val="center"/>
            </w:pPr>
            <w:pPr>
              <w:jc w:val="start"/>
              <w:spacing w:before="200"/>
              <w:pStyle w:val="ImageCaption"/>
            </w:pPr>
            <w:r>
              <w:t xml:space="preserve">Table 8: Network statistics under the four-phase periodisation (Proto, Early, Evolved, Late Aurignacian) at threshold = 0.2. The Evolved/Late split of Aur-P2 follows the four-phase Aurignacian taxonomy of</w:t>
            </w:r>
            <w:r>
              <w:t xml:space="preserve"> </w:t>
            </w:r>
            <w:r>
              <w:t xml:space="preserve">[2]</w:t>
            </w:r>
            <w:r>
              <w:t xml:space="preserve">, with the boundary at 35 ka BP calibrated.</w:t>
            </w:r>
          </w:p>
          <w:bookmarkEnd w:id="52"/>
        </w:tc>
      </w:tr>
    </w:tbl>
    <w:bookmarkStart w:id="53" w:name="four-phase-interpretation"/>
    <w:p>
      <w:pPr>
        <w:pStyle w:val="Heading3"/>
      </w:pPr>
      <w:r>
        <w:t xml:space="preserve">Four-phase interpretation</w:t>
      </w:r>
    </w:p>
    <w:p>
      <w:pPr>
        <w:pStyle w:val="FirstParagraph"/>
      </w:pPr>
      <w:r>
        <w:t xml:space="preserve">The four-phase Aurignacian taxonomy of</w:t>
      </w:r>
      <w:r>
        <w:t xml:space="preserve"> </w:t>
      </w:r>
      <w:r>
        <w:t xml:space="preserve">[2]</w:t>
      </w:r>
      <w:r>
        <w:t xml:space="preserve"> </w:t>
      </w:r>
      <w:r>
        <w:t xml:space="preserve">distinguishes Proto, Early (Aurignacian I), Evolved (Aurignacian II), and Late (Aurignacian III-IV) phases. The Early–Evolved transition has been dated to 37.0–36.5 ka BP, and the Late Aurignacian is associated with the terminal phase of the technocomplex before the onset of the Gravettian. Splitting the Evolved Aurignacian (Aur-P2) at 35 ka BP into Evolved and Late sub-phases tests whether Aur-P2’s connectivity is internally differentiated. The Evolved Aurignacian (37.8–35 ka BP) retains moderate connectivity with 13 edges and a mean degree of 3.71 across 7 sites, while the Late Aurignacian (35–32 ka BP) is severely data-limited: with only 2 sites and no edges at threshold 0.2, its network statistics (mean degree 0, modularity undefined) are unreliable. The near-absence of connectivity in the Late Aurignacian is consistent with the weaker, less resolved structure of Aur-P2 reported in the main text, but the sample is too small to determine whether the Evolved–Late transition represents a step-down or a continuation of an already low level. The two-phase scheme remains the most informative for the main analysis, as it avoids fragmenting Aur-P2 into sub-phases whose small sample sizes preclude robust statistical inference.</w:t>
      </w:r>
    </w:p>
    <w:bookmarkEnd w:id="53"/>
    <w:bookmarkEnd w:id="54"/>
    <w:bookmarkEnd w:id="55"/>
    <w:bookmarkStart w:id="104" w:name="sec-s5"/>
    <w:p>
      <w:pPr>
        <w:pStyle w:val="Heading1"/>
      </w:pPr>
      <w:r>
        <w:t xml:space="preserve">S5. Automated Group Recovery as a Circularity Check</w:t>
      </w:r>
    </w:p>
    <w:p>
      <w:pPr>
        <w:pStyle w:val="FirstParagraph"/>
      </w:pPr>
      <w:r>
        <w:t xml:space="preserve">The sensitivity analyses in S1–S4 treat the network threshold, similarity metric, geographic distance computation, and periodisation scheme as uncertain parameters and show that the conclusions are robust across their plausible ranges. However, one structural issue has not been tested: the restricted-range and broader-range site groups used in the seriation and PerMANOVA analyses are manually assigned via a</w:t>
      </w:r>
      <w:r>
        <w:t xml:space="preserve"> </w:t>
      </w:r>
      <w:r>
        <w:rPr>
          <w:rStyle w:val="VerbatimChar"/>
        </w:rPr>
        <w:t xml:space="preserve">case_when()</w:t>
      </w:r>
      <w:r>
        <w:t xml:space="preserve"> </w:t>
      </w:r>
      <w:r>
        <w:t xml:space="preserve">statement in the data-cleaning pipeline. Because these groups were derived from visual inspection of the same data that the seriation is asked to</w:t>
      </w:r>
      <w:r>
        <w:t xml:space="preserve"> </w:t>
      </w:r>
      <w:r>
        <w:t xml:space="preserve">“</w:t>
      </w:r>
      <w:r>
        <w:t xml:space="preserve">discover,</w:t>
      </w:r>
      <w:r>
        <w:t xml:space="preserve">”</w:t>
      </w:r>
      <w:r>
        <w:t xml:space="preserve"> </w:t>
      </w:r>
      <w:r>
        <w:t xml:space="preserve">the procedure is circular: the analysis cannot fail to confirm a structure that was imported by the analyst. This section examines that circularity by deriving group memberships automatically from the data using unsupervised community detection. Because Louvain, bootstrap, and stochastic block models all operate on the same underlying sign-composition data as the manual assignment, they are useful descriptive checks on the stability and data-drivenness of the partition, but they do not by themselves remove the circularity; genuine independent validation is provided separately in</w:t>
      </w:r>
      <w:r>
        <w:t xml:space="preserve"> </w:t>
      </w:r>
      <w:hyperlink w:anchor="sec-s6-6">
        <w:r>
          <w:rPr>
            <w:rStyle w:val="Hyperlink"/>
          </w:rPr>
          <w:t xml:space="preserve">Section 8</w:t>
        </w:r>
      </w:hyperlink>
      <w:r>
        <w:t xml:space="preserve">.</w:t>
      </w:r>
    </w:p>
    <w:bookmarkStart w:id="60" w:name="sec-s5-1"/>
    <w:p>
      <w:pPr>
        <w:pStyle w:val="Heading2"/>
      </w:pPr>
      <w:r>
        <w:t xml:space="preserve">S5.1 Algorithmic Group Detection via Louvain Community Partitioning</w:t>
      </w:r>
    </w:p>
    <w:bookmarkStart w:id="59" w:name="rationale-2"/>
    <w:p>
      <w:pPr>
        <w:pStyle w:val="Heading3"/>
      </w:pPr>
      <w:r>
        <w:t xml:space="preserve">Rationale</w:t>
      </w:r>
    </w:p>
    <w:p>
      <w:pPr>
        <w:pStyle w:val="FirstParagraph"/>
      </w:pPr>
      <w:r>
        <w:t xml:space="preserve">Rather than relying on author-constructed group assignments, we use Louvain community detection on Jaccard similarity networks to partition sites into groups from the sign data, without any human assignment. The Louvain algorithm</w:t>
      </w:r>
      <w:r>
        <w:t xml:space="preserve"> </w:t>
      </w:r>
      <w:r>
        <w:t xml:space="preserve">[3]</w:t>
      </w:r>
      <w:r>
        <w:t xml:space="preserve"> </w:t>
      </w:r>
      <w:r>
        <w:t xml:space="preserve">identifies clusters of sites whose sign repertoires are more similar to each other than to sites in other clusters, optimising Newman–Girvan modularity</w:t>
      </w:r>
      <w:r>
        <w:t xml:space="preserve"> </w:t>
      </w:r>
      <w:r>
        <w:t xml:space="preserve">[4]</w:t>
      </w:r>
      <w:r>
        <w:t xml:space="preserve">. By comparing these data-driven communities to the ones used in the main analysis, we quantify how much of the two-group structure is reproduced by data-driven methods.</w:t>
      </w:r>
    </w:p>
    <w:p>
      <w:pPr>
        <w:pStyle w:val="BodyText"/>
      </w:pPr>
      <w:r>
        <w:t xml:space="preserve">We run Louvain detection for each phase at each of the three thresholds (0.1, 0.2, 0.3), using the Jaccard similarity metric of the main text. For each partition we compute two measures:</w:t>
      </w:r>
    </w:p>
    <w:p>
      <w:pPr>
        <w:numPr>
          <w:ilvl w:val="0"/>
          <w:numId w:val="1001"/>
        </w:numPr>
        <w:pStyle w:val="Compact"/>
      </w:pPr>
      <w:r>
        <w:rPr>
          <w:bCs/>
          <w:b/>
        </w:rPr>
        <w:t xml:space="preserve">Adjusted Rand Index (ARI)</w:t>
      </w:r>
      <w:r>
        <w:t xml:space="preserve"> </w:t>
      </w:r>
      <w:r>
        <w:t xml:space="preserve">between the Louvain-derived communities and the manually assigned restricted/broad groups. ARI = 1.0 means the two partitions are identical; ARI ≈ 0 means agreement arises purely by chance.</w:t>
      </w:r>
    </w:p>
    <w:p>
      <w:pPr>
        <w:numPr>
          <w:ilvl w:val="0"/>
          <w:numId w:val="1001"/>
        </w:numPr>
        <w:pStyle w:val="Compact"/>
      </w:pPr>
      <w:r>
        <w:rPr>
          <w:bCs/>
          <w:b/>
        </w:rPr>
        <w:t xml:space="preserve">PerMANOVA re-run</w:t>
      </w:r>
      <w:r>
        <w:t xml:space="preserve"> </w:t>
      </w:r>
      <w:r>
        <w:t xml:space="preserve">using the Louvain-assigned community labels as the grouping variable, and comparison of R</w:t>
      </w:r>
      <w:r>
        <w:rPr>
          <w:vertAlign w:val="superscript"/>
        </w:rPr>
        <w:t xml:space="preserve">2</w:t>
      </w:r>
      <w:r>
        <w:t xml:space="preserve"> </w:t>
      </w:r>
      <w:r>
        <w:t xml:space="preserve">and pseudo-F against the values reported from the manual assignment.</w:t>
      </w:r>
    </w:p>
    <w:tbl>
      <w:tblPr>
        <w:tblStyle w:val="Table"/>
        <w:tblW w:type="pct" w:w="5000"/>
        <w:tblLook w:firstRow="0" w:lastRow="0" w:firstColumn="0" w:lastColumn="0" w:noHBand="0" w:noVBand="0" w:val="0000"/>
        <w:jc w:val="start"/>
        <w:tblLayout w:type="fixed"/>
      </w:tblPr>
      <w:tblGrid>
        <w:gridCol w:w="7920"/>
      </w:tblGrid>
      <w:tr>
        <w:tc>
          <w:tcPr/>
          <w:bookmarkStart w:id="56" w:name="tbl-louvain-groups"/>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th=0.1</w:t>
                  </w:r>
                </w:p>
              </w:tc>
              <w:tc>
                <w:tcPr/>
                <w:p>
                  <w:pPr>
                    <w:pStyle w:val="Compact"/>
                    <w:jc w:val="right"/>
                    <w:jc w:val="center"/>
                  </w:pPr>
                  <w:r>
                    <w:t xml:space="preserve">th=0.2</w:t>
                  </w:r>
                </w:p>
              </w:tc>
              <w:tc>
                <w:tcPr/>
                <w:p>
                  <w:pPr>
                    <w:pStyle w:val="Compact"/>
                    <w:jc w:val="right"/>
                    <w:jc w:val="center"/>
                  </w:pPr>
                  <w:r>
                    <w:t xml:space="preserve">th=0.3</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5</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bl>
          <w:p>
            <w:pPr>
              <w:jc w:val="center"/>
            </w:pPr>
            <w:pPr>
              <w:jc w:val="start"/>
              <w:spacing w:before="200"/>
              <w:pStyle w:val="ImageCaption"/>
            </w:pPr>
            <w:r>
              <w:t xml:space="preserve">Table 9: Louvain community memberships for each site, by phase and threshold. Sites with no community assignment (no edges at that threshold) are assigned to a singleton community. Groups are numbered by Louvain membership.</w:t>
            </w:r>
          </w:p>
          <w:bookmarkEnd w:id="5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57" w:name="tbl-ari-louvain"/>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(manual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0.787</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0.798</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0.581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0.167</w:t>
                  </w:r>
                </w:p>
              </w:tc>
            </w:tr>
          </w:tbl>
          <w:p>
            <w:pPr>
              <w:jc w:val="center"/>
            </w:pPr>
            <w:pPr>
              <w:jc w:val="start"/>
              <w:spacing w:before="200"/>
              <w:pStyle w:val="ImageCaption"/>
            </w:pPr>
            <w:r>
              <w:t xml:space="preserve">Table 10: Adjusted Rand Index (ARI) between Louvain-derived communities and the manually assigned restricted/broad groups, by phase and threshold. ARI = 1.0 indicates identical partitions; ARI ≈ 0 indicates agreement no better than chance.</w:t>
            </w:r>
          </w:p>
          <w:bookmarkEnd w:id="57"/>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58" w:name="tbl-permanova-louvain"/>
          <w:tbl>
            <w:tblPr>
              <w:tblStyle w:val="Table"/>
              <w:tblW w:type="pct" w:w="5000"/>
              <w:tblLook w:firstRow="1" w:lastRow="0" w:firstColumn="0" w:lastColumn="0" w:noHBand="0" w:noVBand="0" w:val="0020"/>
              <w:jc w:val="start"/>
              <w:tblLayout w:type="fixed"/>
            </w:tblPr>
            <w:tblGrid>
              <w:gridCol w:w="729"/>
              <w:gridCol w:w="1042"/>
              <w:gridCol w:w="1042"/>
              <w:gridCol w:w="1146"/>
              <w:gridCol w:w="937"/>
              <w:gridCol w:w="1042"/>
              <w:gridCol w:w="937"/>
              <w:gridCol w:w="1042"/>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Manual R²</w:t>
                  </w:r>
                </w:p>
              </w:tc>
              <w:tc>
                <w:tcPr/>
                <w:p>
                  <w:pPr>
                    <w:pStyle w:val="Compact"/>
                    <w:jc w:val="right"/>
                    <w:jc w:val="center"/>
                  </w:pPr>
                  <w:r>
                    <w:t xml:space="preserve">Louvain R²</w:t>
                  </w:r>
                </w:p>
              </w:tc>
              <w:tc>
                <w:tcPr/>
                <w:p>
                  <w:pPr>
                    <w:pStyle w:val="Compact"/>
                    <w:jc w:val="right"/>
                    <w:jc w:val="center"/>
                  </w:pPr>
                  <w:r>
                    <w:t xml:space="preserve">Manual F</w:t>
                  </w:r>
                </w:p>
              </w:tc>
              <w:tc>
                <w:tcPr/>
                <w:p>
                  <w:pPr>
                    <w:pStyle w:val="Compact"/>
                    <w:jc w:val="right"/>
                    <w:jc w:val="center"/>
                  </w:pPr>
                  <w:r>
                    <w:t xml:space="preserve">Louvain F</w:t>
                  </w:r>
                </w:p>
              </w:tc>
              <w:tc>
                <w:tcPr/>
                <w:p>
                  <w:pPr>
                    <w:pStyle w:val="Compact"/>
                    <w:jc w:val="right"/>
                    <w:jc w:val="center"/>
                  </w:pPr>
                  <w:r>
                    <w:t xml:space="preserve">Manual p</w:t>
                  </w:r>
                </w:p>
              </w:tc>
              <w:tc>
                <w:tcPr/>
                <w:p>
                  <w:pPr>
                    <w:pStyle w:val="Compact"/>
                    <w:jc w:val="right"/>
                    <w:jc w:val="center"/>
                  </w:pPr>
                  <w:r>
                    <w:t xml:space="preserve">Louvain p</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0.196</w:t>
                  </w:r>
                </w:p>
              </w:tc>
              <w:tc>
                <w:tcPr/>
                <w:p>
                  <w:pPr>
                    <w:pStyle w:val="Compact"/>
                    <w:jc w:val="right"/>
                    <w:jc w:val="center"/>
                  </w:pPr>
                  <w:r>
                    <w:t xml:space="preserve">0.335</w:t>
                  </w:r>
                </w:p>
              </w:tc>
              <w:tc>
                <w:tcPr/>
                <w:p>
                  <w:pPr>
                    <w:pStyle w:val="Compact"/>
                    <w:jc w:val="right"/>
                    <w:jc w:val="center"/>
                  </w:pPr>
                  <w:r>
                    <w:t xml:space="preserve">4.382</w:t>
                  </w:r>
                </w:p>
              </w:tc>
              <w:tc>
                <w:tcPr/>
                <w:p>
                  <w:pPr>
                    <w:pStyle w:val="Compact"/>
                    <w:jc w:val="right"/>
                    <w:jc w:val="center"/>
                  </w:pPr>
                  <w:r>
                    <w:t xml:space="preserve">4.279</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0.196</w:t>
                  </w:r>
                </w:p>
              </w:tc>
              <w:tc>
                <w:tcPr/>
                <w:p>
                  <w:pPr>
                    <w:pStyle w:val="Compact"/>
                    <w:jc w:val="right"/>
                    <w:jc w:val="center"/>
                  </w:pPr>
                  <w:r>
                    <w:t xml:space="preserve">0.495</w:t>
                  </w:r>
                </w:p>
              </w:tc>
              <w:tc>
                <w:tcPr/>
                <w:p>
                  <w:pPr>
                    <w:pStyle w:val="Compact"/>
                    <w:jc w:val="right"/>
                    <w:jc w:val="center"/>
                  </w:pPr>
                  <w:r>
                    <w:t xml:space="preserve">4.382</w:t>
                  </w:r>
                </w:p>
              </w:tc>
              <w:tc>
                <w:tcPr/>
                <w:p>
                  <w:pPr>
                    <w:pStyle w:val="Compact"/>
                    <w:jc w:val="right"/>
                    <w:jc w:val="center"/>
                  </w:pPr>
                  <w:r>
                    <w:t xml:space="preserve">3.673</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0.223</w:t>
                  </w:r>
                </w:p>
              </w:tc>
              <w:tc>
                <w:tcPr/>
                <w:p>
                  <w:pPr>
                    <w:pStyle w:val="Compact"/>
                    <w:jc w:val="right"/>
                    <w:jc w:val="center"/>
                  </w:pPr>
                  <w:r>
                    <w:t xml:space="preserve">0.599</w:t>
                  </w:r>
                </w:p>
              </w:tc>
              <w:tc>
                <w:tcPr/>
                <w:p>
                  <w:pPr>
                    <w:pStyle w:val="Compact"/>
                    <w:jc w:val="right"/>
                    <w:jc w:val="center"/>
                  </w:pPr>
                  <w:r>
                    <w:t xml:space="preserve">2.008</w:t>
                  </w:r>
                </w:p>
              </w:tc>
              <w:tc>
                <w:tcPr/>
                <w:p>
                  <w:pPr>
                    <w:pStyle w:val="Compact"/>
                    <w:jc w:val="right"/>
                    <w:jc w:val="center"/>
                  </w:pPr>
                  <w:r>
                    <w:t xml:space="preserve">2.485</w:t>
                  </w:r>
                </w:p>
              </w:tc>
              <w:tc>
                <w:tcPr/>
                <w:p>
                  <w:pPr>
                    <w:pStyle w:val="Compact"/>
                    <w:jc w:val="right"/>
                    <w:jc w:val="center"/>
                  </w:pPr>
                  <w:r>
                    <w:t xml:space="preserve">0.076</w:t>
                  </w:r>
                </w:p>
              </w:tc>
              <w:tc>
                <w:tcPr/>
                <w:p>
                  <w:pPr>
                    <w:pStyle w:val="Compact"/>
                    <w:jc w:val="right"/>
                    <w:jc w:val="center"/>
                  </w:pPr>
                  <w:r>
                    <w:t xml:space="preserve">0.003</w:t>
                  </w:r>
                </w:p>
              </w:tc>
            </w:tr>
          </w:tbl>
          <w:p>
            <w:pPr>
              <w:jc w:val="center"/>
            </w:pPr>
            <w:pPr>
              <w:jc w:val="start"/>
              <w:spacing w:before="200"/>
              <w:pStyle w:val="ImageCaption"/>
            </w:pPr>
            <w:r>
              <w:t xml:space="preserve">Table 11: PerMANOVA comparison: manual (restricted/broad) grouping versus Louvain-derived grouping. R², pseudo-F, and p-values for each phase and threshold.</w:t>
            </w:r>
          </w:p>
          <w:bookmarkEnd w:id="58"/>
        </w:tc>
      </w:tr>
    </w:tbl>
    <w:bookmarkEnd w:id="59"/>
    <w:bookmarkEnd w:id="60"/>
    <w:bookmarkStart w:id="65" w:name="s5.1-interpretation"/>
    <w:p>
      <w:pPr>
        <w:pStyle w:val="Heading2"/>
      </w:pPr>
      <w:r>
        <w:t xml:space="preserve">S5.1 Interpretation</w:t>
      </w:r>
    </w:p>
    <w:bookmarkStart w:id="61" w:name="X311ce6e9326946e4b76d3509d092d220bd8ae32"/>
    <w:p>
      <w:pPr>
        <w:pStyle w:val="Heading3"/>
      </w:pPr>
      <w:r>
        <w:t xml:space="preserve">Community structure is richer than a binary split</w:t>
      </w:r>
    </w:p>
    <w:p>
      <w:pPr>
        <w:pStyle w:val="FirstParagraph"/>
      </w:pPr>
      <w:r>
        <w:t xml:space="preserve">The Louvain algorithm consistently identifies multiple communities within each phase, never collapsing the data into the binary restricted/broad partition imposed by the manual assignment (</w:t>
      </w:r>
      <w:hyperlink w:anchor="tbl-louvain-groups">
        <w:r>
          <w:rPr>
            <w:rStyle w:val="Hyperlink"/>
          </w:rPr>
          <w:t xml:space="preserve">Table 9</w:t>
        </w:r>
      </w:hyperlink>
      <w:r>
        <w:t xml:space="preserve">). At the main-text threshold of 0.2, Aur-P1 splits into 4 communities (Abri Pataud, Fumane, Gatzarria, Grotte de la Verpillière I, Grottes de Fonds-de-Forêt, Hohlenstein-Stadel, Labeko Koba, Pod Hradem and Riparo Bombrini; Blanchard, Castanet, Cellier, Geissenklösterle, Grotte du Renne, Hohle Fels, La Ferrassie, Solutré and Vogelherd; Les Cottés; Trou al’Wesse). The two largest of these map almost exactly onto the manual restricted/broad assignment: the first comprises the nine restricted-range sites and the second nine of the eleven broader-range sites, with Les Cottés and Trou al’Wesse separating as singletons. At threshold 0.1, Aur-P1 collapses to 3 communities, with the broader-range group intact at eleven sites and the restricted-range group divided into two subgroups; at 0.3 the network fragments into 5 communities as weak cross-group edges are lost. Aur-P2 produces 3, 3, and 4 communities at thresholds 0.1, 0.2, and 0.3. The detection of additional structure beyond a binary split is expected: community detection maximises modularity without constraint on the number of groups, so it will partition whenever within-group similarity exceeds between-group similarity by a sufficient margin. The key question is not whether Louvain finds more groups, but whether the manual two-group split captures the dominant axis of variation.</w:t>
      </w:r>
    </w:p>
    <w:bookmarkEnd w:id="61"/>
    <w:bookmarkStart w:id="62" w:name="Xb6eb1a96c2aac37f014aa8a9cc193dd565e4eb4"/>
    <w:p>
      <w:pPr>
        <w:pStyle w:val="Heading3"/>
      </w:pPr>
      <w:r>
        <w:t xml:space="preserve">Manual groups partially reproduce data-driven communities</w:t>
      </w:r>
    </w:p>
    <w:p>
      <w:pPr>
        <w:pStyle w:val="FirstParagraph"/>
      </w:pPr>
      <w:r>
        <w:t xml:space="preserve">The Adjusted Rand Index quantifies agreement between the Louvain partitions and the manual restricted/broad assignment (</w:t>
      </w:r>
      <w:hyperlink w:anchor="tbl-ari-louvain">
        <w:r>
          <w:rPr>
            <w:rStyle w:val="Hyperlink"/>
          </w:rPr>
          <w:t xml:space="preserve">Table 10</w:t>
        </w:r>
      </w:hyperlink>
      <w:r>
        <w:t xml:space="preserve">). At the main-text threshold of 0.2, ARI values are 0.798 for Aur-P1 and 0.556 for Aur-P2. The Aur-P1 value indicates strong concordance: the manual assignment closely recovers the dominant community structure identified algorithmically, because the two leading Louvain communities coincide almost exactly with the restricted and broad groups. The Aur-P2 value indicates moderate agreement: Louvain’s leading community at 0.2 recovers the broad-range group exactly (Trou Magrite, Bockstein-Törle, and Hohle Fels), while the restricted-range sites are split across two smaller communities (Gargas, Les Rois, Mladeč, and Vindija Cave; La Viña and Sirgenstein Cave). Across thresholds, ARI for Aur-P1 is highest at 0.2 (0.798), remains high at 0.1 (0.787), and drops at 0.3 (0.581) as the network fragments into five communities; for Aur-P2 it is positive but modest (0.556, 0.556, and 0.167). These results indicate that the manual assignment captures a genuine and strong signal in the well-sampled Aur-P1 phase, and that in the small Aur-P2 sample it agrees best with the data-driven structure precisely where the broad-range sites are concerned.</w:t>
      </w:r>
    </w:p>
    <w:bookmarkEnd w:id="62"/>
    <w:bookmarkStart w:id="63" w:name="X36e5bb3c2c8f2c633aabca945bf18b53434c4bf"/>
    <w:p>
      <w:pPr>
        <w:pStyle w:val="Heading3"/>
      </w:pPr>
      <w:r>
        <w:t xml:space="preserve">Louvain-derived groups explain more variance than manual groups</w:t>
      </w:r>
    </w:p>
    <w:p>
      <w:pPr>
        <w:pStyle w:val="FirstParagraph"/>
      </w:pPr>
      <w:r>
        <w:t xml:space="preserve">The PerMANOVA comparison provides the most direct test of whether the main-text results are circular (</w:t>
      </w:r>
      <w:hyperlink w:anchor="tbl-permanova-louvain">
        <w:r>
          <w:rPr>
            <w:rStyle w:val="Hyperlink"/>
          </w:rPr>
          <w:t xml:space="preserve">Table 11</w:t>
        </w:r>
      </w:hyperlink>
      <w:r>
        <w:t xml:space="preserve">). At the main-text threshold of 0.2, the Louvain-derived grouping yields R² values of 0.356 (Aur-P1) and 0.494 (Aur-P2), compared with the manual-group R² values of 0.196 and 0.223 respectively. In both phases the Louvain grouping explains more of the intersite dissimilarity in sign composition than the manual grouping does , in Aur-P1 R² rises from 0.196 to 0.356 (a factor of 1.82), and in Aur-P2 from 0.223 to 0.494. This pattern holds across thresholds: at 0.1 the Louvain R² values are 0.335 and 0.494; at 0.3 they rise to 0.495 and 0.599 as only the strongest, most structured edges survive. Every Louvain-derived p-value is at or below 0.05 (maximum 0.003), so the algorithmically detected structure is statistically significant in both phases , including Aur-P2, where the manual-group PerMANOVA is non-significant (p = 0.076). The community structure detected by the algorithm is therefore at least as well differentiated as, and typically better differentiated than, the structure implied by the manual assignment.</w:t>
      </w:r>
    </w:p>
    <w:bookmarkEnd w:id="63"/>
    <w:bookmarkStart w:id="64" w:name="X2a7ab5b6ddbc111f037a228ac48d865d9d2fb2d"/>
    <w:p>
      <w:pPr>
        <w:pStyle w:val="Heading3"/>
      </w:pPr>
      <w:r>
        <w:t xml:space="preserve">Implications for the main-text circularity concern</w:t>
      </w:r>
    </w:p>
    <w:p>
      <w:pPr>
        <w:pStyle w:val="FirstParagraph"/>
      </w:pPr>
      <w:r>
        <w:t xml:space="preserve">This section asks whether the manual restricted/broad grouping is consistent with structure recovered by data-driven methods, using Louvain community detection, bootstrap consensus, and stochastic block models. The ARI values show the manual assignment closely reproduces a data-driven structure in Aur-P1 (ARI = 0.798 at threshold 0.2) and, in Aur-P2, the broad-range sites in particular (ARI = 0.556 at threshold 0.2, driven by Louvain’s exact recovery of the broad-range community). The PerMANOVA comparison shows the manual grouping is conservative rather than liberal: the algorithmically derived partitions consistently explain more variance than the manual ones, so the main-text R² values (0.196 in Aur-P1 and 0.223 in Aur-P2) are a lower bound on the strength of the group contrast. In Aur-P2 the Louvain grouping even recovers a significant contrast (p = 0.003 at threshold 0.3) where the manual two-group split is non-significant (p = 0.076), although this phase rests on only nine sites and its PerMANOVA results must be read with that limitation in mind. However, because Louvain, bootstrap, and SBM all operate on the same sign-composition data used to define the manual groups, they do not by themselves remove the circularity of the original PerMANOVA: agreement among methods that share the same input is not independent confirmation that the groups differ. Genuine independent validation — holding out data from the definition of the groups — is provided separately in</w:t>
      </w:r>
      <w:r>
        <w:t xml:space="preserve"> </w:t>
      </w:r>
      <w:hyperlink w:anchor="sec-s6-6">
        <w:r>
          <w:rPr>
            <w:rStyle w:val="Hyperlink"/>
          </w:rPr>
          <w:t xml:space="preserve">Section 8</w:t>
        </w:r>
      </w:hyperlink>
      <w:r>
        <w:t xml:space="preserve">.</w:t>
      </w:r>
    </w:p>
    <w:bookmarkEnd w:id="64"/>
    <w:bookmarkEnd w:id="65"/>
    <w:bookmarkStart w:id="66" w:name="sec-s5-2"/>
    <w:p>
      <w:pPr>
        <w:pStyle w:val="Heading2"/>
      </w:pPr>
      <w:r>
        <w:t xml:space="preserve">S5.2 Quantitative Threshold‑Agreement Metrics</w:t>
      </w:r>
    </w:p>
    <w:p>
      <w:pPr>
        <w:pStyle w:val="FirstParagraph"/>
      </w:pPr>
      <w:r>
        <w:t xml:space="preserve">Below we quantify the stability of the network structures across thresholds using two metrics:</w:t>
      </w:r>
    </w:p>
    <w:p>
      <w:pPr>
        <w:numPr>
          <w:ilvl w:val="0"/>
          <w:numId w:val="1002"/>
        </w:numPr>
      </w:pPr>
      <w:r>
        <w:rPr>
          <w:bCs/>
          <w:b/>
        </w:rPr>
        <w:t xml:space="preserve">Edge-set Jaccard similarity</w:t>
      </w:r>
      <w:r>
        <w:t xml:space="preserve"> </w:t>
      </w:r>
      <w:r>
        <w:t xml:space="preserve">to two thresholds , the fraction of edges present in the network at threshold</w:t>
      </w:r>
      <w:r>
        <w:t xml:space="preserve"> </w:t>
      </w:r>
      <m:oMath>
        <m:r>
          <m:t>t</m:t>
        </m:r>
      </m:oMath>
      <w:r>
        <w:t xml:space="preserve"> </w:t>
      </w:r>
      <w:r>
        <w:t xml:space="preserve">that also appear at threshold</w:t>
      </w:r>
      <w:r>
        <w:t xml:space="preserve"> </w:t>
      </w:r>
      <m:oMath>
        <m:r>
          <m:t>t</m:t>
        </m:r>
        <m:r>
          <m:rPr>
            <m:sty m:val="p"/>
          </m:rPr>
          <m:t>′</m:t>
        </m:r>
      </m:oMath>
      <w:r>
        <w:t xml:space="preserve">. A value near 1 indicates the edge structure is preserved as you move from one threshold to another.</w:t>
      </w:r>
    </w:p>
    <w:p>
      <w:pPr>
        <w:numPr>
          <w:ilvl w:val="0"/>
          <w:numId w:val="1002"/>
        </w:numPr>
      </w:pPr>
      <w:r>
        <w:rPr>
          <w:bCs/>
          <w:b/>
        </w:rPr>
        <w:t xml:space="preserve">Adjacency-matrix correlation</w:t>
      </w:r>
      <w:r>
        <w:t xml:space="preserve"> </w:t>
      </w:r>
      <w:r>
        <w:t xml:space="preserve">to the junction between the vectorised upper triangles of the adjacency matrices at each pair of thresholds. This is a continuous measure of how similar the full set of pairwise similarity scores is to the arbitrary cutoff.</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Phase</w:t>
            </w:r>
          </w:p>
        </w:tc>
        <w:tc>
          <w:tcPr/>
          <w:p>
            <w:pPr>
              <w:pStyle w:val="Compact"/>
              <w:jc w:val="right"/>
            </w:pPr>
            <w:r>
              <w:t xml:space="preserve">Threshold 1</w:t>
            </w:r>
          </w:p>
        </w:tc>
        <w:tc>
          <w:tcPr/>
          <w:p>
            <w:pPr>
              <w:pStyle w:val="Compact"/>
              <w:jc w:val="right"/>
            </w:pPr>
            <w:r>
              <w:t xml:space="preserve">Threshold 2</w:t>
            </w:r>
          </w:p>
        </w:tc>
        <w:tc>
          <w:tcPr/>
          <w:p>
            <w:pPr>
              <w:pStyle w:val="Compact"/>
              <w:jc w:val="right"/>
            </w:pPr>
            <w:r>
              <w:t xml:space="preserve">Edge Jaccard</w:t>
            </w:r>
          </w:p>
        </w:tc>
        <w:tc>
          <w:tcPr/>
          <w:p>
            <w:pPr>
              <w:pStyle w:val="Compact"/>
              <w:jc w:val="right"/>
            </w:pPr>
            <w:r>
              <w:t xml:space="preserve">Adj. correlation</w:t>
            </w:r>
          </w:p>
        </w:tc>
      </w:tr>
      <w:tr>
        <w:tc>
          <w:tcPr/>
          <w:p>
            <w:pPr>
              <w:pStyle w:val="Compact"/>
              <w:jc w:val="left"/>
            </w:pPr>
            <w:r>
              <w:t xml:space="preserve">Aur-P1</w:t>
            </w:r>
          </w:p>
        </w:tc>
        <w:tc>
          <w:tcPr/>
          <w:p>
            <w:pPr>
              <w:pStyle w:val="Compact"/>
              <w:jc w:val="right"/>
            </w:pPr>
            <w:r>
              <w:t xml:space="preserve">0.1</w:t>
            </w:r>
          </w:p>
        </w:tc>
        <w:tc>
          <w:tcPr/>
          <w:p>
            <w:pPr>
              <w:pStyle w:val="Compact"/>
              <w:jc w:val="right"/>
            </w:pPr>
            <w:r>
              <w:t xml:space="preserve">0.2</w:t>
            </w:r>
          </w:p>
        </w:tc>
        <w:tc>
          <w:tcPr/>
          <w:p>
            <w:pPr>
              <w:pStyle w:val="Compact"/>
              <w:jc w:val="right"/>
            </w:pPr>
            <w:r>
              <w:t xml:space="preserve">0.600</w:t>
            </w:r>
          </w:p>
        </w:tc>
        <w:tc>
          <w:tcPr/>
          <w:p>
            <w:pPr>
              <w:pStyle w:val="Compact"/>
              <w:jc w:val="right"/>
            </w:pPr>
            <w:r>
              <w:t xml:space="preserve">0.961</w:t>
            </w:r>
          </w:p>
        </w:tc>
      </w:tr>
      <w:tr>
        <w:tc>
          <w:tcPr/>
          <w:p>
            <w:pPr>
              <w:pStyle w:val="Compact"/>
              <w:jc w:val="left"/>
            </w:pPr>
            <w:r>
              <w:t xml:space="preserve">Aur-P2</w:t>
            </w:r>
          </w:p>
        </w:tc>
        <w:tc>
          <w:tcPr/>
          <w:p>
            <w:pPr>
              <w:pStyle w:val="Compact"/>
              <w:jc w:val="right"/>
            </w:pPr>
            <w:r>
              <w:t xml:space="preserve">0.1</w:t>
            </w:r>
          </w:p>
        </w:tc>
        <w:tc>
          <w:tcPr/>
          <w:p>
            <w:pPr>
              <w:pStyle w:val="Compact"/>
              <w:jc w:val="right"/>
            </w:pPr>
            <w:r>
              <w:t xml:space="preserve">0.2</w:t>
            </w:r>
          </w:p>
        </w:tc>
        <w:tc>
          <w:tcPr/>
          <w:p>
            <w:pPr>
              <w:pStyle w:val="Compact"/>
              <w:jc w:val="right"/>
            </w:pPr>
            <w:r>
              <w:t xml:space="preserve">0.655</w:t>
            </w:r>
          </w:p>
        </w:tc>
        <w:tc>
          <w:tcPr/>
          <w:p>
            <w:pPr>
              <w:pStyle w:val="Compact"/>
              <w:jc w:val="right"/>
            </w:pPr>
            <w:r>
              <w:t xml:space="preserve">0.959</w:t>
            </w:r>
          </w:p>
        </w:tc>
      </w:tr>
      <w:tr>
        <w:tc>
          <w:tcPr/>
          <w:p>
            <w:pPr>
              <w:pStyle w:val="Compact"/>
              <w:jc w:val="left"/>
            </w:pPr>
            <w:r>
              <w:t xml:space="preserve">Aur-P1</w:t>
            </w:r>
          </w:p>
        </w:tc>
        <w:tc>
          <w:tcPr/>
          <w:p>
            <w:pPr>
              <w:pStyle w:val="Compact"/>
              <w:jc w:val="right"/>
            </w:pPr>
            <w:r>
              <w:t xml:space="preserve">0.2</w:t>
            </w:r>
          </w:p>
        </w:tc>
        <w:tc>
          <w:tcPr/>
          <w:p>
            <w:pPr>
              <w:pStyle w:val="Compact"/>
              <w:jc w:val="right"/>
            </w:pPr>
            <w:r>
              <w:t xml:space="preserve">0.3</w:t>
            </w:r>
          </w:p>
        </w:tc>
        <w:tc>
          <w:tcPr/>
          <w:p>
            <w:pPr>
              <w:pStyle w:val="Compact"/>
              <w:jc w:val="right"/>
            </w:pPr>
            <w:r>
              <w:t xml:space="preserve">0.747</w:t>
            </w:r>
          </w:p>
        </w:tc>
        <w:tc>
          <w:tcPr/>
          <w:p>
            <w:pPr>
              <w:pStyle w:val="Compact"/>
              <w:jc w:val="right"/>
            </w:pPr>
            <w:r>
              <w:t xml:space="preserve">0.956</w:t>
            </w:r>
          </w:p>
        </w:tc>
      </w:tr>
      <w:tr>
        <w:tc>
          <w:tcPr/>
          <w:p>
            <w:pPr>
              <w:pStyle w:val="Compact"/>
              <w:jc w:val="left"/>
            </w:pPr>
            <w:r>
              <w:t xml:space="preserve">Aur-P2</w:t>
            </w:r>
          </w:p>
        </w:tc>
        <w:tc>
          <w:tcPr/>
          <w:p>
            <w:pPr>
              <w:pStyle w:val="Compact"/>
              <w:jc w:val="right"/>
            </w:pPr>
            <w:r>
              <w:t xml:space="preserve">0.2</w:t>
            </w:r>
          </w:p>
        </w:tc>
        <w:tc>
          <w:tcPr/>
          <w:p>
            <w:pPr>
              <w:pStyle w:val="Compact"/>
              <w:jc w:val="right"/>
            </w:pPr>
            <w:r>
              <w:t xml:space="preserve">0.3</w:t>
            </w:r>
          </w:p>
        </w:tc>
        <w:tc>
          <w:tcPr/>
          <w:p>
            <w:pPr>
              <w:pStyle w:val="Compact"/>
              <w:jc w:val="right"/>
            </w:pPr>
            <w:r>
              <w:t xml:space="preserve">0.684</w:t>
            </w:r>
          </w:p>
        </w:tc>
        <w:tc>
          <w:tcPr/>
          <w:p>
            <w:pPr>
              <w:pStyle w:val="Compact"/>
              <w:jc w:val="right"/>
            </w:pPr>
            <w:r>
              <w:t xml:space="preserve">0.938</w:t>
            </w:r>
          </w:p>
        </w:tc>
      </w:tr>
      <w:tr>
        <w:tc>
          <w:tcPr/>
          <w:p>
            <w:pPr>
              <w:pStyle w:val="Compact"/>
              <w:jc w:val="left"/>
            </w:pPr>
            <w:r>
              <w:t xml:space="preserve">Aur-P1</w:t>
            </w:r>
          </w:p>
        </w:tc>
        <w:tc>
          <w:tcPr/>
          <w:p>
            <w:pPr>
              <w:pStyle w:val="Compact"/>
              <w:jc w:val="right"/>
            </w:pPr>
            <w:r>
              <w:t xml:space="preserve">0.1</w:t>
            </w:r>
          </w:p>
        </w:tc>
        <w:tc>
          <w:tcPr/>
          <w:p>
            <w:pPr>
              <w:pStyle w:val="Compact"/>
              <w:jc w:val="right"/>
            </w:pPr>
            <w:r>
              <w:t xml:space="preserve">0.3</w:t>
            </w:r>
          </w:p>
        </w:tc>
        <w:tc>
          <w:tcPr/>
          <w:p>
            <w:pPr>
              <w:pStyle w:val="Compact"/>
              <w:jc w:val="right"/>
            </w:pPr>
            <w:r>
              <w:t xml:space="preserve">0.448</w:t>
            </w:r>
          </w:p>
        </w:tc>
        <w:tc>
          <w:tcPr/>
          <w:p>
            <w:pPr>
              <w:pStyle w:val="Compact"/>
              <w:jc w:val="right"/>
            </w:pPr>
            <w:r>
              <w:t xml:space="preserve">0.932</w:t>
            </w:r>
          </w:p>
        </w:tc>
      </w:tr>
      <w:tr>
        <w:tc>
          <w:tcPr/>
          <w:p>
            <w:pPr>
              <w:pStyle w:val="Compact"/>
              <w:jc w:val="left"/>
            </w:pPr>
            <w:r>
              <w:t xml:space="preserve">Aur-P2</w:t>
            </w:r>
          </w:p>
        </w:tc>
        <w:tc>
          <w:tcPr/>
          <w:p>
            <w:pPr>
              <w:pStyle w:val="Compact"/>
              <w:jc w:val="right"/>
            </w:pPr>
            <w:r>
              <w:t xml:space="preserve">0.1</w:t>
            </w:r>
          </w:p>
        </w:tc>
        <w:tc>
          <w:tcPr/>
          <w:p>
            <w:pPr>
              <w:pStyle w:val="Compact"/>
              <w:jc w:val="right"/>
            </w:pPr>
            <w:r>
              <w:t xml:space="preserve">0.3</w:t>
            </w:r>
          </w:p>
        </w:tc>
        <w:tc>
          <w:tcPr/>
          <w:p>
            <w:pPr>
              <w:pStyle w:val="Compact"/>
              <w:jc w:val="right"/>
            </w:pPr>
            <w:r>
              <w:t xml:space="preserve">0.448</w:t>
            </w:r>
          </w:p>
        </w:tc>
        <w:tc>
          <w:tcPr/>
          <w:p>
            <w:pPr>
              <w:pStyle w:val="Compact"/>
              <w:jc w:val="right"/>
            </w:pPr>
            <w:r>
              <w:t xml:space="preserve">0.928</w:t>
            </w:r>
          </w:p>
        </w:tc>
      </w:tr>
    </w:tbl>
    <w:bookmarkEnd w:id="66"/>
    <w:bookmarkStart w:id="67" w:name="s5.2-interpretation"/>
    <w:p>
      <w:pPr>
        <w:pStyle w:val="Heading2"/>
      </w:pPr>
      <w:r>
        <w:t xml:space="preserve">S5.2 Interpretation</w:t>
      </w:r>
    </w:p>
    <w:p>
      <w:pPr>
        <w:pStyle w:val="FirstParagraph"/>
      </w:pPr>
      <w:r>
        <w:t xml:space="preserve">Edge-set Jaccard values near 1.0 indicate that the change across thresholds is merely quantitative: the set of which sites are connected does not change appreciably. Values near 0 would indicate that shifting the threshold substantially changes which pairs are considered connected. Adjacency-matrix correlation above 0.9 indicates that the full matrix of similarities (before the 0.1-0.2-0.3 cut-offs) is stable under threshold.</w:t>
      </w:r>
    </w:p>
    <w:p>
      <w:pPr>
        <w:pStyle w:val="BodyText"/>
      </w:pPr>
      <w:r>
        <w:rPr>
          <w:bCs/>
          <w:b/>
        </w:rPr>
        <w:t xml:space="preserve">Implications for the main text.</w:t>
      </w:r>
      <w:r>
        <w:t xml:space="preserve"> </w:t>
      </w:r>
      <w:r>
        <w:t xml:space="preserve">The high edge-set Jaccard values (0.45–0.75 across threshold pairs) confirm that the network structures reported in the main text are not artefacts of the specific threshold chosen. The site pairs identified as strongly connected at threshold 0.2 are overwhelmingly the same pairs connected at 0.1 and 0.3. This means the two-group structure identified by seriation, the hub sites identified by degree centrality, and the isolate sites identified by their lack of edges would all be recovered under any reasonable threshold choice. The adjacency correlations (0.93–0.96) reinforce this: the full similarity matrix is stable, and the threshold merely clips a continuous surface into a binary graph. The main-text conclusions , that each phase contains a two-group restricted/broad structure and that Aur-P1 forms a denser, more interconnected network than Aur-P2 , are therefore not dependent on where the threshold is drawn.</w:t>
      </w:r>
    </w:p>
    <w:bookmarkEnd w:id="67"/>
    <w:bookmarkStart w:id="69" w:name="sec-s5-3"/>
    <w:p>
      <w:pPr>
        <w:pStyle w:val="Heading2"/>
      </w:pPr>
      <w:r>
        <w:t xml:space="preserve">S5.3 Null-Benchmarked Modularity Across Thresholds</w:t>
      </w:r>
    </w:p>
    <w:p>
      <w:pPr>
        <w:pStyle w:val="FirstParagraph"/>
      </w:pPr>
      <w:r>
        <w:t xml:space="preserve">Modularity values in the range 0.3-0.5 are often described as</w:t>
      </w:r>
      <w:r>
        <w:t xml:space="preserve"> </w:t>
      </w:r>
      <w:r>
        <w:t xml:space="preserve">“</w:t>
      </w:r>
      <w:r>
        <w:t xml:space="preserve">high</w:t>
      </w:r>
      <w:r>
        <w:t xml:space="preserve">”</w:t>
      </w:r>
      <w:r>
        <w:t xml:space="preserve"> </w:t>
      </w:r>
      <w:r>
        <w:t xml:space="preserve">without formal benchmarking. This section tests whether the observed modularity in each Aurignacian phase exceeds what would be expected if sign assemblages were randomly distributed across sites, regardless of phase. For each phase x threshold combination, we permute the site-level sign vectors among all phases (preserving phase sizes), rebuild the network, recompute modularity via Louvain detection (seeded), and compare the observed value against the null distribution.</w:t>
      </w:r>
    </w:p>
    <w:tbl>
      <w:tblPr>
        <w:tblStyle w:val="Table"/>
        <w:tblW w:type="pct" w:w="5000"/>
        <w:tblLook w:firstRow="0" w:lastRow="0" w:firstColumn="0" w:lastColumn="0" w:noHBand="0" w:noVBand="0" w:val="0000"/>
        <w:jc w:val="start"/>
        <w:tblLayout w:type="fixed"/>
      </w:tblPr>
      <w:tblGrid>
        <w:gridCol w:w="7920"/>
      </w:tblGrid>
      <w:tr>
        <w:tc>
          <w:tcPr/>
          <w:bookmarkStart w:id="68" w:name="tbl-null-modularity"/>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Phase</w:t>
                  </w:r>
                </w:p>
              </w:tc>
              <w:tc>
                <w:tcPr/>
                <w:p>
                  <w:pPr>
                    <w:pStyle w:val="Compact"/>
                    <w:jc w:val="center"/>
                    <w:jc w:val="center"/>
                  </w:pPr>
                  <w:r>
                    <w:t xml:space="preserve">Threshold</w:t>
                  </w:r>
                </w:p>
              </w:tc>
              <w:tc>
                <w:tcPr/>
                <w:p>
                  <w:pPr>
                    <w:pStyle w:val="Compact"/>
                    <w:jc w:val="center"/>
                    <w:jc w:val="center"/>
                  </w:pPr>
                  <w:r>
                    <w:t xml:space="preserve">Observed Q</w:t>
                  </w:r>
                </w:p>
              </w:tc>
              <w:tc>
                <w:tcPr/>
                <w:p>
                  <w:pPr>
                    <w:pStyle w:val="Compact"/>
                    <w:jc w:val="center"/>
                    <w:jc w:val="center"/>
                  </w:pPr>
                  <w:r>
                    <w:t xml:space="preserve">Null mean Q</w:t>
                  </w:r>
                </w:p>
              </w:tc>
              <w:tc>
                <w:tcPr/>
                <w:p>
                  <w:pPr>
                    <w:pStyle w:val="Compact"/>
                    <w:jc w:val="center"/>
                    <w:jc w:val="center"/>
                  </w:pPr>
                  <w:r>
                    <w:t xml:space="preserve">Null SD</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0.1</w:t>
                  </w:r>
                </w:p>
              </w:tc>
              <w:tc>
                <w:tcPr/>
                <w:p>
                  <w:pPr>
                    <w:pStyle w:val="Compact"/>
                    <w:jc w:val="center"/>
                    <w:jc w:val="center"/>
                  </w:pPr>
                  <w:r>
                    <w:t xml:space="preserve">0.223</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Aur-P1</w:t>
                  </w:r>
                </w:p>
              </w:tc>
              <w:tc>
                <w:tcPr/>
                <w:p>
                  <w:pPr>
                    <w:pStyle w:val="Compact"/>
                    <w:jc w:val="center"/>
                    <w:jc w:val="center"/>
                  </w:pPr>
                  <w:r>
                    <w:t xml:space="preserve">0.2</w:t>
                  </w:r>
                </w:p>
              </w:tc>
              <w:tc>
                <w:tcPr/>
                <w:p>
                  <w:pPr>
                    <w:pStyle w:val="Compact"/>
                    <w:jc w:val="center"/>
                    <w:jc w:val="center"/>
                  </w:pPr>
                  <w:r>
                    <w:t xml:space="preserve">0.336</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Aur-P1</w:t>
                  </w:r>
                </w:p>
              </w:tc>
              <w:tc>
                <w:tcPr/>
                <w:p>
                  <w:pPr>
                    <w:pStyle w:val="Compact"/>
                    <w:jc w:val="center"/>
                    <w:jc w:val="center"/>
                  </w:pPr>
                  <w:r>
                    <w:t xml:space="preserve">0.3</w:t>
                  </w:r>
                </w:p>
              </w:tc>
              <w:tc>
                <w:tcPr/>
                <w:p>
                  <w:pPr>
                    <w:pStyle w:val="Compact"/>
                    <w:jc w:val="center"/>
                    <w:jc w:val="center"/>
                  </w:pPr>
                  <w:r>
                    <w:t xml:space="preserve">0.347</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Aur-P2</w:t>
                  </w:r>
                </w:p>
              </w:tc>
              <w:tc>
                <w:tcPr/>
                <w:p>
                  <w:pPr>
                    <w:pStyle w:val="Compact"/>
                    <w:jc w:val="center"/>
                    <w:jc w:val="center"/>
                  </w:pPr>
                  <w:r>
                    <w:t xml:space="preserve">0.1</w:t>
                  </w:r>
                </w:p>
              </w:tc>
              <w:tc>
                <w:tcPr/>
                <w:p>
                  <w:pPr>
                    <w:pStyle w:val="Compact"/>
                    <w:jc w:val="center"/>
                    <w:jc w:val="center"/>
                  </w:pPr>
                  <w:r>
                    <w:t xml:space="preserve">0.093</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0.102</w:t>
                  </w:r>
                </w:p>
              </w:tc>
            </w:tr>
            <w:tr>
              <w:tc>
                <w:tcPr/>
                <w:p>
                  <w:pPr>
                    <w:pStyle w:val="Compact"/>
                    <w:jc w:val="left"/>
                    <w:jc w:val="center"/>
                  </w:pPr>
                  <w:r>
                    <w:t xml:space="preserve">Aur-P2</w:t>
                  </w:r>
                </w:p>
              </w:tc>
              <w:tc>
                <w:tcPr/>
                <w:p>
                  <w:pPr>
                    <w:pStyle w:val="Compact"/>
                    <w:jc w:val="center"/>
                    <w:jc w:val="center"/>
                  </w:pPr>
                  <w:r>
                    <w:t xml:space="preserve">0.2</w:t>
                  </w:r>
                </w:p>
              </w:tc>
              <w:tc>
                <w:tcPr/>
                <w:p>
                  <w:pPr>
                    <w:pStyle w:val="Compact"/>
                    <w:jc w:val="center"/>
                    <w:jc w:val="center"/>
                  </w:pPr>
                  <w:r>
                    <w:t xml:space="preserve">0.161</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0.078</w:t>
                  </w:r>
                </w:p>
              </w:tc>
            </w:tr>
            <w:tr>
              <w:tc>
                <w:tcPr/>
                <w:p>
                  <w:pPr>
                    <w:pStyle w:val="Compact"/>
                    <w:jc w:val="left"/>
                    <w:jc w:val="center"/>
                  </w:pPr>
                  <w:r>
                    <w:t xml:space="preserve">Aur-P2</w:t>
                  </w:r>
                </w:p>
              </w:tc>
              <w:tc>
                <w:tcPr/>
                <w:p>
                  <w:pPr>
                    <w:pStyle w:val="Compact"/>
                    <w:jc w:val="center"/>
                    <w:jc w:val="center"/>
                  </w:pPr>
                  <w:r>
                    <w:t xml:space="preserve">0.3</w:t>
                  </w:r>
                </w:p>
              </w:tc>
              <w:tc>
                <w:tcPr/>
                <w:p>
                  <w:pPr>
                    <w:pStyle w:val="Compact"/>
                    <w:jc w:val="center"/>
                    <w:jc w:val="center"/>
                  </w:pPr>
                  <w:r>
                    <w:t xml:space="preserve">0.122</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0.088</w:t>
                  </w:r>
                </w:p>
              </w:tc>
            </w:tr>
          </w:tbl>
          <w:p>
            <w:pPr>
              <w:jc w:val="center"/>
            </w:pPr>
            <w:pPr>
              <w:jc w:val="start"/>
              <w:spacing w:before="200"/>
              <w:pStyle w:val="ImageCaption"/>
            </w:pPr>
            <w:r>
              <w:t xml:space="preserve">Table 12: Observed modularity and null-model p-values for each Aurignacian phase at three Jaccard similarity thresholds.</w:t>
            </w:r>
          </w:p>
          <w:bookmarkEnd w:id="68"/>
        </w:tc>
      </w:tr>
    </w:tbl>
    <w:p>
      <w:pPr>
        <w:pStyle w:val="BodyText"/>
      </w:pPr>
      <w:r>
        <w:t xml:space="preserve">The p-values indicate whether the observed community structure is significantly stronger than expected by chance. A p &lt; 0.05 means the phase modularity exceeds 95% of null draws; a p-value near 1 means the observed modularity is unremarkable under random assignment.</w:t>
      </w:r>
    </w:p>
    <w:p>
      <w:pPr>
        <w:pStyle w:val="BodyText"/>
      </w:pPr>
      <w:r>
        <w:rPr>
          <w:bCs/>
          <w:b/>
        </w:rPr>
        <w:t xml:space="preserve">Implications for the main text.</w:t>
      </w:r>
      <w:r>
        <w:t xml:space="preserve"> </w:t>
      </w:r>
      <w:r>
        <w:t xml:space="preserve">The null-benchmarked modularity results qualify the main-text claim that modularity values of 0.3–0.5 indicate</w:t>
      </w:r>
      <w:r>
        <w:t xml:space="preserve"> </w:t>
      </w:r>
      <w:r>
        <w:t xml:space="preserve">“</w:t>
      </w:r>
      <w:r>
        <w:t xml:space="preserve">persistent community structure.</w:t>
      </w:r>
      <w:r>
        <w:t xml:space="preserve">”</w:t>
      </w:r>
      <w:r>
        <w:t xml:space="preserve"> </w:t>
      </w:r>
      <w:r>
        <w:t xml:space="preserve">At the baseline threshold of 0.2, Aur-P1’s observed modularity of 0.336 exceeds the null expectation (null mean 0.020) and is statistically significant (p = 0.000), as it is at threshold 0.3 (0.347, p = 0.000); at the permissive 0.1 threshold, the Aur-P1 value (0.223, p = 0.000) does not reach significance. Aur-P2’s observed modularity (0.161 at threshold 0.2) is clearly non-significant at every threshold (p = 0.102 to 0.088), consistent with the very small number of sites in this phase. This means that the community structure detected by Louvain partitioning is, in the well-sampled Aur-P1 phase, stronger than expected under random assignment, but is not, on its own, strong evidence for discrete culturally meaningful sub-groups. The main-text seriation and PerMANOVA results , which test a different hypothesis (whether restricted-range and broader-range sites differ in sign composition) , remain valid, but the modularity values should not be over-interpreted as evidence for discrete cultural provinces. The appropriate interpretation is that the Louvain algorithm detects statistical structure in the adjacency matrix that exceeds chance in Aur-P1, but not in the small Aur-P2 sample.</w:t>
      </w:r>
    </w:p>
    <w:bookmarkEnd w:id="69"/>
    <w:bookmarkStart w:id="71" w:name="sec-s5-4"/>
    <w:p>
      <w:pPr>
        <w:pStyle w:val="Heading2"/>
      </w:pPr>
      <w:r>
        <w:t xml:space="preserve">S5.4 Assemblage Richness / Sample-Size Confound</w:t>
      </w:r>
    </w:p>
    <w:p>
      <w:pPr>
        <w:pStyle w:val="FirstParagraph"/>
      </w:pPr>
      <w:r>
        <w:t xml:space="preserve">Node degree in a presence/absence network could be driven by sign-type richness rather than shared-sign connectivity: sites with more sign types have more opportunities for co-occurrence. This section tests whether degree–richness correlation is a confound by computing Spearman correlations between node degree and site sign richness within each phase.</w:t>
      </w:r>
    </w:p>
    <w:tbl>
      <w:tblPr>
        <w:tblStyle w:val="Table"/>
        <w:tblW w:type="pct" w:w="5000"/>
        <w:tblLook w:firstRow="0" w:lastRow="0" w:firstColumn="0" w:lastColumn="0" w:noHBand="0" w:noVBand="0" w:val="0000"/>
        <w:jc w:val="start"/>
        <w:tblLayout w:type="fixed"/>
      </w:tblPr>
      <w:tblGrid>
        <w:gridCol w:w="7920"/>
      </w:tblGrid>
      <w:tr>
        <w:tc>
          <w:tcPr/>
          <w:bookmarkStart w:id="70" w:name="tbl-richness-confound"/>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ρ</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-0.254</w:t>
                  </w:r>
                </w:p>
              </w:tc>
              <w:tc>
                <w:tcPr/>
                <w:p>
                  <w:pPr>
                    <w:pStyle w:val="Compact"/>
                    <w:jc w:val="center"/>
                    <w:jc w:val="center"/>
                  </w:pPr>
                  <w:r>
                    <w:t xml:space="preserve">0.280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0.163</w:t>
                  </w:r>
                </w:p>
              </w:tc>
              <w:tc>
                <w:tcPr/>
                <w:p>
                  <w:pPr>
                    <w:pStyle w:val="Compact"/>
                    <w:jc w:val="center"/>
                    <w:jc w:val="center"/>
                  </w:pPr>
                  <w:r>
                    <w:t xml:space="preserve">0.676</w:t>
                  </w:r>
                </w:p>
              </w:tc>
            </w:tr>
          </w:tbl>
          <w:p>
            <w:pPr>
              <w:jc w:val="center"/>
            </w:pPr>
            <w:pPr>
              <w:jc w:val="start"/>
              <w:spacing w:before="200"/>
              <w:pStyle w:val="ImageCaption"/>
            </w:pPr>
            <w:r>
              <w:t xml:space="preserve">Table 13: Spearman correlations between node degree and site sign richness (number of distinct sign types) within each Aurignacian phase, at the baseline threshold of 0.2.</w:t>
            </w:r>
          </w:p>
          <w:bookmarkEnd w:id="70"/>
        </w:tc>
      </w:tr>
    </w:tbl>
    <w:p>
      <w:pPr>
        <w:pStyle w:val="BodyText"/>
      </w:pPr>
      <w:r>
        <w:t xml:space="preserve">If degree is primarily driven by richness, the correlations will be strong and significant (</w:t>
      </w:r>
      <m:oMath>
        <m:r>
          <m:t>ρ</m:t>
        </m:r>
        <m:r>
          <m:rPr>
            <m:sty m:val="p"/>
          </m:rPr>
          <m:t>&gt;</m:t>
        </m:r>
        <m:r>
          <m:t>0.7</m:t>
        </m:r>
      </m:oMath>
      <w:r>
        <w:t xml:space="preserve">,</w:t>
      </w:r>
      <w:r>
        <w:t xml:space="preserve"> </w:t>
      </w:r>
      <m:oMath>
        <m:r>
          <m:t>p</m:t>
        </m:r>
        <m:r>
          <m:rPr>
            <m:sty m:val="p"/>
          </m:rPr>
          <m:t>&lt;</m:t>
        </m:r>
        <m:r>
          <m:t>0.05</m:t>
        </m:r>
      </m:oMath>
      <w:r>
        <w:t xml:space="preserve">). If degree reflects genuine co-occurrence patterns beyond raw sign counts, the correlations will be weak or non-significant.</w:t>
      </w:r>
    </w:p>
    <w:p>
      <w:pPr>
        <w:pStyle w:val="BodyText"/>
      </w:pPr>
      <w:r>
        <w:rPr>
          <w:bCs/>
          <w:b/>
        </w:rPr>
        <w:t xml:space="preserve">Implications for the main text.</w:t>
      </w:r>
      <w:r>
        <w:t xml:space="preserve"> </w:t>
      </w:r>
      <w:r>
        <w:t xml:space="preserve">Neither phase shows a significant correlation between node degree and sign-type richness (Aur-P1: ρ = -0.254, p = 0.280; Aur-P2: ρ = 0.163, p = 0.676). This is a critical finding for the main-text interpretation: the higher mean degree observed in Aur-P1 (7.50 at the baseline threshold) compared to Aur-P2 (4.22) is not simply an artefact of the Aur-P1 phase containing sites with richer sign assemblages. If richer assemblages mechanically produced more edges, we would expect a strong positive correlation between richness and degree , but the Aur-P1 correlation is slightly negative (ρ = -0.254, p = 0.280) and the Aur-P2 correlation, while positive, is far from significant given the small sample. The main-text conclusion that Aur-P1 represents a denser social network therefore reflects genuine co-occurrence of shared sign types across sites, not a statistical artefact of assemblage size.</w:t>
      </w:r>
    </w:p>
    <w:bookmarkEnd w:id="71"/>
    <w:bookmarkStart w:id="78" w:name="sec-s5-5"/>
    <w:p>
      <w:pPr>
        <w:pStyle w:val="Heading2"/>
      </w:pPr>
      <w:r>
        <w:t xml:space="preserve">S5.5 Phase-Boundary Sensitivity</w:t>
      </w:r>
    </w:p>
    <w:bookmarkStart w:id="74" w:name="rationale-3"/>
    <w:p>
      <w:pPr>
        <w:pStyle w:val="Heading3"/>
      </w:pPr>
      <w:r>
        <w:t xml:space="preserve">Rationale</w:t>
      </w:r>
    </w:p>
    <w:p>
      <w:pPr>
        <w:pStyle w:val="FirstParagraph"/>
      </w:pPr>
      <w:r>
        <w:t xml:space="preserve">The two-phase periodisation uses a single calibrated MedianBP threshold of 37799 separating Aur-P1 (43.0–37.8 ka) from Aur-P2 (37.8–32.0 ka). This is a conventional round number, not derived from a formal change-point analysis. Objects with calibrated dates near this boundary could be assigned to either phase depending on the exact threshold chosen. This section tests whether the network-level findings are sensitive to the placement of this boundary by shifting it by ±500 and ±1000 years. The technology-based overrides are held fixed (Geissenklösterle, Vogelherd, La Ferrassie, and Abri Pataud in Aur-P1; Hohle Fels at the layer level , AH V in Aur-P1 and AH IV, III and the II-series in Aur-P2; Mladeč in Aur-P2; Spy and El Castillo excluded), so the test isolates the effect of the date-based cutoff.</w:t>
      </w:r>
    </w:p>
    <w:tbl>
      <w:tblPr>
        <w:tblStyle w:val="Table"/>
        <w:tblW w:type="pct" w:w="5000"/>
        <w:tblLook w:firstRow="0" w:lastRow="0" w:firstColumn="0" w:lastColumn="0" w:noHBand="0" w:noVBand="0" w:val="0000"/>
        <w:jc w:val="start"/>
        <w:tblLayout w:type="fixed"/>
      </w:tblPr>
      <w:tblGrid>
        <w:gridCol w:w="7920"/>
      </w:tblGrid>
      <w:tr>
        <w:tc>
          <w:tcPr/>
          <w:bookmarkStart w:id="72" w:name="tbl-boundary-proximity"/>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Boundary</w:t>
                  </w:r>
                </w:p>
              </w:tc>
              <w:tc>
                <w:tcPr/>
                <w:p>
                  <w:pPr>
                    <w:pStyle w:val="Compact"/>
                    <w:jc w:val="left"/>
                    <w:jc w:val="center"/>
                  </w:pPr>
                  <w:r>
                    <w:t xml:space="preserve">Window</w:t>
                  </w:r>
                </w:p>
              </w:tc>
              <w:tc>
                <w:tcPr/>
                <w:p>
                  <w:pPr>
                    <w:pStyle w:val="Compact"/>
                    <w:jc w:val="right"/>
                    <w:jc w:val="center"/>
                  </w:pPr>
                  <w:r>
                    <w:t xml:space="preserve">Objects</w:t>
                  </w:r>
                </w:p>
              </w:tc>
              <w:tc>
                <w:tcPr/>
                <w:p>
                  <w:pPr>
                    <w:pStyle w:val="Compact"/>
                    <w:jc w:val="right"/>
                    <w:jc w:val="center"/>
                  </w:pPr>
                  <w:r>
                    <w:t xml:space="preserve">Sites</w:t>
                  </w:r>
                </w:p>
              </w:tc>
            </w:tr>
            <w:tr>
              <w:tc>
                <w:tcPr/>
                <w:p>
                  <w:pPr>
                    <w:pStyle w:val="Compact"/>
                    <w:jc w:val="left"/>
                    <w:jc w:val="center"/>
                  </w:pPr>
                  <w:r>
                    <w:t xml:space="preserve">Aur-P1/Aur-P2 (37799 BP)</w:t>
                  </w:r>
                </w:p>
              </w:tc>
              <w:tc>
                <w:tcPr/>
                <w:p>
                  <w:pPr>
                    <w:pStyle w:val="Compact"/>
                    <w:jc w:val="left"/>
                    <w:jc w:val="center"/>
                  </w:pPr>
                  <w:r>
                    <w:t xml:space="preserve">±500 years</w:t>
                  </w:r>
                </w:p>
              </w:tc>
              <w:tc>
                <w:tcPr/>
                <w:p>
                  <w:pPr>
                    <w:pStyle w:val="Compact"/>
                    <w:jc w:val="right"/>
                    <w:jc w:val="center"/>
                  </w:pPr>
                  <w:r>
                    <w:t xml:space="preserve">33</w:t>
                  </w:r>
                </w:p>
              </w:tc>
              <w:tc>
                <w:tcPr/>
                <w:p>
                  <w:pPr>
                    <w:pStyle w:val="Compact"/>
                    <w:jc w:val="right"/>
                    <w:jc w:val="center"/>
                  </w:pPr>
                  <w:r>
                    <w:t xml:space="preserve">3</w:t>
                  </w:r>
                </w:p>
              </w:tc>
            </w:tr>
            <w:tr>
              <w:tc>
                <w:tcPr/>
                <w:p>
                  <w:pPr>
                    <w:pStyle w:val="Compact"/>
                    <w:jc w:val="left"/>
                    <w:jc w:val="center"/>
                  </w:pPr>
                  <w:r>
                    <w:t xml:space="preserve">Aur-P1/Aur-P2 (37799 BP)</w:t>
                  </w:r>
                </w:p>
              </w:tc>
              <w:tc>
                <w:tcPr/>
                <w:p>
                  <w:pPr>
                    <w:pStyle w:val="Compact"/>
                    <w:jc w:val="left"/>
                    <w:jc w:val="center"/>
                  </w:pPr>
                  <w:r>
                    <w:t xml:space="preserve">±1000 years</w:t>
                  </w:r>
                </w:p>
              </w:tc>
              <w:tc>
                <w:tcPr/>
                <w:p>
                  <w:pPr>
                    <w:pStyle w:val="Compact"/>
                    <w:jc w:val="right"/>
                    <w:jc w:val="center"/>
                  </w:pPr>
                  <w:r>
                    <w:t xml:space="preserve">85</w:t>
                  </w:r>
                </w:p>
              </w:tc>
              <w:tc>
                <w:tcPr/>
                <w:p>
                  <w:pPr>
                    <w:pStyle w:val="Compact"/>
                    <w:jc w:val="right"/>
                    <w:jc w:val="center"/>
                  </w:pPr>
                  <w:r>
                    <w:t xml:space="preserve">7</w:t>
                  </w:r>
                </w:p>
              </w:tc>
            </w:tr>
          </w:tbl>
          <w:p>
            <w:pPr>
              <w:jc w:val="center"/>
            </w:pPr>
            <w:pPr>
              <w:jc w:val="start"/>
              <w:spacing w:before="200"/>
              <w:pStyle w:val="ImageCaption"/>
            </w:pPr>
            <w:r>
              <w:t xml:space="preserve">Table 14: Number of objects and sites within ±500 and ±1000 calibrated years of the single periodisation boundary at 37799 BP separating Aur-P1 from Aur-P2.</w:t>
            </w:r>
          </w:p>
          <w:bookmarkEnd w:id="72"/>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73" w:name="tbl-boundary-shifts"/>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Shift</w:t>
                  </w:r>
                </w:p>
              </w:tc>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Mean degree</w:t>
                  </w:r>
                </w:p>
              </w:tc>
              <w:tc>
                <w:tcPr/>
                <w:p>
                  <w:pPr>
                    <w:pStyle w:val="Compact"/>
                    <w:jc w:val="right"/>
                    <w:jc w:val="center"/>
                  </w:pPr>
                  <w:r>
                    <w:t xml:space="preserve">Modularity</w:t>
                  </w:r>
                </w:p>
              </w:tc>
            </w:tr>
            <w:tr>
              <w:tc>
                <w:tcPr/>
                <w:p>
                  <w:pPr>
                    <w:pStyle w:val="Compact"/>
                    <w:jc w:val="left"/>
                    <w:jc w:val="center"/>
                  </w:pPr>
                  <w:r>
                    <w:t xml:space="preserve">Baseline</w:t>
                  </w:r>
                </w:p>
              </w:tc>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7.50</w:t>
                  </w:r>
                </w:p>
              </w:tc>
              <w:tc>
                <w:tcPr/>
                <w:p>
                  <w:pPr>
                    <w:pStyle w:val="Compact"/>
                    <w:jc w:val="right"/>
                    <w:jc w:val="center"/>
                  </w:pPr>
                  <w:r>
                    <w:t xml:space="preserve">0.336</w:t>
                  </w:r>
                </w:p>
              </w:tc>
            </w:tr>
            <w:tr>
              <w:tc>
                <w:tcPr/>
                <w:p>
                  <w:pPr>
                    <w:pStyle w:val="Compact"/>
                    <w:jc w:val="left"/>
                    <w:jc w:val="center"/>
                  </w:pPr>
                  <w:r>
                    <w:t xml:space="preserve">Baseline</w:t>
                  </w:r>
                </w:p>
              </w:tc>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4.22</w:t>
                  </w:r>
                </w:p>
              </w:tc>
              <w:tc>
                <w:tcPr/>
                <w:p>
                  <w:pPr>
                    <w:pStyle w:val="Compact"/>
                    <w:jc w:val="right"/>
                    <w:jc w:val="center"/>
                  </w:pPr>
                  <w:r>
                    <w:t xml:space="preserve">0.161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16</w:t>
                  </w:r>
                </w:p>
              </w:tc>
              <w:tc>
                <w:tcPr/>
                <w:p>
                  <w:pPr>
                    <w:pStyle w:val="Compact"/>
                    <w:jc w:val="right"/>
                    <w:jc w:val="center"/>
                  </w:pPr>
                  <w:r>
                    <w:t xml:space="preserve">53</w:t>
                  </w:r>
                </w:p>
              </w:tc>
              <w:tc>
                <w:tcPr/>
                <w:p>
                  <w:pPr>
                    <w:pStyle w:val="Compact"/>
                    <w:jc w:val="right"/>
                    <w:jc w:val="center"/>
                  </w:pPr>
                  <w:r>
                    <w:t xml:space="preserve">6.62</w:t>
                  </w:r>
                </w:p>
              </w:tc>
              <w:tc>
                <w:tcPr/>
                <w:p>
                  <w:pPr>
                    <w:pStyle w:val="Compact"/>
                    <w:jc w:val="right"/>
                    <w:jc w:val="center"/>
                  </w:pPr>
                  <w:r>
                    <w:t xml:space="preserve">0.343</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13</w:t>
                  </w:r>
                </w:p>
              </w:tc>
              <w:tc>
                <w:tcPr/>
                <w:p>
                  <w:pPr>
                    <w:pStyle w:val="Compact"/>
                    <w:jc w:val="right"/>
                    <w:jc w:val="center"/>
                  </w:pPr>
                  <w:r>
                    <w:t xml:space="preserve">32</w:t>
                  </w:r>
                </w:p>
              </w:tc>
              <w:tc>
                <w:tcPr/>
                <w:p>
                  <w:pPr>
                    <w:pStyle w:val="Compact"/>
                    <w:jc w:val="right"/>
                    <w:jc w:val="center"/>
                  </w:pPr>
                  <w:r>
                    <w:t xml:space="preserve">4.92</w:t>
                  </w:r>
                </w:p>
              </w:tc>
              <w:tc>
                <w:tcPr/>
                <w:p>
                  <w:pPr>
                    <w:pStyle w:val="Compact"/>
                    <w:jc w:val="right"/>
                    <w:jc w:val="center"/>
                  </w:pPr>
                  <w:r>
                    <w:t xml:space="preserve">0.200</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19</w:t>
                  </w:r>
                </w:p>
              </w:tc>
              <w:tc>
                <w:tcPr/>
                <w:p>
                  <w:pPr>
                    <w:pStyle w:val="Compact"/>
                    <w:jc w:val="right"/>
                    <w:jc w:val="center"/>
                  </w:pPr>
                  <w:r>
                    <w:t xml:space="preserve">66</w:t>
                  </w:r>
                </w:p>
              </w:tc>
              <w:tc>
                <w:tcPr/>
                <w:p>
                  <w:pPr>
                    <w:pStyle w:val="Compact"/>
                    <w:jc w:val="right"/>
                    <w:jc w:val="center"/>
                  </w:pPr>
                  <w:r>
                    <w:t xml:space="preserve">6.95</w:t>
                  </w:r>
                </w:p>
              </w:tc>
              <w:tc>
                <w:tcPr/>
                <w:p>
                  <w:pPr>
                    <w:pStyle w:val="Compact"/>
                    <w:jc w:val="right"/>
                    <w:jc w:val="center"/>
                  </w:pPr>
                  <w:r>
                    <w:t xml:space="preserve">0.330</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10</w:t>
                  </w:r>
                </w:p>
              </w:tc>
              <w:tc>
                <w:tcPr/>
                <w:p>
                  <w:pPr>
                    <w:pStyle w:val="Compact"/>
                    <w:jc w:val="right"/>
                    <w:jc w:val="center"/>
                  </w:pPr>
                  <w:r>
                    <w:t xml:space="preserve">24</w:t>
                  </w:r>
                </w:p>
              </w:tc>
              <w:tc>
                <w:tcPr/>
                <w:p>
                  <w:pPr>
                    <w:pStyle w:val="Compact"/>
                    <w:jc w:val="right"/>
                    <w:jc w:val="center"/>
                  </w:pPr>
                  <w:r>
                    <w:t xml:space="preserve">4.80</w:t>
                  </w:r>
                </w:p>
              </w:tc>
              <w:tc>
                <w:tcPr/>
                <w:p>
                  <w:pPr>
                    <w:pStyle w:val="Compact"/>
                    <w:jc w:val="right"/>
                    <w:jc w:val="center"/>
                  </w:pPr>
                  <w:r>
                    <w:t xml:space="preserve">0.171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bl>
          <w:p>
            <w:pPr>
              <w:jc w:val="center"/>
            </w:pPr>
            <w:pPr>
              <w:jc w:val="start"/>
              <w:spacing w:before="200"/>
              <w:pStyle w:val="ImageCaption"/>
            </w:pPr>
            <w:r>
              <w:t xml:space="preserve">Table 15: Network statistics at the baseline threshold of 0.2 under shifts of the single Aur-P1/Aur-P2 boundary. Positive shifts move the boundary later (older objects reassigned to Aur-P2); negative shifts move it earlier (younger Aur-P2 objects reassigned to Aur-P1).</w:t>
            </w:r>
          </w:p>
          <w:bookmarkEnd w:id="73"/>
        </w:tc>
      </w:tr>
    </w:tbl>
    <w:bookmarkEnd w:id="74"/>
    <w:bookmarkStart w:id="75" w:name="diagnostic-interpretation"/>
    <w:p>
      <w:pPr>
        <w:pStyle w:val="Heading3"/>
      </w:pPr>
      <w:r>
        <w:t xml:space="preserve">Diagnostic interpretation</w:t>
      </w:r>
    </w:p>
    <w:p>
      <w:pPr>
        <w:pStyle w:val="FirstParagraph"/>
      </w:pPr>
      <w:r>
        <w:t xml:space="preserve">85 objects from 7 sites fall within ±1000 calibrated years of the boundary at 37799 BP, and 33 objects from 3 sites within ±500 years. The sites closest to the boundary are Hohle Fels (MedianBP 37683, just 116 years below the threshold) and Vindija Cave (37615, 184 years below), while the closest site above the threshold is Blanchard (38235, 436 years above). Because only an upward shift can transfer sites into Aur-P2, and only a downward shift into Aur-P1, the reassignments are asymmetric: a downward shift of 500 years moves Vindija Cave from Aur-P2 to Aur-P1 (the only Aur-P2 site within reach), while an upward shift of 500 years moves Blanchard into Aur-P2 and an upward shift of 1000 years additionally moves Cellier, Trou al’Wesse, and Grottes de Fonds-de-Forêt. Hohle Fels lies just below the boundary, but its near-boundary objects belong to AH IV, which the technology-based override fixes in Aur-P2 (its Aur-P1 horizon, AH V, is well above the boundary), so it does not change phase under any shift. The boundary-sensitive sites are therefore few and, apart from Cellier (28 objects) and Blanchard (18 objects), small.</w:t>
      </w:r>
    </w:p>
    <w:bookmarkEnd w:id="75"/>
    <w:bookmarkStart w:id="76" w:name="independent-shift-interpretation"/>
    <w:p>
      <w:pPr>
        <w:pStyle w:val="Heading3"/>
      </w:pPr>
      <w:r>
        <w:t xml:space="preserve">Independent-shift interpretation</w:t>
      </w:r>
    </w:p>
    <w:p>
      <w:pPr>
        <w:pStyle w:val="FirstParagraph"/>
      </w:pPr>
      <w:r>
        <w:t xml:space="preserve">The independent-shift analysis shifts the single P1/P2 boundary while holding the technology-based overrides fixed. Across the four shifts tested, the Aur-P1 mean degree ranges from 6.62–7.81 and Aur-P2 from 3.75–4.92. The Aur-P1 &gt; Aur-P2 connectivity ordering is preserved in all 4 shifts: a downward shift adds Vindija Cave to Aur-P1, raising its mean degree to 7.81 (82 edges) while shrinking Aur-P2 to 8 sites (mean degree 3.75); an upward shift transfers sites the other way, with Aur-P1 at 16 sites after the ±1000 year shift yet still averaging 6.62, above Aur-P2’s 4.92. Modularity is stable: Aur-P1 ranges from 0.330 to 0.343 across shifts (baseline 0.336) and Aur-P2 from 0.154 to 0.200 (baseline 0.161), indicating that the community structure in both phases is not sensitive to boundary placement.</w:t>
      </w:r>
    </w:p>
    <w:bookmarkEnd w:id="76"/>
    <w:bookmarkStart w:id="77" w:name="conclusion"/>
    <w:p>
      <w:pPr>
        <w:pStyle w:val="Heading3"/>
      </w:pPr>
      <w:r>
        <w:t xml:space="preserve">Conclusion</w:t>
      </w:r>
    </w:p>
    <w:p>
      <w:pPr>
        <w:pStyle w:val="FirstParagraph"/>
      </w:pPr>
      <w:r>
        <w:t xml:space="preserve">The two-phase results are robust to the placement of the single periodisation boundary. Shifting it by ±1000 calibrated years moves at most five sites between phases (Vindija Cave into Aur-P1; Blanchard, Cellier, Trou al’Wesse, and Grottes de Fonds-de-Forêt into Aur-P2), and in every scenario Aur-P1 retains both more sites and a higher mean degree than Aur-P2. The main-text conclusion that Aur-P1 forms a more densely connected network than Aur-P2 is therefore not an artefact of the exact boundary value; the strength of the contrast shifts with the boundary, but its direction does not.</w:t>
      </w:r>
    </w:p>
    <w:bookmarkEnd w:id="77"/>
    <w:bookmarkEnd w:id="78"/>
    <w:bookmarkStart w:id="83" w:name="sec-s5-6"/>
    <w:p>
      <w:pPr>
        <w:pStyle w:val="Heading2"/>
      </w:pPr>
      <w:r>
        <w:t xml:space="preserve">S5.6 Continuous Threshold Sweep</w:t>
      </w:r>
    </w:p>
    <w:p>
      <w:pPr>
        <w:pStyle w:val="FirstParagraph"/>
      </w:pPr>
      <w:r>
        <w:t xml:space="preserve">The main text reports statistics at three discrete thresholds (0.1, 0.2, 0.3). This section sweeps the Jaccard similarity threshold from 0.05 to 0.50 in steps of 0.05, recomputing mean degree and modularity for each phase at each threshold, to identify the range over which the observed contrasts hold.</w:t>
      </w:r>
    </w:p>
    <w:tbl>
      <w:tblPr>
        <w:tblStyle w:val="Table"/>
        <w:tblW w:type="pct" w:w="5000"/>
        <w:tblLook w:firstRow="0" w:lastRow="0" w:firstColumn="0" w:lastColumn="0" w:noHBand="0" w:noVBand="0" w:val="0000"/>
        <w:jc w:val="start"/>
        <w:tblLayout w:type="fixed"/>
      </w:tblPr>
      <w:tblGrid>
        <w:gridCol w:w="7920"/>
      </w:tblGrid>
      <w:tr>
        <w:tc>
          <w:tcPr/>
          <w:bookmarkStart w:id="82" w:name="fig-threshold-sweep"/>
          <w:p>
            <w:pPr>
              <w:pStyle w:val="Compact"/>
              <w:jc w:val="center"/>
            </w:pPr>
            <w:r>
              <w:drawing>
                <wp:inline>
                  <wp:extent cx="5943600" cy="2971800"/>
                  <wp:effectExtent b="0" l="0" r="0" t="0"/>
                  <wp:docPr descr="" title="" id="80" name="Picture"/>
                  <a:graphic>
                    <a:graphicData uri="http://schemas.openxmlformats.org/drawingml/2006/picture">
                      <pic:pic>
                        <pic:nvPicPr>
                          <pic:cNvPr descr="S1-supplement-sensitivity_files/figure-docx/fig-threshold-sweep-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Mean degree (left) and modularity (right) for each Aurignacian phase across a continuous range of Jaccard similarity thresholds. The vertical dashed line marks the baseline threshold of 0.2.</w:t>
            </w:r>
          </w:p>
          <w:bookmarkEnd w:id="82"/>
        </w:tc>
      </w:tr>
    </w:tbl>
    <w:p>
      <w:pPr>
        <w:pStyle w:val="BodyText"/>
      </w:pPr>
      <w:r>
        <w:t xml:space="preserve">The sweep reveals the threshold range over which the Aur-P1 &gt; Aur-P2 mean-degree ordering holds. The two-phase contrast is monotonic and holds at every threshold in the swept range: Aur-P1’s mean degree runs from 2.80–14.80 and Aur-P2’s from 2.00–7.11 across thresholds of 0.05–0.50, and the ordering is preserved throughout. At very low thresholds both networks are densely connected and the relative contrast compresses; at high thresholds both fragment as edges drop out, but Aur-P2 retains a mean degree of at least 2.00 even at the coarsest threshold (0.50), so the contrast never collapses.</w:t>
      </w:r>
    </w:p>
    <w:p>
      <w:pPr>
        <w:pStyle w:val="BodyText"/>
      </w:pPr>
      <w:r>
        <w:rPr>
          <w:bCs/>
          <w:b/>
        </w:rPr>
        <w:t xml:space="preserve">Implications for the main text.</w:t>
      </w:r>
      <w:r>
        <w:t xml:space="preserve"> </w:t>
      </w:r>
      <w:r>
        <w:t xml:space="preserve">The continuous sweep confirms that the main-text threshold of 0.2 is not a cherry-picked value that produces a desired result. The Aur-P1 &gt; Aur-P2 mean-degree ordering is preserved across the entire informative threshold range (0.05–0.50). In contrast to a three-phase periodisation, in which the intermediate phase could be compressed into statistical collapse at high thresholds, the two-phase comparison is stable: Aur-P2, though small, never fragments below a mean degree of 2.00. The modularity sweep shows a parallel pattern: Aur-P1’s modularity ranges from 0.204–0.437 across thresholds and consistently exceeds Aur-P2’s (0.085–0.161) at every threshold, reinforcing the conclusion that the larger, earlier phase has a stronger community structure. The baseline threshold of 0.2 sits in the middle of this stable plateau, where both phases retain sufficient edges for meaningful comparison.</w:t>
      </w:r>
    </w:p>
    <w:bookmarkEnd w:id="83"/>
    <w:bookmarkStart w:id="85" w:name="sec-s5-7"/>
    <w:p>
      <w:pPr>
        <w:pStyle w:val="Heading2"/>
      </w:pPr>
      <w:r>
        <w:t xml:space="preserve">S5.7 Bootstrap Confidence Intervals</w:t>
      </w:r>
    </w:p>
    <w:p>
      <w:pPr>
        <w:pStyle w:val="FirstParagraph"/>
      </w:pPr>
      <w:r>
        <w:t xml:space="preserve">Point estimates of network statistics are sensitive to individual sites and to object sampling within sites. Resampling sites with replacement creates duplicate nodes (similarity 1, distance 0) and inflates mean degree and narrows intervals</w:t>
      </w:r>
      <w:r>
        <w:t xml:space="preserve"> </w:t>
      </w:r>
      <w:r>
        <w:t xml:space="preserve">[5,6]</w:t>
      </w:r>
      <w:r>
        <w:t xml:space="preserve">. This section therefore uses object-within-site bootstrap: for each site, draw its observed number of objects with replacement from that site’s own objects, rebuild the site x sign presence matrix, and recompute mean degree and modularity at threshold 0.2. Node identity is preserved; uncertainty reflects object sampling rather than artificial duplication. We report the observed statistic and a percentile interval around it.</w:t>
      </w:r>
    </w:p>
    <w:tbl>
      <w:tblPr>
        <w:tblStyle w:val="Table"/>
        <w:tblW w:type="pct" w:w="5000"/>
        <w:tblLook w:firstRow="0" w:lastRow="0" w:firstColumn="0" w:lastColumn="0" w:noHBand="0" w:noVBand="0" w:val="0000"/>
        <w:jc w:val="start"/>
        <w:tblLayout w:type="fixed"/>
      </w:tblPr>
      <w:tblGrid>
        <w:gridCol w:w="7920"/>
      </w:tblGrid>
      <w:tr>
        <w:tc>
          <w:tcPr/>
          <w:bookmarkStart w:id="84" w:name="tbl-bootstrap-ci"/>
          <w:tbl>
            <w:tblPr>
              <w:tblStyle w:val="Table"/>
              <w:tblW w:type="pct" w:w="5000"/>
              <w:tblLook w:firstRow="1" w:lastRow="0" w:firstColumn="0" w:lastColumn="0" w:noHBand="0" w:noVBand="0" w:val="0020"/>
              <w:jc w:val="start"/>
              <w:tblLayout w:type="fixed"/>
            </w:tblPr>
            <w:tblGrid>
              <w:gridCol w:w="770"/>
              <w:gridCol w:w="2640"/>
              <w:gridCol w:w="660"/>
              <w:gridCol w:w="770"/>
              <w:gridCol w:w="1540"/>
              <w:gridCol w:w="770"/>
              <w:gridCol w:w="770"/>
            </w:tblGrid>
            <w:tr>
              <w:trPr>
                <w:tblHeader w:val="true"/>
              </w:trPr>
              <w:tc>
                <w:tcPr/>
                <w:p>
                  <w:pPr>
                    <w:pStyle w:val="Compact"/>
                    <w:jc w:val="left"/>
                    <w:jc w:val="center"/>
                  </w:pPr>
                  <w:r>
                    <w:t xml:space="preserve">Phase</w:t>
                  </w:r>
                </w:p>
              </w:tc>
              <w:tc>
                <w:tcPr/>
                <w:p>
                  <w:pPr>
                    <w:pStyle w:val="Compact"/>
                    <w:jc w:val="center"/>
                    <w:jc w:val="center"/>
                  </w:pPr>
                  <w:r>
                    <w:t xml:space="preserve">Mean degree (observed)</w:t>
                  </w:r>
                </w:p>
              </w:tc>
              <w:tc>
                <w:tcPr/>
                <w:p>
                  <w:pPr>
                    <w:pStyle w:val="Compact"/>
                    <w:jc w:val="center"/>
                    <w:jc w:val="center"/>
                  </w:pPr>
                  <w:r>
                    <w:t xml:space="preserve">2.5%</w:t>
                  </w:r>
                </w:p>
              </w:tc>
              <w:tc>
                <w:tcPr/>
                <w:p>
                  <w:pPr>
                    <w:pStyle w:val="Compact"/>
                    <w:jc w:val="center"/>
                    <w:jc w:val="center"/>
                  </w:pPr>
                  <w:r>
                    <w:t xml:space="preserve">97.5%</w:t>
                  </w:r>
                </w:p>
              </w:tc>
              <w:tc>
                <w:tcPr/>
                <w:p>
                  <w:pPr>
                    <w:pStyle w:val="Compact"/>
                    <w:jc w:val="center"/>
                    <w:jc w:val="center"/>
                  </w:pPr>
                  <w:r>
                    <w:t xml:space="preserve">Q (observed)</w:t>
                  </w:r>
                </w:p>
              </w:tc>
              <w:tc>
                <w:tcPr/>
                <w:p>
                  <w:pPr>
                    <w:pStyle w:val="Compact"/>
                    <w:jc w:val="center"/>
                    <w:jc w:val="center"/>
                  </w:pPr>
                  <w:r>
                    <w:t xml:space="preserve">2.5%</w:t>
                  </w:r>
                </w:p>
              </w:tc>
              <w:tc>
                <w:tcPr/>
                <w:p>
                  <w:pPr>
                    <w:pStyle w:val="Compact"/>
                    <w:jc w:val="center"/>
                    <w:jc w:val="center"/>
                  </w:pPr>
                  <w:r>
                    <w:t xml:space="preserve">97.5%</w:t>
                  </w:r>
                </w:p>
              </w:tc>
            </w:tr>
            <w:tr>
              <w:tc>
                <w:tcPr/>
                <w:p>
                  <w:pPr>
                    <w:pStyle w:val="Compact"/>
                    <w:jc w:val="left"/>
                    <w:jc w:val="center"/>
                  </w:pPr>
                  <w:r>
                    <w:t xml:space="preserve">Aur-P1</w:t>
                  </w:r>
                </w:p>
              </w:tc>
              <w:tc>
                <w:tcPr/>
                <w:p>
                  <w:pPr>
                    <w:pStyle w:val="Compact"/>
                    <w:jc w:val="center"/>
                    <w:jc w:val="center"/>
                  </w:pPr>
                  <w:r>
                    <w:t xml:space="preserve">7.50</w:t>
                  </w:r>
                </w:p>
              </w:tc>
              <w:tc>
                <w:tcPr/>
                <w:p>
                  <w:pPr>
                    <w:pStyle w:val="Compact"/>
                    <w:jc w:val="center"/>
                    <w:jc w:val="center"/>
                  </w:pPr>
                  <w:r>
                    <w:t xml:space="preserve">7.20</w:t>
                  </w:r>
                </w:p>
              </w:tc>
              <w:tc>
                <w:tcPr/>
                <w:p>
                  <w:pPr>
                    <w:pStyle w:val="Compact"/>
                    <w:jc w:val="center"/>
                    <w:jc w:val="center"/>
                  </w:pPr>
                  <w:r>
                    <w:t xml:space="preserve">7.20</w:t>
                  </w:r>
                </w:p>
              </w:tc>
              <w:tc>
                <w:tcPr/>
                <w:p>
                  <w:pPr>
                    <w:pStyle w:val="Compact"/>
                    <w:jc w:val="center"/>
                    <w:jc w:val="center"/>
                  </w:pPr>
                  <w:r>
                    <w:t xml:space="preserve">0.336</w:t>
                  </w:r>
                </w:p>
              </w:tc>
              <w:tc>
                <w:tcPr/>
                <w:p>
                  <w:pPr>
                    <w:pStyle w:val="Compact"/>
                    <w:jc w:val="center"/>
                    <w:jc w:val="center"/>
                  </w:pPr>
                  <w:r>
                    <w:t xml:space="preserve">0.312</w:t>
                  </w:r>
                </w:p>
              </w:tc>
              <w:tc>
                <w:tcPr/>
                <w:p>
                  <w:pPr>
                    <w:pStyle w:val="Compact"/>
                    <w:jc w:val="center"/>
                    <w:jc w:val="center"/>
                  </w:pPr>
                  <w:r>
                    <w:t xml:space="preserve">0.312</w:t>
                  </w:r>
                </w:p>
              </w:tc>
            </w:tr>
            <w:tr>
              <w:tc>
                <w:tcPr/>
                <w:p>
                  <w:pPr>
                    <w:pStyle w:val="Compact"/>
                    <w:jc w:val="left"/>
                    <w:jc w:val="center"/>
                  </w:pPr>
                  <w:r>
                    <w:t xml:space="preserve">Aur-P2</w:t>
                  </w:r>
                </w:p>
              </w:tc>
              <w:tc>
                <w:tcPr/>
                <w:p>
                  <w:pPr>
                    <w:pStyle w:val="Compact"/>
                    <w:jc w:val="center"/>
                    <w:jc w:val="center"/>
                  </w:pPr>
                  <w:r>
                    <w:t xml:space="preserve">4.22</w:t>
                  </w:r>
                </w:p>
              </w:tc>
              <w:tc>
                <w:tcPr/>
                <w:p>
                  <w:pPr>
                    <w:pStyle w:val="Compact"/>
                    <w:jc w:val="center"/>
                    <w:jc w:val="center"/>
                  </w:pPr>
                  <w:r>
                    <w:t xml:space="preserve">4.89</w:t>
                  </w:r>
                </w:p>
              </w:tc>
              <w:tc>
                <w:tcPr/>
                <w:p>
                  <w:pPr>
                    <w:pStyle w:val="Compact"/>
                    <w:jc w:val="center"/>
                    <w:jc w:val="center"/>
                  </w:pPr>
                  <w:r>
                    <w:t xml:space="preserve">4.89</w:t>
                  </w:r>
                </w:p>
              </w:tc>
              <w:tc>
                <w:tcPr/>
                <w:p>
                  <w:pPr>
                    <w:pStyle w:val="Compact"/>
                    <w:jc w:val="center"/>
                    <w:jc w:val="center"/>
                  </w:pPr>
                  <w:r>
                    <w:t xml:space="preserve">0.161</w:t>
                  </w:r>
                </w:p>
              </w:tc>
              <w:tc>
                <w:tcPr/>
                <w:p>
                  <w:pPr>
                    <w:pStyle w:val="Compact"/>
                    <w:jc w:val="center"/>
                    <w:jc w:val="center"/>
                  </w:pPr>
                  <w:r>
                    <w:t xml:space="preserve">0.118</w:t>
                  </w:r>
                </w:p>
              </w:tc>
              <w:tc>
                <w:tcPr/>
                <w:p>
                  <w:pPr>
                    <w:pStyle w:val="Compact"/>
                    <w:jc w:val="center"/>
                    <w:jc w:val="center"/>
                  </w:pPr>
                  <w:r>
                    <w:t xml:space="preserve">0.118</w:t>
                  </w:r>
                </w:p>
              </w:tc>
            </w:tr>
          </w:tbl>
          <w:p>
            <w:pPr>
              <w:jc w:val="center"/>
            </w:pPr>
            <w:pPr>
              <w:jc w:val="start"/>
              <w:spacing w:before="200"/>
              <w:pStyle w:val="ImageCaption"/>
            </w:pPr>
            <w:r>
              <w:t xml:space="preserve">Table 16: Bootstrap 95% percentile intervals for mean degree and modularity at threshold = 0.2, based on 999 object-within-site resamples per phase. Observed is the statistic on the full data; interval is the 2.5% and 97.5% quantiles of the bootstrap distribution. Site-with-replacement bootstrap is not used because it creates duplicate nodes with similarity 1 and distance 0, inflating degree (Roberts et al. 2021).</w:t>
            </w:r>
          </w:p>
          <w:bookmarkEnd w:id="84"/>
        </w:tc>
      </w:tr>
    </w:tbl>
    <w:p>
      <w:pPr>
        <w:pStyle w:val="BodyText"/>
      </w:pPr>
      <w:r>
        <w:t xml:space="preserve">The intervals quantify uncertainty due to object sampling within sites: a narrow interval means the observed statistic is stable when objects are resampled within sites, while a wide interval signals sensitivity to which objects were recovered. Because node identity is preserved, intervals are centred on the observed statistic, not on a biased bootstrap mean. Non-overlapping intervals between phases would indicate the difference is not explained by within-site object sampling alone.</w:t>
      </w:r>
    </w:p>
    <w:p>
      <w:pPr>
        <w:pStyle w:val="BodyText"/>
      </w:pPr>
      <w:r>
        <w:rPr>
          <w:bCs/>
          <w:b/>
        </w:rPr>
        <w:t xml:space="preserve">Implications for the main text.</w:t>
      </w:r>
      <w:r>
        <w:t xml:space="preserve"> </w:t>
      </w:r>
      <w:r>
        <w:t xml:space="preserve">The object-within-site bootstrap CIs show which main-text comparisons are robust to object sampling. For mean degree, the Aur-P1 observed 7.50 with CI [7.20, 7.20] and Aur-P2 observed 4.22 with CI [4.89, 4.89] do not overlap. Because the intervals do not overlap, the bootstrap confirms that the Aur-P1–Aur-P2 connectivity contrast is not driven by a handful of influential sites. For modularity, the two CIs overlap substantially (Aur-P1 observed 0.336 CI [0.312, 0.312], Aur-P2 observed 0.161 CI [0.118, 0.118]), so the phase difference in modularity is not distinguishable when object sampling is taken into account. This matches S5.3: modularity should be treated cautiously, and the wide Aur-P2 interval reflects its small sample (9 sites). The mean-degree contrast remains clearly separated at the point-estimate level (7.50 vs 4.22), but the bootstrap shows it is not formally separated by the strict non-overlap criterion.</w:t>
      </w:r>
    </w:p>
    <w:bookmarkEnd w:id="85"/>
    <w:bookmarkStart w:id="87" w:name="sec-s5-8"/>
    <w:p>
      <w:pPr>
        <w:pStyle w:val="Heading2"/>
      </w:pPr>
      <w:r>
        <w:t xml:space="preserve">S5.8 Multiple‑Testing Correction for Mantel Results</w:t>
      </w:r>
    </w:p>
    <w:p>
      <w:pPr>
        <w:pStyle w:val="FirstParagraph"/>
      </w:pPr>
      <w:r>
        <w:t xml:space="preserve">The Mantel tests reported in</w:t>
      </w:r>
      <w:r>
        <w:t xml:space="preserve"> </w:t>
      </w:r>
      <w:hyperlink w:anchor="tbl-geodesic-mantel">
        <w:r>
          <w:rPr>
            <w:rStyle w:val="Hyperlink"/>
          </w:rPr>
          <w:t xml:space="preserve">Table 5</w:t>
        </w:r>
      </w:hyperlink>
      <w:r>
        <w:t xml:space="preserve"> </w:t>
      </w:r>
      <w:r>
        <w:t xml:space="preserve">and the main text evaluate 4 hypotheses (2 phases × 2 distance measures). Without correction, the effective Type I error rate is inflated. Here we apply the Benjamini–Hochberg procedure to control the false discovery rate at α = 0.05.</w:t>
      </w:r>
    </w:p>
    <w:tbl>
      <w:tblPr>
        <w:tblStyle w:val="Table"/>
        <w:tblW w:type="pct" w:w="5000"/>
        <w:tblLook w:firstRow="0" w:lastRow="0" w:firstColumn="0" w:lastColumn="0" w:noHBand="0" w:noVBand="0" w:val="0000"/>
        <w:jc w:val="start"/>
        <w:tblLayout w:type="fixed"/>
      </w:tblPr>
      <w:tblGrid>
        <w:gridCol w:w="7920"/>
      </w:tblGrid>
      <w:tr>
        <w:tc>
          <w:tcPr/>
          <w:bookmarkStart w:id="86" w:name="tbl-mantel-bh"/>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Test</w:t>
                  </w:r>
                </w:p>
              </w:tc>
              <w:tc>
                <w:tcPr/>
                <w:p>
                  <w:pPr>
                    <w:pStyle w:val="Compact"/>
                    <w:jc w:val="center"/>
                    <w:jc w:val="center"/>
                  </w:pPr>
                  <w:r>
                    <w:t xml:space="preserve">R</w:t>
                  </w:r>
                </w:p>
              </w:tc>
              <w:tc>
                <w:tcPr/>
                <w:p>
                  <w:pPr>
                    <w:pStyle w:val="Compact"/>
                    <w:jc w:val="center"/>
                    <w:jc w:val="center"/>
                  </w:pPr>
                  <w:r>
                    <w:t xml:space="preserve">Raw p</w:t>
                  </w:r>
                </w:p>
              </w:tc>
              <w:tc>
                <w:tcPr/>
                <w:p>
                  <w:pPr>
                    <w:pStyle w:val="Compact"/>
                    <w:jc w:val="center"/>
                    <w:jc w:val="center"/>
                  </w:pPr>
                  <w:r>
                    <w:t xml:space="preserve">BH-adjusted p</w:t>
                  </w:r>
                </w:p>
              </w:tc>
              <w:tc>
                <w:tcPr/>
                <w:p>
                  <w:pPr>
                    <w:pStyle w:val="Compact"/>
                    <w:jc w:val="center"/>
                    <w:jc w:val="center"/>
                  </w:pPr>
                  <w:r>
                    <w:t xml:space="preserve">Significant</w:t>
                  </w:r>
                </w:p>
              </w:tc>
            </w:tr>
            <w:tr>
              <w:tc>
                <w:tcPr/>
                <w:p>
                  <w:pPr>
                    <w:pStyle w:val="Compact"/>
                    <w:jc w:val="left"/>
                    <w:jc w:val="center"/>
                  </w:pPr>
                  <w:r>
                    <w:t xml:space="preserve">Euclidean – Aur-P1</w:t>
                  </w:r>
                </w:p>
              </w:tc>
              <w:tc>
                <w:tcPr/>
                <w:p>
                  <w:pPr>
                    <w:pStyle w:val="Compact"/>
                    <w:jc w:val="center"/>
                    <w:jc w:val="center"/>
                  </w:pPr>
                  <w:r>
                    <w:t xml:space="preserve">0.026</w:t>
                  </w:r>
                </w:p>
              </w:tc>
              <w:tc>
                <w:tcPr/>
                <w:p>
                  <w:pPr>
                    <w:pStyle w:val="Compact"/>
                    <w:jc w:val="center"/>
                    <w:jc w:val="center"/>
                  </w:pPr>
                  <w:r>
                    <w:t xml:space="preserve">0.371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Euclidean – Aur-P2</w:t>
                  </w:r>
                </w:p>
              </w:tc>
              <w:tc>
                <w:tcPr/>
                <w:p>
                  <w:pPr>
                    <w:pStyle w:val="Compact"/>
                    <w:jc w:val="center"/>
                    <w:jc w:val="center"/>
                  </w:pPr>
                  <w:r>
                    <w:t xml:space="preserve">-0.294</w:t>
                  </w:r>
                </w:p>
              </w:tc>
              <w:tc>
                <w:tcPr/>
                <w:p>
                  <w:pPr>
                    <w:pStyle w:val="Compact"/>
                    <w:jc w:val="center"/>
                    <w:jc w:val="center"/>
                  </w:pPr>
                  <w:r>
                    <w:t xml:space="preserve">0.965</w:t>
                  </w:r>
                </w:p>
              </w:tc>
              <w:tc>
                <w:tcPr/>
                <w:p>
                  <w:pPr>
                    <w:pStyle w:val="Compact"/>
                    <w:jc w:val="center"/>
                    <w:jc w:val="center"/>
                  </w:pPr>
                  <w:r>
                    <w:t xml:space="preserve">0.967</w:t>
                  </w:r>
                </w:p>
              </w:tc>
              <w:tc>
                <w:tcPr/>
                <w:p>
                  <w:pPr>
                    <w:pStyle w:val="Compact"/>
                    <w:jc w:val="center"/>
                    <w:jc w:val="center"/>
                  </w:pPr>
                  <w:r>
                    <w:t xml:space="preserve">No</w:t>
                  </w:r>
                </w:p>
              </w:tc>
            </w:tr>
            <w:tr>
              <w:tc>
                <w:tcPr/>
                <w:p>
                  <w:pPr>
                    <w:pStyle w:val="Compact"/>
                    <w:jc w:val="left"/>
                    <w:jc w:val="center"/>
                  </w:pPr>
                  <w:r>
                    <w:t xml:space="preserve">Geodesic – Aur-P1</w:t>
                  </w:r>
                </w:p>
              </w:tc>
              <w:tc>
                <w:tcPr/>
                <w:p>
                  <w:pPr>
                    <w:pStyle w:val="Compact"/>
                    <w:jc w:val="center"/>
                    <w:jc w:val="center"/>
                  </w:pPr>
                  <w:r>
                    <w:t xml:space="preserve">0.046</w:t>
                  </w:r>
                </w:p>
              </w:tc>
              <w:tc>
                <w:tcPr/>
                <w:p>
                  <w:pPr>
                    <w:pStyle w:val="Compact"/>
                    <w:jc w:val="center"/>
                    <w:jc w:val="center"/>
                  </w:pPr>
                  <w:r>
                    <w:t xml:space="preserve">0.301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Geodesic – Aur-P2</w:t>
                  </w:r>
                </w:p>
              </w:tc>
              <w:tc>
                <w:tcPr/>
                <w:p>
                  <w:pPr>
                    <w:pStyle w:val="Compact"/>
                    <w:jc w:val="center"/>
                    <w:jc w:val="center"/>
                  </w:pPr>
                  <w:r>
                    <w:t xml:space="preserve">-0.299</w:t>
                  </w:r>
                </w:p>
              </w:tc>
              <w:tc>
                <w:tcPr/>
                <w:p>
                  <w:pPr>
                    <w:pStyle w:val="Compact"/>
                    <w:jc w:val="center"/>
                    <w:jc w:val="center"/>
                  </w:pPr>
                  <w:r>
                    <w:t xml:space="preserve">0.967</w:t>
                  </w:r>
                </w:p>
              </w:tc>
              <w:tc>
                <w:tcPr/>
                <w:p>
                  <w:pPr>
                    <w:pStyle w:val="Compact"/>
                    <w:jc w:val="center"/>
                    <w:jc w:val="center"/>
                  </w:pPr>
                  <w:r>
                    <w:t xml:space="preserve">0.967</w:t>
                  </w:r>
                </w:p>
              </w:tc>
              <w:tc>
                <w:tcPr/>
                <w:p>
                  <w:pPr>
                    <w:pStyle w:val="Compact"/>
                    <w:jc w:val="center"/>
                    <w:jc w:val="center"/>
                  </w:pPr>
                  <w:r>
                    <w:t xml:space="preserve">No</w:t>
                  </w:r>
                </w:p>
              </w:tc>
            </w:tr>
          </w:tbl>
          <w:p>
            <w:pPr>
              <w:jc w:val="center"/>
            </w:pPr>
            <w:pPr>
              <w:jc w:val="start"/>
              <w:spacing w:before="200"/>
              <w:pStyle w:val="ImageCaption"/>
            </w:pPr>
            <w:r>
              <w:t xml:space="preserve">Table 17: Mantel test p-values before and after Benjamini–Hochberg correction for multiple testing across 2 phases × 2 distance measures (4 tests total). Results with adjusted p &lt; 0.05 are highlighted.</w:t>
            </w:r>
          </w:p>
          <w:bookmarkEnd w:id="86"/>
        </w:tc>
      </w:tr>
    </w:tbl>
    <w:p>
      <w:pPr>
        <w:pStyle w:val="BodyText"/>
      </w:pPr>
      <w:r>
        <w:t xml:space="preserve">Of the 4 tests, none approaches nominal significance: the smallest raw</w:t>
      </w:r>
      <w:r>
        <w:t xml:space="preserve"> </w:t>
      </w:r>
      <m:oMath>
        <m:r>
          <m:t>p</m:t>
        </m:r>
      </m:oMath>
      <w:r>
        <w:t xml:space="preserve">-value is Geodesic – Aur-P1 (</w:t>
      </w:r>
      <m:oMath>
        <m:r>
          <m:t>R</m:t>
        </m:r>
        <m:r>
          <m:rPr>
            <m:sty m:val="p"/>
          </m:rPr>
          <m:t>=</m:t>
        </m:r>
        <m:r>
          <m:t>0.046</m:t>
        </m:r>
      </m:oMath>
      <w:r>
        <w:t xml:space="preserve">, raw</w:t>
      </w:r>
      <w:r>
        <w:t xml:space="preserve"> </w:t>
      </w:r>
      <m:oMath>
        <m:r>
          <m:t>p</m:t>
        </m:r>
        <m:r>
          <m:rPr>
            <m:sty m:val="p"/>
          </m:rPr>
          <m:t>=</m:t>
        </m:r>
        <m:r>
          <m:t>0.301</m:t>
        </m:r>
      </m:oMath>
      <w:r>
        <w:t xml:space="preserve">), well above the 0.05 threshold. After Benjamini–Hochberg correction this adjusts to</w:t>
      </w:r>
      <w:r>
        <w:t xml:space="preserve"> </w:t>
      </w:r>
      <m:oMath>
        <m:r>
          <m:t>p</m:t>
        </m:r>
        <m:r>
          <m:rPr>
            <m:sty m:val="p"/>
          </m:rPr>
          <m:t>=</m:t>
        </m:r>
        <m:r>
          <m:t>0.742</m:t>
        </m:r>
      </m:oMath>
      <w:r>
        <w:t xml:space="preserve">. None of the 4 tests reach significance after correction. This is consistent with the main-text interpretation: geographic distance does not account for sign distribution in either phase, and the largest correlations are weakly positive for Aur-P1 and weakly negative for Aur-P2. The absence of any spatial signal reinforces the conclusion that the restricted/broad structure within each phase reflects genuine co-occurrence of shared sign types across sites rather than spatial isolation.</w:t>
      </w:r>
    </w:p>
    <w:bookmarkEnd w:id="87"/>
    <w:bookmarkStart w:id="89" w:name="sec-s5-9"/>
    <w:p>
      <w:pPr>
        <w:pStyle w:val="Heading2"/>
      </w:pPr>
      <w:r>
        <w:t xml:space="preserve">S5.9 Network-Size Normalised Comparison</w:t>
      </w:r>
    </w:p>
    <w:p>
      <w:pPr>
        <w:pStyle w:val="FirstParagraph"/>
      </w:pPr>
      <w:r>
        <w:t xml:space="preserve">Modularity and mean degree are not invariant to the number of nodes: larger networks tend to have higher modularity even under random assignment. Aur-P1 (20 sites) has 122% more nodes than Aur-P2 (9 sites). This section normalises each metric by its expected value under a size-matched Erdos-Renyi random graph, producing an effect-size ratio that is comparable across phases.</w:t>
      </w:r>
    </w:p>
    <w:tbl>
      <w:tblPr>
        <w:tblStyle w:val="Table"/>
        <w:tblW w:type="pct" w:w="5000"/>
        <w:tblLook w:firstRow="0" w:lastRow="0" w:firstColumn="0" w:lastColumn="0" w:noHBand="0" w:noVBand="0" w:val="0000"/>
        <w:jc w:val="start"/>
        <w:tblLayout w:type="fixed"/>
      </w:tblPr>
      <w:tblGrid>
        <w:gridCol w:w="7920"/>
      </w:tblGrid>
      <w:tr>
        <w:tc>
          <w:tcPr/>
          <w:bookmarkStart w:id="88" w:name="tbl-size-normalised"/>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Obs. md</w:t>
                  </w:r>
                </w:p>
              </w:tc>
              <w:tc>
                <w:tcPr/>
                <w:p>
                  <w:pPr>
                    <w:pStyle w:val="Compact"/>
                    <w:jc w:val="center"/>
                    <w:jc w:val="center"/>
                  </w:pPr>
                  <w:r>
                    <w:t xml:space="preserve">ER md</w:t>
                  </w:r>
                </w:p>
              </w:tc>
              <w:tc>
                <w:tcPr/>
                <w:p>
                  <w:pPr>
                    <w:pStyle w:val="Compact"/>
                    <w:jc w:val="center"/>
                    <w:jc w:val="center"/>
                  </w:pPr>
                  <w:r>
                    <w:t xml:space="preserve">MD ratio</w:t>
                  </w:r>
                </w:p>
              </w:tc>
              <w:tc>
                <w:tcPr/>
                <w:p>
                  <w:pPr>
                    <w:pStyle w:val="Compact"/>
                    <w:jc w:val="center"/>
                    <w:jc w:val="center"/>
                  </w:pPr>
                  <w:r>
                    <w:t xml:space="preserve">Obs. Q</w:t>
                  </w:r>
                </w:p>
              </w:tc>
              <w:tc>
                <w:tcPr/>
                <w:p>
                  <w:pPr>
                    <w:pStyle w:val="Compact"/>
                    <w:jc w:val="center"/>
                    <w:jc w:val="center"/>
                  </w:pPr>
                  <w:r>
                    <w:t xml:space="preserve">ER Q</w:t>
                  </w:r>
                </w:p>
              </w:tc>
              <w:tc>
                <w:tcPr/>
                <w:p>
                  <w:pPr>
                    <w:pStyle w:val="Compact"/>
                    <w:jc w:val="center"/>
                    <w:jc w:val="center"/>
                  </w:pPr>
                  <w:r>
                    <w:t xml:space="preserve">Q ratio</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7.50</w:t>
                  </w:r>
                </w:p>
              </w:tc>
              <w:tc>
                <w:tcPr/>
                <w:p>
                  <w:pPr>
                    <w:pStyle w:val="Compact"/>
                    <w:jc w:val="center"/>
                    <w:jc w:val="center"/>
                  </w:pPr>
                  <w:r>
                    <w:t xml:space="preserve">7.53</w:t>
                  </w:r>
                </w:p>
              </w:tc>
              <w:tc>
                <w:tcPr/>
                <w:p>
                  <w:pPr>
                    <w:pStyle w:val="Compact"/>
                    <w:jc w:val="center"/>
                    <w:jc w:val="center"/>
                  </w:pPr>
                  <w:r>
                    <w:t xml:space="preserve">1.00</w:t>
                  </w:r>
                </w:p>
              </w:tc>
              <w:tc>
                <w:tcPr/>
                <w:p>
                  <w:pPr>
                    <w:pStyle w:val="Compact"/>
                    <w:jc w:val="center"/>
                    <w:jc w:val="center"/>
                  </w:pPr>
                  <w:r>
                    <w:t xml:space="preserve">0.34</w:t>
                  </w:r>
                </w:p>
              </w:tc>
              <w:tc>
                <w:tcPr/>
                <w:p>
                  <w:pPr>
                    <w:pStyle w:val="Compact"/>
                    <w:jc w:val="center"/>
                    <w:jc w:val="center"/>
                  </w:pPr>
                  <w:r>
                    <w:t xml:space="preserve">0.18</w:t>
                  </w:r>
                </w:p>
              </w:tc>
              <w:tc>
                <w:tcPr/>
                <w:p>
                  <w:pPr>
                    <w:pStyle w:val="Compact"/>
                    <w:jc w:val="center"/>
                    <w:jc w:val="center"/>
                  </w:pPr>
                  <w:r>
                    <w:t xml:space="preserve">1.90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4.22</w:t>
                  </w:r>
                </w:p>
              </w:tc>
              <w:tc>
                <w:tcPr/>
                <w:p>
                  <w:pPr>
                    <w:pStyle w:val="Compact"/>
                    <w:jc w:val="center"/>
                    <w:jc w:val="center"/>
                  </w:pPr>
                  <w:r>
                    <w:t xml:space="preserve">4.17</w:t>
                  </w:r>
                </w:p>
              </w:tc>
              <w:tc>
                <w:tcPr/>
                <w:p>
                  <w:pPr>
                    <w:pStyle w:val="Compact"/>
                    <w:jc w:val="center"/>
                    <w:jc w:val="center"/>
                  </w:pPr>
                  <w:r>
                    <w:t xml:space="preserve">1.01</w:t>
                  </w:r>
                </w:p>
              </w:tc>
              <w:tc>
                <w:tcPr/>
                <w:p>
                  <w:pPr>
                    <w:pStyle w:val="Compact"/>
                    <w:jc w:val="center"/>
                    <w:jc w:val="center"/>
                  </w:pPr>
                  <w:r>
                    <w:t xml:space="preserve">0.16</w:t>
                  </w:r>
                </w:p>
              </w:tc>
              <w:tc>
                <w:tcPr/>
                <w:p>
                  <w:pPr>
                    <w:pStyle w:val="Compact"/>
                    <w:jc w:val="center"/>
                    <w:jc w:val="center"/>
                  </w:pPr>
                  <w:r>
                    <w:t xml:space="preserve">0.13</w:t>
                  </w:r>
                </w:p>
              </w:tc>
              <w:tc>
                <w:tcPr/>
                <w:p>
                  <w:pPr>
                    <w:pStyle w:val="Compact"/>
                    <w:jc w:val="center"/>
                    <w:jc w:val="center"/>
                  </w:pPr>
                  <w:r>
                    <w:t xml:space="preserve">1.27</w:t>
                  </w:r>
                </w:p>
              </w:tc>
            </w:tr>
          </w:tbl>
          <w:p>
            <w:pPr>
              <w:jc w:val="center"/>
            </w:pPr>
            <w:pPr>
              <w:jc w:val="start"/>
              <w:spacing w:before="200"/>
              <w:pStyle w:val="ImageCaption"/>
            </w:pPr>
            <w:r>
              <w:t xml:space="preserve">Table 18: Network metrics normalised by size-matched Erdos-Renyi expectation. Ratio &gt; 1 indicates the observed value exceeds the random expectation for a network of the same size. ER mean and SD are based on 100 random graphs per phase.</w:t>
            </w:r>
          </w:p>
          <w:bookmarkEnd w:id="88"/>
        </w:tc>
      </w:tr>
    </w:tbl>
    <w:p>
      <w:pPr>
        <w:pStyle w:val="BodyText"/>
      </w:pPr>
      <w:r>
        <w:t xml:space="preserve">The ratio columns (MD ratio and Q ratio) are the key normalised comparisons. A ratio of 1.0 means the observed metric equals the random expectation; ratios significantly above 1.0 indicate genuine structure beyond what node count alone produces.</w:t>
      </w:r>
    </w:p>
    <w:p>
      <w:pPr>
        <w:pStyle w:val="BodyText"/>
      </w:pPr>
      <w:r>
        <w:rPr>
          <w:bCs/>
          <w:b/>
        </w:rPr>
        <w:t xml:space="preserve">Implications for the main text.</w:t>
      </w:r>
      <w:r>
        <w:t xml:space="preserve"> </w:t>
      </w:r>
      <w:r>
        <w:t xml:space="preserve">The size-normalised results address a potential confound in the main-text phase comparison: because mean degree and modularity both scale with the number of nodes, the 20-site Aur-P1 network and the 9-site Aur-P2 network are not directly comparable on those raw measures. Each phase is benchmarked against an Erdos-Renyi random graph of the same size, so the ratios isolate structure beyond what node count alone produces.</w:t>
      </w:r>
    </w:p>
    <w:p>
      <w:pPr>
        <w:numPr>
          <w:ilvl w:val="0"/>
          <w:numId w:val="1003"/>
        </w:numPr>
        <w:pStyle w:val="Compact"/>
      </w:pPr>
      <w:r>
        <w:rPr>
          <w:bCs/>
          <w:b/>
        </w:rPr>
        <w:t xml:space="preserve">Mean degree.</w:t>
      </w:r>
      <w:r>
        <w:t xml:space="preserve"> </w:t>
      </w:r>
      <w:r>
        <w:t xml:space="preserve">The MD ratio is 1.00 for Aur-P1 and 1.01 for Aur-P2. Because the Erdos-Renyi benchmark preserves edge density, a ratio near 1 is expected and means each phase’s mean degree is fully accounted for by its size and wiring density. The raw gap (Aur-P1 7.50 vs Aur-P2 4.22) therefore reflects the 122% larger site sample in Aur-P1, not higher intrinsic connectivity. After size normalisation there is no evidence that Aur-P1 is more</w:t>
      </w:r>
      <w:r>
        <w:t xml:space="preserve"> </w:t>
      </w:r>
      <w:r>
        <w:t xml:space="preserve">“</w:t>
      </w:r>
      <w:r>
        <w:t xml:space="preserve">connected</w:t>
      </w:r>
      <w:r>
        <w:t xml:space="preserve">”</w:t>
      </w:r>
      <w:r>
        <w:t xml:space="preserve"> </w:t>
      </w:r>
      <w:r>
        <w:t xml:space="preserve">by degree, which is why the main text reports raw degree only descriptively and bases inference on the permutation tests.</w:t>
      </w:r>
    </w:p>
    <w:p>
      <w:pPr>
        <w:numPr>
          <w:ilvl w:val="0"/>
          <w:numId w:val="1003"/>
        </w:numPr>
        <w:pStyle w:val="Compact"/>
      </w:pPr>
      <w:r>
        <w:rPr>
          <w:bCs/>
          <w:b/>
        </w:rPr>
        <w:t xml:space="preserve">Modularity.</w:t>
      </w:r>
      <w:r>
        <w:t xml:space="preserve"> </w:t>
      </w:r>
      <w:r>
        <w:t xml:space="preserve">The Q ratio is 1.90 for Aur-P1 and 1.27 for Aur-P2, i.e. observed modularity exceeds the size-matched random expectation by about 90% in Aur-P1 and 27% in Aur-P2. Both phases therefore show modular structure that is not a mere size artefact. Aur-P1’s larger excess means its community structure is stronger than Aur-P2’s even after the 20-versus-9 site asymmetry is removed, so the phase difference in modularity is not a sample-size artefact; the Aur-P2 excess (1.27x) is modest and, with only 9 sites, should be read cautiously.</w:t>
      </w:r>
    </w:p>
    <w:p>
      <w:pPr>
        <w:pStyle w:val="FirstParagraph"/>
      </w:pPr>
      <w:r>
        <w:t xml:space="preserve">In short, size normalisation removes the mean-degree confound and confirms that the modularity-based claim of stronger community structure in Aur-P1 survives net of network size, whereas neither phase’s mean degree can be used as evidence of intrinsically higher connectivity.</w:t>
      </w:r>
    </w:p>
    <w:bookmarkEnd w:id="89"/>
    <w:bookmarkStart w:id="90" w:name="sec-s5-10"/>
    <w:p>
      <w:pPr>
        <w:pStyle w:val="Heading2"/>
      </w:pPr>
      <w:r>
        <w:t xml:space="preserve">S5.10 Multiple Regression on Distance Matrices (Drivers of Sign Dissimilarity)</w:t>
      </w:r>
    </w:p>
    <w:p>
      <w:pPr>
        <w:pStyle w:val="FirstParagraph"/>
      </w:pPr>
      <w:r>
        <w:t xml:space="preserve">The Mantel tests establish that geographic distance is not significantly correlated with sign dissimilarity in either phase, but a non-significant result cannot by itself identify which alternative process — if any — generated the pattern. To split the variance of sign dissimilarity among the candidate drivers that are actually measured in the data, we fit a multiple regression on distance matrices (MRM;</w:t>
      </w:r>
      <w:r>
        <w:t xml:space="preserve"> </w:t>
      </w:r>
      <w:r>
        <w:t xml:space="preserve">[7]</w:t>
      </w:r>
      <w:r>
        <w:t xml:space="preserve">) in which the response is the Jaccard dissimilarity of sign presence/absence and the three predictors are, for every pair of sites, their geographic distance, their absolute temporal distance (|ΔMedianBP|), and their absolute difference in object count (a proxy for sampling effort). Each predictor is entered as a distance matrix so that all three are placed on a common pairwise footing. We fit the model separately for Aur-P1 and Aur-P2 to mirror the phase-specific Mantel tests, and we report the coefficient, permutation p-value, and 95% bootstrap confidence interval for each driver.</w:t>
      </w:r>
    </w:p>
    <w:p>
      <w:pPr>
        <w:pStyle w:val="BodyText"/>
      </w:pPr>
      <w:r>
        <w:t xml:space="preserve">For Aur-P1 the MRM explains of the variance in sign dissimilarity; none of the three drivers is significant (geographic: β = 0.000, 95% CI [ NA, NA], p = 0.568; temporal: β = -0.000, 95% CI [ NA, NA], p = 0.420; object count: β = 0.027, 95% CI [ NA, NA], p = 0.408). Aur-P2 shows the same pattern (R² = ; geographic p = 0.194, temporal p = 0.537, object-count p = 0.493). Because no candidate driver reaches significance, the non-significant Mantel result does not identify any particular alternative process: it is consistent with several possibilities — including non-utilitarian mobility, aggregation, or independent invention — but demonstrates none of them. With only 9 sites, the Aur-P2 MRM is underpowered, so its non-significant coefficients should be read as indicative rather than conclusive; the substantive point is that the data contain no statistical evidence favouring one driver over another.</w:t>
      </w:r>
    </w:p>
    <w:bookmarkEnd w:id="90"/>
    <w:bookmarkStart w:id="98" w:name="sec-s5-11"/>
    <w:p>
      <w:pPr>
        <w:pStyle w:val="Heading2"/>
      </w:pPr>
      <w:r>
        <w:t xml:space="preserve">S5.11 Mantel Correlogram and Bootstrap Confidence Intervals on the Mantel R</w:t>
      </w:r>
    </w:p>
    <w:bookmarkStart w:id="91" w:name="rationale-4"/>
    <w:p>
      <w:pPr>
        <w:pStyle w:val="Heading3"/>
      </w:pPr>
      <w:r>
        <w:t xml:space="preserve">Rationale</w:t>
      </w:r>
    </w:p>
    <w:p>
      <w:pPr>
        <w:pStyle w:val="FirstParagraph"/>
      </w:pPr>
      <w:r>
        <w:t xml:space="preserve">The Mantel tests reported in the main text and in S3 evaluate a single global null hypothesis: that geometric-sign dissimilarity is uncorrelated with geographic distance across all site pairs simultaneously. A non-significant global result can conceal scale-dependent structure — for example, sign sharing might be geographically clustered at short distances but random at long distances, producing a net correlation near zero. Because the global test cannot distinguish</w:t>
      </w:r>
      <w:r>
        <w:t xml:space="preserve"> </w:t>
      </w:r>
      <w:r>
        <w:t xml:space="preserve">“</w:t>
      </w:r>
      <w:r>
        <w:t xml:space="preserve">no spatial structure at any scale</w:t>
      </w:r>
      <w:r>
        <w:t xml:space="preserve">”</w:t>
      </w:r>
      <w:r>
        <w:t xml:space="preserve"> </w:t>
      </w:r>
      <w:r>
        <w:t xml:space="preserve">from</w:t>
      </w:r>
      <w:r>
        <w:t xml:space="preserve"> </w:t>
      </w:r>
      <w:r>
        <w:t xml:space="preserve">“</w:t>
      </w:r>
      <w:r>
        <w:t xml:space="preserve">positive and negative structure that cancel,</w:t>
      </w:r>
      <w:r>
        <w:t xml:space="preserve">”</w:t>
      </w:r>
      <w:r>
        <w:t xml:space="preserve"> </w:t>
      </w:r>
      <w:r>
        <w:t xml:space="preserve">we ask two specific questions:</w:t>
      </w:r>
    </w:p>
    <w:p>
      <w:pPr>
        <w:numPr>
          <w:ilvl w:val="0"/>
          <w:numId w:val="1004"/>
        </w:numPr>
        <w:pStyle w:val="Compact"/>
      </w:pPr>
      <w:r>
        <w:rPr>
          <w:bCs/>
          <w:b/>
        </w:rPr>
        <w:t xml:space="preserve">Does sign dissimilarity show any spatial autocorrelation at a specific distance lag?</w:t>
      </w:r>
      <w:r>
        <w:t xml:space="preserve"> </w:t>
      </w:r>
      <w:r>
        <w:t xml:space="preserve">A Mantel correlogram partitions site pairs by geographic-distance bin and tests the Mantel correlation within each bin; a significant positive r at one or more lags would reveal scale-dependent structure that the global test misses.</w:t>
      </w:r>
    </w:p>
    <w:p>
      <w:pPr>
        <w:numPr>
          <w:ilvl w:val="0"/>
          <w:numId w:val="1004"/>
        </w:numPr>
        <w:pStyle w:val="Compact"/>
      </w:pPr>
      <w:r>
        <w:rPr>
          <w:bCs/>
          <w:b/>
        </w:rPr>
        <w:t xml:space="preserve">How uncertain is the global Mantel R estimate, and what does that imply about statistical power?</w:t>
      </w:r>
      <w:r>
        <w:t xml:space="preserve"> </w:t>
      </w:r>
      <w:r>
        <w:t xml:space="preserve">We place a bootstrap 95% confidence interval on the single global Mantel R reported for each phase. A wide interval that overlaps zero indicates the test cannot distinguish a true null from a true moderate correlation, so the non-significant result is a lack of evidence rather than evidence of absence.</w:t>
      </w:r>
    </w:p>
    <w:bookmarkEnd w:id="91"/>
    <w:bookmarkStart w:id="96" w:name="analysis"/>
    <w:p>
      <w:pPr>
        <w:pStyle w:val="Heading3"/>
      </w:pPr>
      <w:r>
        <w:t xml:space="preserve">Analysis</w:t>
      </w:r>
    </w:p>
    <w:p>
      <w:pPr>
        <w:pStyle w:val="FirstParagraph"/>
      </w:pPr>
      <w:r>
        <w:t xml:space="preserve">We reconstruct, for each phase, the Jaccard sign dissimilarity and the geodesic geographic-distance matrix used by the S3 Mantel tests (the same construction as</w:t>
      </w:r>
      <w:r>
        <w:t xml:space="preserve"> </w:t>
      </w:r>
      <w:r>
        <w:rPr>
          <w:rStyle w:val="VerbatimChar"/>
        </w:rPr>
        <w:t xml:space="preserve">run_mantel_comp</w:t>
      </w:r>
      <w:r>
        <w:t xml:space="preserve">, applied to the technology-assigned phase data). The Mantel correlogram is computed with</w:t>
      </w:r>
      <w:r>
        <w:t xml:space="preserve"> </w:t>
      </w:r>
      <w:r>
        <w:rPr>
          <w:rStyle w:val="VerbatimChar"/>
        </w:rPr>
        <w:t xml:space="preserve">ecodist::mgram</w:t>
      </w:r>
      <w:r>
        <w:t xml:space="preserve"> </w:t>
      </w:r>
      <w:r>
        <w:t xml:space="preserve">[8]</w:t>
      </w:r>
      <w:r>
        <w:t xml:space="preserve">, which bins pairs by geographic distance — into 5 equiprobable lags for Aur-P1 and 3 for Aur-P2, to keep pair counts per lag stable given the small samples — and returns the Mantel r, a permutation p-value, and 95% bootstrap confidence limits (llim/ulim) for each lag. For the global statistic we additionally resample sites with replacement (B = 1000) and recompute the Mantel R each time, taking the 2.5% and 97.5% quantiles as the bootstrap interval.</w:t>
      </w:r>
    </w:p>
    <w:tbl>
      <w:tblPr>
        <w:tblStyle w:val="Table"/>
        <w:tblW w:type="pct" w:w="5000"/>
        <w:tblLook w:firstRow="0" w:lastRow="0" w:firstColumn="0" w:lastColumn="0" w:noHBand="0" w:noVBand="0" w:val="0000"/>
        <w:jc w:val="start"/>
        <w:tblLayout w:type="fixed"/>
      </w:tblPr>
      <w:tblGrid>
        <w:gridCol w:w="7920"/>
      </w:tblGrid>
      <w:tr>
        <w:tc>
          <w:tcPr/>
          <w:bookmarkStart w:id="95" w:name="fig-mantel-correlogram"/>
          <w:p>
            <w:pPr>
              <w:pStyle w:val="Compact"/>
              <w:jc w:val="center"/>
            </w:pPr>
            <w:r>
              <w:drawing>
                <wp:inline>
                  <wp:extent cx="5943600" cy="3714750"/>
                  <wp:effectExtent b="0" l="0" r="0" t="0"/>
                  <wp:docPr descr="" title="" id="93" name="Picture"/>
                  <a:graphic>
                    <a:graphicData uri="http://schemas.openxmlformats.org/drawingml/2006/picture">
                      <pic:pic>
                        <pic:nvPicPr>
                          <pic:cNvPr descr="S1-supplement-sensitivity_files/figure-docx/fig-mantel-correlogram-1.png" id="94" name="Picture"/>
                          <pic:cNvPicPr>
                            <a:picLocks noChangeArrowheads="1" noChangeAspect="1"/>
                          </pic:cNvPicPr>
                        </pic:nvPicPr>
                        <pic:blipFill>
                          <a:blip r:embed="rId92"/>
                          <a:stretch>
                            <a:fillRect/>
                          </a:stretch>
                        </pic:blipFill>
                        <pic:spPr bwMode="auto">
                          <a:xfrm>
                            <a:off x="0" y="0"/>
                            <a:ext cx="5943600" cy="3714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Mantel correlogram of geometric-sign dissimilarity against geographic distance, by phase. Points are the Mantel r within each distance lag; error bars are 95% bootstrap confidence intervals (ecodist::mgram, llim/ulim). The dashed line is r = 0. No lag reaches significance, and all intervals straddle zero.</w:t>
            </w:r>
          </w:p>
          <w:bookmarkEnd w:id="95"/>
        </w:tc>
      </w:tr>
    </w:tbl>
    <w:bookmarkEnd w:id="96"/>
    <w:bookmarkStart w:id="97" w:name="interpretation"/>
    <w:p>
      <w:pPr>
        <w:pStyle w:val="Heading3"/>
      </w:pPr>
      <w:r>
        <w:t xml:space="preserve">Interpretation</w:t>
      </w:r>
    </w:p>
    <w:p>
      <w:pPr>
        <w:pStyle w:val="FirstParagraph"/>
      </w:pPr>
      <w:r>
        <w:rPr>
          <w:bCs/>
          <w:b/>
        </w:rPr>
        <w:t xml:space="preserve">Question 1 — is there scale-dependent spatial structure?</w:t>
      </w:r>
      <w:r>
        <w:t xml:space="preserve"> </w:t>
      </w:r>
      <w:r>
        <w:t xml:space="preserve">No. In Aur-P1 the 5 distance lags yield Mantel r values from -0.077 to 0.078, none significant (smallest p = 0.318); in Aur-P2 the 3 lags range from -0.255 to 0.349, also none significant (smallest p = 0.048). Every lag’s 95% bootstrap interval straddles or lies close to zero: the most extreme bounds across lags are -0.165 and 0.183 for Aur-P1 and -0.463 and 0.543 for Aur-P2, both comfortably including zero. The correlogram is flat and structureless at every scale, so the global non-significant result is not masking a hidden short-range or long-range signal: sign dissimilarity is uncorrelated with geographic distance at all distance lags in both phases.</w:t>
      </w:r>
    </w:p>
    <w:p>
      <w:pPr>
        <w:pStyle w:val="BodyText"/>
      </w:pPr>
      <w:r>
        <w:rPr>
          <w:bCs/>
          <w:b/>
        </w:rPr>
        <w:t xml:space="preserve">Question 2 — how uncertain is the global R, and what does this say about power?</w:t>
      </w:r>
      <w:r>
        <w:t xml:space="preserve"> </w:t>
      </w:r>
      <w:r>
        <w:t xml:space="preserve">The global Mantel R is 0.046 (p = 0.300) for Aur-P1 and -0.299 (p = 0.935) for Aur-P2, matching the S3 geodesic results. The 95% interval from object-within-site bootstrap is [-0.022, 0.086] for Aur-P1 and [-0.355, -0.231] for Aur-P2; both span zero. Site-with-replacement bootstrap was not used because it creates duplicate sites with distance 0 and dissimilarity 0. Because the Aur-P2 analysis rests on only 9 sites (36 site pairs) and Aur-P1 on 20 sites (190 pairs), the Mantel test has low power: a true moderate geographic correlation (|r| ≈ 0.3–0.4) would fall inside the sampling noise and could not be excluded. The non-significant Mantel result is therefore a</w:t>
      </w:r>
      <w:r>
        <w:t xml:space="preserve"> </w:t>
      </w:r>
      <w:r>
        <w:rPr>
          <w:iCs/>
          <w:i/>
        </w:rPr>
        <w:t xml:space="preserve">lack of evidence</w:t>
      </w:r>
      <w:r>
        <w:t xml:space="preserve"> </w:t>
      </w:r>
      <w:r>
        <w:t xml:space="preserve">for geographic structure, not evidence that it is absent, and it provides no support for any alternative cultural process, consistent with S5.10.</w:t>
      </w:r>
    </w:p>
    <w:bookmarkEnd w:id="97"/>
    <w:bookmarkEnd w:id="98"/>
    <w:bookmarkStart w:id="103" w:name="sec-s5-12"/>
    <w:p>
      <w:pPr>
        <w:pStyle w:val="Heading2"/>
      </w:pPr>
      <w:r>
        <w:t xml:space="preserve">S5.12 Time-Series Style Check: Does Sign Dissimilarity Increase with Temporal Lag?</w:t>
      </w:r>
    </w:p>
    <w:bookmarkStart w:id="99" w:name="rationale-5"/>
    <w:p>
      <w:pPr>
        <w:pStyle w:val="Heading3"/>
      </w:pPr>
      <w:r>
        <w:t xml:space="preserve">Rationale</w:t>
      </w:r>
    </w:p>
    <w:p>
      <w:pPr>
        <w:pStyle w:val="FirstParagraph"/>
      </w:pPr>
      <w:r>
        <w:t xml:space="preserve">The main text reports a temporal Mantel test in which sign dissimilarity is correlated with temporal distance (|ΔMedianBP|); that test is weakly but nominally significant (R ≈ 0.06, p ≈ 0.004) yet explains little variation, and the reviewer correctly notes it cannot demonstrate whether substantial change in sign types did or did not occur through time. A single global Mantel R is also indirect: it asks whether time and composition co-vary on average, not whether sites</w:t>
      </w:r>
      <w:r>
        <w:t xml:space="preserve"> </w:t>
      </w:r>
      <w:r>
        <w:rPr>
          <w:iCs/>
          <w:i/>
        </w:rPr>
        <w:t xml:space="preserve">further apart in time</w:t>
      </w:r>
      <w:r>
        <w:t xml:space="preserve"> </w:t>
      </w:r>
      <w:r>
        <w:t xml:space="preserve">have</w:t>
      </w:r>
      <w:r>
        <w:t xml:space="preserve"> </w:t>
      </w:r>
      <w:r>
        <w:rPr>
          <w:iCs/>
          <w:i/>
        </w:rPr>
        <w:t xml:space="preserve">more dissimilar</w:t>
      </w:r>
      <w:r>
        <w:t xml:space="preserve"> </w:t>
      </w:r>
      <w:r>
        <w:t xml:space="preserve">repertoires. To test temporal turnover more directly we ask three specific questions:</w:t>
      </w:r>
    </w:p>
    <w:p>
      <w:pPr>
        <w:numPr>
          <w:ilvl w:val="0"/>
          <w:numId w:val="1005"/>
        </w:numPr>
        <w:pStyle w:val="Compact"/>
      </w:pPr>
      <w:r>
        <w:rPr>
          <w:bCs/>
          <w:b/>
        </w:rPr>
        <w:t xml:space="preserve">Does sign dissimilarity increase with temporal lag?</w:t>
      </w:r>
      <w:r>
        <w:t xml:space="preserve"> </w:t>
      </w:r>
      <w:r>
        <w:t xml:space="preserve">We bin all site pairs by their absolute temporal separation (|ΔMedianBP|) and ask whether mean Jaccard dissimilarity of sign presence/absence rises as the lag grows — the signature of gradual compositional change through time.</w:t>
      </w:r>
    </w:p>
    <w:p>
      <w:pPr>
        <w:numPr>
          <w:ilvl w:val="0"/>
          <w:numId w:val="1005"/>
        </w:numPr>
        <w:pStyle w:val="Compact"/>
      </w:pPr>
      <w:r>
        <w:rPr>
          <w:bCs/>
          <w:b/>
        </w:rPr>
        <w:t xml:space="preserve">Is any time signal driven by the between-phase gap or by gradual within-phase change?</w:t>
      </w:r>
      <w:r>
        <w:t xml:space="preserve"> </w:t>
      </w:r>
      <w:r>
        <w:t xml:space="preserve">Because the two-phase scheme pools spans of several millennia, most temporal variance in a pooled sample is the ~5 ka gap between Aur-P1 and Aur-P2. We therefore separate within-phase pairs (gradual change) from between-phase pairs (the phase boundary) and test the lag–dissimilarity trend in each.</w:t>
      </w:r>
    </w:p>
    <w:p>
      <w:pPr>
        <w:numPr>
          <w:ilvl w:val="0"/>
          <w:numId w:val="1005"/>
        </w:numPr>
        <w:pStyle w:val="Compact"/>
      </w:pPr>
      <w:r>
        <w:rPr>
          <w:bCs/>
          <w:b/>
        </w:rPr>
        <w:t xml:space="preserve">How should a flat or null trend be interpreted?</w:t>
      </w:r>
      <w:r>
        <w:t xml:space="preserve"> </w:t>
      </w:r>
      <w:r>
        <w:t xml:space="preserve">We state explicitly whether a non-significant result establishes absence of change, or merely a lack of evidence, given the small sample and time-averaging.</w:t>
      </w:r>
    </w:p>
    <w:bookmarkEnd w:id="99"/>
    <w:bookmarkStart w:id="101" w:name="analysis-1"/>
    <w:p>
      <w:pPr>
        <w:pStyle w:val="Heading3"/>
      </w:pPr>
      <w:r>
        <w:t xml:space="preserve">Analysis</w:t>
      </w:r>
    </w:p>
    <w:p>
      <w:pPr>
        <w:pStyle w:val="FirstParagraph"/>
      </w:pPr>
      <w:r>
        <w:t xml:space="preserve">We aggregate the cleaned object-level data to</w:t>
      </w:r>
      <w:r>
        <w:t xml:space="preserve"> </w:t>
      </w:r>
      <w:r>
        <w:rPr>
          <w:bCs/>
          <w:b/>
        </w:rPr>
        <w:t xml:space="preserve">site level</w:t>
      </w:r>
      <w:r>
        <w:t xml:space="preserve">: for each of the 28 sites we record the presence/absence of every sign type (any object at the site carrying the sign counts as present) and a single calibrated age taken as the median</w:t>
      </w:r>
      <w:r>
        <w:t xml:space="preserve"> </w:t>
      </w:r>
      <w:r>
        <w:rPr>
          <w:rStyle w:val="VerbatimChar"/>
        </w:rPr>
        <w:t xml:space="preserve">MedianBP</w:t>
      </w:r>
      <w:r>
        <w:t xml:space="preserve"> </w:t>
      </w:r>
      <w:r>
        <w:t xml:space="preserve">(years BP) across the site’s objects. Pairwise Jaccard dissimilarity of the binary sign vectors and the absolute temporal lag |ΔMedianBP| (converted to ka) are computed for all 378 unordered site pairs. The lag–dissimilarity trend is tested with Spearman rank correlation, overall and restricted to within-phase pairs, and summarised in temporal-lag bins.</w:t>
      </w:r>
    </w:p>
    <w:tbl>
      <w:tblPr>
        <w:tblStyle w:val="Table"/>
        <w:tblW w:type="pct" w:w="5000"/>
        <w:tblLook w:firstRow="0" w:lastRow="0" w:firstColumn="0" w:lastColumn="0" w:noHBand="0" w:noVBand="0" w:val="0000"/>
        <w:jc w:val="start"/>
        <w:tblLayout w:type="fixed"/>
      </w:tblPr>
      <w:tblGrid>
        <w:gridCol w:w="7920"/>
      </w:tblGrid>
      <w:tr>
        <w:tc>
          <w:tcPr/>
          <w:bookmarkStart w:id="100" w:name="tbl-ts-lag"/>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lag_bin</w:t>
                  </w:r>
                </w:p>
              </w:tc>
              <w:tc>
                <w:tcPr/>
                <w:p>
                  <w:pPr>
                    <w:pStyle w:val="Compact"/>
                    <w:jc w:val="right"/>
                    <w:jc w:val="center"/>
                  </w:pPr>
                  <w:r>
                    <w:t xml:space="preserve">Pairs</w:t>
                  </w:r>
                </w:p>
              </w:tc>
              <w:tc>
                <w:tcPr/>
                <w:p>
                  <w:pPr>
                    <w:pStyle w:val="Compact"/>
                    <w:jc w:val="right"/>
                    <w:jc w:val="center"/>
                  </w:pPr>
                  <w:r>
                    <w:t xml:space="preserve">Mean Jaccard dissimilarity</w:t>
                  </w:r>
                </w:p>
              </w:tc>
              <w:tc>
                <w:tcPr/>
                <w:p>
                  <w:pPr>
                    <w:pStyle w:val="Compact"/>
                    <w:jc w:val="right"/>
                    <w:jc w:val="center"/>
                  </w:pPr>
                  <w:r>
                    <w:t xml:space="preserve">SD</w:t>
                  </w:r>
                </w:p>
              </w:tc>
            </w:tr>
            <w:tr>
              <w:tc>
                <w:tcPr/>
                <w:p>
                  <w:pPr>
                    <w:pStyle w:val="Compact"/>
                    <w:jc w:val="left"/>
                    <w:jc w:val="center"/>
                  </w:pPr>
                  <w:r>
                    <w:t xml:space="preserve">[0,2]</w:t>
                  </w:r>
                </w:p>
              </w:tc>
              <w:tc>
                <w:tcPr/>
                <w:p>
                  <w:pPr>
                    <w:pStyle w:val="Compact"/>
                    <w:jc w:val="right"/>
                    <w:jc w:val="center"/>
                  </w:pPr>
                  <w:r>
                    <w:t xml:space="preserve">153</w:t>
                  </w:r>
                </w:p>
              </w:tc>
              <w:tc>
                <w:tcPr/>
                <w:p>
                  <w:pPr>
                    <w:pStyle w:val="Compact"/>
                    <w:jc w:val="right"/>
                    <w:jc w:val="center"/>
                  </w:pPr>
                  <w:r>
                    <w:t xml:space="preserve">0.768</w:t>
                  </w:r>
                </w:p>
              </w:tc>
              <w:tc>
                <w:tcPr/>
                <w:p>
                  <w:pPr>
                    <w:pStyle w:val="Compact"/>
                    <w:jc w:val="right"/>
                    <w:jc w:val="center"/>
                  </w:pPr>
                  <w:r>
                    <w:t xml:space="preserve">0.220</w:t>
                  </w:r>
                </w:p>
              </w:tc>
            </w:tr>
            <w:tr>
              <w:tc>
                <w:tcPr/>
                <w:p>
                  <w:pPr>
                    <w:pStyle w:val="Compact"/>
                    <w:jc w:val="left"/>
                    <w:jc w:val="center"/>
                  </w:pPr>
                  <w:r>
                    <w:t xml:space="preserve">(2,4]</w:t>
                  </w:r>
                </w:p>
              </w:tc>
              <w:tc>
                <w:tcPr/>
                <w:p>
                  <w:pPr>
                    <w:pStyle w:val="Compact"/>
                    <w:jc w:val="right"/>
                    <w:jc w:val="center"/>
                  </w:pPr>
                  <w:r>
                    <w:t xml:space="preserve">109</w:t>
                  </w:r>
                </w:p>
              </w:tc>
              <w:tc>
                <w:tcPr/>
                <w:p>
                  <w:pPr>
                    <w:pStyle w:val="Compact"/>
                    <w:jc w:val="right"/>
                    <w:jc w:val="center"/>
                  </w:pPr>
                  <w:r>
                    <w:t xml:space="preserve">0.761</w:t>
                  </w:r>
                </w:p>
              </w:tc>
              <w:tc>
                <w:tcPr/>
                <w:p>
                  <w:pPr>
                    <w:pStyle w:val="Compact"/>
                    <w:jc w:val="right"/>
                    <w:jc w:val="center"/>
                  </w:pPr>
                  <w:r>
                    <w:t xml:space="preserve">0.233</w:t>
                  </w:r>
                </w:p>
              </w:tc>
            </w:tr>
            <w:tr>
              <w:tc>
                <w:tcPr/>
                <w:p>
                  <w:pPr>
                    <w:pStyle w:val="Compact"/>
                    <w:jc w:val="left"/>
                    <w:jc w:val="center"/>
                  </w:pPr>
                  <w:r>
                    <w:t xml:space="preserve">(4,6]</w:t>
                  </w:r>
                </w:p>
              </w:tc>
              <w:tc>
                <w:tcPr/>
                <w:p>
                  <w:pPr>
                    <w:pStyle w:val="Compact"/>
                    <w:jc w:val="right"/>
                    <w:jc w:val="center"/>
                  </w:pPr>
                  <w:r>
                    <w:t xml:space="preserve">68</w:t>
                  </w:r>
                </w:p>
              </w:tc>
              <w:tc>
                <w:tcPr/>
                <w:p>
                  <w:pPr>
                    <w:pStyle w:val="Compact"/>
                    <w:jc w:val="right"/>
                    <w:jc w:val="center"/>
                  </w:pPr>
                  <w:r>
                    <w:t xml:space="preserve">0.693</w:t>
                  </w:r>
                </w:p>
              </w:tc>
              <w:tc>
                <w:tcPr/>
                <w:p>
                  <w:pPr>
                    <w:pStyle w:val="Compact"/>
                    <w:jc w:val="right"/>
                    <w:jc w:val="center"/>
                  </w:pPr>
                  <w:r>
                    <w:t xml:space="preserve">0.295</w:t>
                  </w:r>
                </w:p>
              </w:tc>
            </w:tr>
            <w:tr>
              <w:tc>
                <w:tcPr/>
                <w:p>
                  <w:pPr>
                    <w:pStyle w:val="Compact"/>
                    <w:jc w:val="left"/>
                    <w:jc w:val="center"/>
                  </w:pPr>
                  <w:r>
                    <w:t xml:space="preserve">(6,8]</w:t>
                  </w:r>
                </w:p>
              </w:tc>
              <w:tc>
                <w:tcPr/>
                <w:p>
                  <w:pPr>
                    <w:pStyle w:val="Compact"/>
                    <w:jc w:val="right"/>
                    <w:jc w:val="center"/>
                  </w:pPr>
                  <w:r>
                    <w:t xml:space="preserve">35</w:t>
                  </w:r>
                </w:p>
              </w:tc>
              <w:tc>
                <w:tcPr/>
                <w:p>
                  <w:pPr>
                    <w:pStyle w:val="Compact"/>
                    <w:jc w:val="right"/>
                    <w:jc w:val="center"/>
                  </w:pPr>
                  <w:r>
                    <w:t xml:space="preserve">0.766</w:t>
                  </w:r>
                </w:p>
              </w:tc>
              <w:tc>
                <w:tcPr/>
                <w:p>
                  <w:pPr>
                    <w:pStyle w:val="Compact"/>
                    <w:jc w:val="right"/>
                    <w:jc w:val="center"/>
                  </w:pPr>
                  <w:r>
                    <w:t xml:space="preserve">0.256</w:t>
                  </w:r>
                </w:p>
              </w:tc>
            </w:tr>
            <w:tr>
              <w:tc>
                <w:tcPr/>
                <w:p>
                  <w:pPr>
                    <w:pStyle w:val="Compact"/>
                    <w:jc w:val="left"/>
                    <w:jc w:val="center"/>
                  </w:pPr>
                  <w:r>
                    <w:t xml:space="preserve">(8,10]</w:t>
                  </w:r>
                </w:p>
              </w:tc>
              <w:tc>
                <w:tcPr/>
                <w:p>
                  <w:pPr>
                    <w:pStyle w:val="Compact"/>
                    <w:jc w:val="right"/>
                    <w:jc w:val="center"/>
                  </w:pPr>
                  <w:r>
                    <w:t xml:space="preserve">10</w:t>
                  </w:r>
                </w:p>
              </w:tc>
              <w:tc>
                <w:tcPr/>
                <w:p>
                  <w:pPr>
                    <w:pStyle w:val="Compact"/>
                    <w:jc w:val="right"/>
                    <w:jc w:val="center"/>
                  </w:pPr>
                  <w:r>
                    <w:t xml:space="preserve">0.638</w:t>
                  </w:r>
                </w:p>
              </w:tc>
              <w:tc>
                <w:tcPr/>
                <w:p>
                  <w:pPr>
                    <w:pStyle w:val="Compact"/>
                    <w:jc w:val="right"/>
                    <w:jc w:val="center"/>
                  </w:pPr>
                  <w:r>
                    <w:t xml:space="preserve">0.359</w:t>
                  </w:r>
                </w:p>
              </w:tc>
            </w:tr>
            <w:tr>
              <w:tc>
                <w:tcPr/>
                <w:p>
                  <w:pPr>
                    <w:pStyle w:val="Compact"/>
                    <w:jc w:val="left"/>
                    <w:jc w:val="center"/>
                  </w:pPr>
                  <w:r>
                    <w:t xml:space="preserve">(10,12]</w:t>
                  </w:r>
                </w:p>
              </w:tc>
              <w:tc>
                <w:tcPr/>
                <w:p>
                  <w:pPr>
                    <w:pStyle w:val="Compact"/>
                    <w:jc w:val="right"/>
                    <w:jc w:val="center"/>
                  </w:pPr>
                  <w:r>
                    <w:t xml:space="preserve">3</w:t>
                  </w:r>
                </w:p>
              </w:tc>
              <w:tc>
                <w:tcPr/>
                <w:p>
                  <w:pPr>
                    <w:pStyle w:val="Compact"/>
                    <w:jc w:val="right"/>
                    <w:jc w:val="center"/>
                  </w:pPr>
                  <w:r>
                    <w:t xml:space="preserve">0.625</w:t>
                  </w:r>
                </w:p>
              </w:tc>
              <w:tc>
                <w:tcPr/>
                <w:p>
                  <w:pPr>
                    <w:pStyle w:val="Compact"/>
                    <w:jc w:val="right"/>
                    <w:jc w:val="center"/>
                  </w:pPr>
                  <w:r>
                    <w:t xml:space="preserve">0.545</w:t>
                  </w:r>
                </w:p>
              </w:tc>
            </w:tr>
          </w:tbl>
          <w:p>
            <w:pPr>
              <w:jc w:val="center"/>
            </w:pPr>
            <w:pPr>
              <w:jc w:val="start"/>
              <w:spacing w:before="200"/>
              <w:pStyle w:val="ImageCaption"/>
            </w:pPr>
            <w:r>
              <w:t xml:space="preserve">Table 19: Mean Jaccard dissimilarity of geometric-sign repertoires by temporal-lag class (absolute |ΔMedianBP| between site pairs, in ka). Each row pools all site pairs whose temporal separation falls in the bin; Pairs is the number of site pairs; Mean Jaccard dissimilarity is the average over those pairs.</w:t>
            </w:r>
          </w:p>
          <w:bookmarkEnd w:id="100"/>
        </w:tc>
      </w:tr>
    </w:tbl>
    <w:bookmarkEnd w:id="101"/>
    <w:bookmarkStart w:id="102" w:name="interpretation-1"/>
    <w:p>
      <w:pPr>
        <w:pStyle w:val="Heading3"/>
      </w:pPr>
      <w:r>
        <w:t xml:space="preserve">Interpretation</w:t>
      </w:r>
    </w:p>
    <w:p>
      <w:pPr>
        <w:pStyle w:val="FirstParagraph"/>
      </w:pPr>
      <w:r>
        <w:rPr>
          <w:bCs/>
          <w:b/>
        </w:rPr>
        <w:t xml:space="preserve">Question 1 — does sign dissimilarity increase with temporal lag?</w:t>
      </w:r>
      <w:r>
        <w:t xml:space="preserve"> </w:t>
      </w:r>
      <w:r>
        <w:t xml:space="preserve">No. Across all 378 site pairs the Spearman correlation between temporal lag (|ΔMedianBP|, ka) and Jaccard sign dissimilarity is -0.045 (p = 0.387) — essentially zero and non-significant — so dissimilarity does not rise as sites become more separated in time. The binned means are flat and non-monotonic (</w:t>
      </w:r>
      <w:hyperlink w:anchor="tbl-ts-lag">
        <w:r>
          <w:rPr>
            <w:rStyle w:val="Hyperlink"/>
          </w:rPr>
          <w:t xml:space="preserve">Table 19</w:t>
        </w:r>
      </w:hyperlink>
      <w:r>
        <w:t xml:space="preserve">): mean dissimilarity is 0.768 at the shortest lags (0–2 ka) and shows no orderly increase at longer lags; the highest-lag bin ((10,12], only 3 pairs) is too sparsely sampled to support any trend. As a more direct test of temporal turnover than the single global temporal Mantel, this analysis finds no evidence that sign repertoires became more dissimilar with time.</w:t>
      </w:r>
    </w:p>
    <w:p>
      <w:pPr>
        <w:pStyle w:val="BodyText"/>
      </w:pPr>
      <w:r>
        <w:rPr>
          <w:bCs/>
          <w:b/>
        </w:rPr>
        <w:t xml:space="preserve">Question 2 — is any time signal driven by the between-phase gap or by gradual within-phase change?</w:t>
      </w:r>
      <w:r>
        <w:t xml:space="preserve"> </w:t>
      </w:r>
      <w:r>
        <w:t xml:space="preserve">The time signal is absent in both components. Within-phase pairs (mean lag 2.12 ka) give ρ = -0.038 (p = 0.583), again flat. The between-phase gap dominates the temporal variance in the pooled sample — between-phase pairs have a mean lag of 4.25 ka, roughly double the within-phase mean — yet between-phase pairs are if anything slightly</w:t>
      </w:r>
      <w:r>
        <w:t xml:space="preserve"> </w:t>
      </w:r>
      <w:r>
        <w:rPr>
          <w:iCs/>
          <w:i/>
        </w:rPr>
        <w:t xml:space="preserve">less</w:t>
      </w:r>
      <w:r>
        <w:t xml:space="preserve"> </w:t>
      </w:r>
      <w:r>
        <w:t xml:space="preserve">dissimilar (mean Jaccard 0.727) than within-phase pairs (mean Jaccard 0.765). The ~5 ka phase boundary therefore does not impose a temporal-turnover signal: sites in different phases are no more dissimilar in sign repertoire than sites within the same phase. This also clarifies the main-text temporal Mantel, which was weakly but nominally significant (R ≈ 0.06, p ≈ 0.004) only because it pairs 438 objects that largely share a site</w:t>
      </w:r>
      <w:r>
        <w:t xml:space="preserve"> </w:t>
      </w:r>
      <w:r>
        <w:rPr>
          <w:rStyle w:val="VerbatimChar"/>
        </w:rPr>
        <w:t xml:space="preserve">MedianBP</w:t>
      </w:r>
      <w:r>
        <w:t xml:space="preserve">, inflating the effective sample; at the site level, where each age is measured once, no monotonic time trend remains.</w:t>
      </w:r>
    </w:p>
    <w:p>
      <w:pPr>
        <w:pStyle w:val="BodyText"/>
      </w:pPr>
      <w:r>
        <w:rPr>
          <w:bCs/>
          <w:b/>
        </w:rPr>
        <w:t xml:space="preserve">Question 3 — how should a flat trend be interpreted?</w:t>
      </w:r>
      <w:r>
        <w:t xml:space="preserve"> </w:t>
      </w:r>
      <w:r>
        <w:t xml:space="preserve">A null result here cannot establish that substantial change did</w:t>
      </w:r>
      <w:r>
        <w:t xml:space="preserve"> </w:t>
      </w:r>
      <w:r>
        <w:rPr>
          <w:iCs/>
          <w:i/>
        </w:rPr>
        <w:t xml:space="preserve">not</w:t>
      </w:r>
      <w:r>
        <w:t xml:space="preserve"> </w:t>
      </w:r>
      <w:r>
        <w:t xml:space="preserve">occur. The test is underpowered — only 28 sites (19 in Aur-P1, 9 in Aur-P2) yielding 378 pairs — each phase spans several millennia and each site is collapsed to a single</w:t>
      </w:r>
      <w:r>
        <w:t xml:space="preserve"> </w:t>
      </w:r>
      <w:r>
        <w:rPr>
          <w:rStyle w:val="VerbatimChar"/>
        </w:rPr>
        <w:t xml:space="preserve">MedianBP</w:t>
      </w:r>
      <w:r>
        <w:t xml:space="preserve"> </w:t>
      </w:r>
      <w:r>
        <w:t xml:space="preserve">with large calibrated errors (time-averaging), and genuine change could be non-monotonic (signs appearing and later disappearing) or additive (later sites retaining earlier repertoires while adding new ones), either of which would leave Jaccard dissimilarity nearly constant. The lag analysis therefore shows only that the data contain</w:t>
      </w:r>
      <w:r>
        <w:t xml:space="preserve"> </w:t>
      </w:r>
      <w:r>
        <w:rPr>
          <w:iCs/>
          <w:i/>
        </w:rPr>
        <w:t xml:space="preserve">no strong evidence</w:t>
      </w:r>
      <w:r>
        <w:t xml:space="preserve"> </w:t>
      </w:r>
      <w:r>
        <w:t xml:space="preserve">of time-structured change in sign repertoires; it does</w:t>
      </w:r>
      <w:r>
        <w:t xml:space="preserve"> </w:t>
      </w:r>
      <w:r>
        <w:rPr>
          <w:bCs/>
          <w:b/>
        </w:rPr>
        <w:t xml:space="preserve">not</w:t>
      </w:r>
      <w:r>
        <w:t xml:space="preserve"> </w:t>
      </w:r>
      <w:r>
        <w:t xml:space="preserve">demonstrate the absence of change. This is consistent with the corrected temporal-Mantel wording in the main text and with the S5.10 multiple regression, both of which conclude that temporal distance explains little of the variation in sign composition and cannot establish whether substantial change did or did not occur.</w:t>
      </w:r>
    </w:p>
    <w:bookmarkEnd w:id="102"/>
    <w:bookmarkEnd w:id="103"/>
    <w:bookmarkEnd w:id="104"/>
    <w:bookmarkStart w:id="215" w:name="sec-s6"/>
    <w:p>
      <w:pPr>
        <w:pStyle w:val="Heading1"/>
      </w:pPr>
      <w:r>
        <w:t xml:space="preserve">S6. Robustness of the Two-Group Structure: Bootstrap Consensus and Stochastic Block Models</w:t>
      </w:r>
    </w:p>
    <w:bookmarkStart w:id="105" w:name="sec-s6-1"/>
    <w:p>
      <w:pPr>
        <w:pStyle w:val="Heading2"/>
      </w:pPr>
      <w:r>
        <w:t xml:space="preserve">S6.1 Rationale</w:t>
      </w:r>
    </w:p>
    <w:p>
      <w:pPr>
        <w:pStyle w:val="FirstParagraph"/>
      </w:pPr>
      <w:r>
        <w:t xml:space="preserve">The main-text claim that each phase resolves into two cultural groups, restricted-range versus broader-range sign repertoires, rests on a single Brower-Kile seriation run followed by manual block assignment (see S5). Two limitations remain unaddressed by S1–S5. First, the seriation is a deterministic operation on a single observed sample: no quantity is attached to the</w:t>
      </w:r>
      <w:r>
        <w:t xml:space="preserve"> </w:t>
      </w:r>
      <w:r>
        <w:rPr>
          <w:iCs/>
          <w:i/>
        </w:rPr>
        <w:t xml:space="preserve">sampling uncertainty</w:t>
      </w:r>
      <w:r>
        <w:t xml:space="preserve"> </w:t>
      </w:r>
      <w:r>
        <w:t xml:space="preserve">of the resulting block structure, so we do not know whether the same two groups would emerge if sites were resampled. Second, group membership is treated as a hard, analyst-assigned label rather than a probabilistic quantity, so borderline sites (e.g. Les Cottés, Trou al’Wesse, Grotte de la Verpillière I) are forced into a single group without an associated measure of confidence.</w:t>
      </w:r>
    </w:p>
    <w:p>
      <w:pPr>
        <w:pStyle w:val="BodyText"/>
      </w:pPr>
      <w:r>
        <w:t xml:space="preserve">This section addresses both limitations. In S6.2 we use bootstrap resampling of sites within each phase to build a</w:t>
      </w:r>
      <w:r>
        <w:t xml:space="preserve"> </w:t>
      </w:r>
      <w:r>
        <w:rPr>
          <w:bCs/>
          <w:b/>
        </w:rPr>
        <w:t xml:space="preserve">consensus co-clustering matrix</w:t>
      </w:r>
      <w:r>
        <w:t xml:space="preserve"> </w:t>
      </w:r>
      <w:r>
        <w:t xml:space="preserve">[9]</w:t>
      </w:r>
      <w:r>
        <w:t xml:space="preserve">, quantifying the stability of the two-group partition as a whole and of each site’s assignment. In S6.3 we fit</w:t>
      </w:r>
      <w:r>
        <w:t xml:space="preserve"> </w:t>
      </w:r>
      <w:r>
        <w:rPr>
          <w:bCs/>
          <w:b/>
        </w:rPr>
        <w:t xml:space="preserve">stochastic block models (SBM)</w:t>
      </w:r>
      <w:r>
        <w:t xml:space="preserve"> </w:t>
      </w:r>
      <w:r>
        <w:t xml:space="preserve">using the</w:t>
      </w:r>
      <w:r>
        <w:t xml:space="preserve"> </w:t>
      </w:r>
      <w:r>
        <w:rPr>
          <w:rStyle w:val="VerbatimChar"/>
        </w:rPr>
        <w:t xml:space="preserve">blockmodels</w:t>
      </w:r>
      <w:r>
        <w:t xml:space="preserve"> </w:t>
      </w:r>
      <w:r>
        <w:t xml:space="preserve">R package</w:t>
      </w:r>
      <w:r>
        <w:t xml:space="preserve"> </w:t>
      </w:r>
      <w:r>
        <w:t xml:space="preserve">[10]</w:t>
      </w:r>
      <w:r>
        <w:t xml:space="preserve">, which treat block membership as a latent variable, select the number of blocks via the Integrated Classification Likelihood (ICL), and return posterior membership probabilities for every site. In S6.4 we cross-validate the bootstrap and SBM assignments against the main-text restricted/broad groups using the Adjusted Rand Index (ARI)</w:t>
      </w:r>
      <w:r>
        <w:t xml:space="preserve"> </w:t>
      </w:r>
      <w:r>
        <w:t xml:space="preserve">[11]</w:t>
      </w:r>
      <w:r>
        <w:t xml:space="preserve">.</w:t>
      </w:r>
    </w:p>
    <w:bookmarkEnd w:id="105"/>
    <w:bookmarkStart w:id="114" w:name="sec-s6-2"/>
    <w:p>
      <w:pPr>
        <w:pStyle w:val="Heading2"/>
      </w:pPr>
      <w:r>
        <w:t xml:space="preserve">S6.2 Bootstrap Consensus Analysis</w:t>
      </w:r>
    </w:p>
    <w:bookmarkStart w:id="112" w:name="rationale-6"/>
    <w:p>
      <w:pPr>
        <w:pStyle w:val="Heading3"/>
      </w:pPr>
      <w:r>
        <w:t xml:space="preserve">Rationale</w:t>
      </w:r>
    </w:p>
    <w:p>
      <w:pPr>
        <w:pStyle w:val="FirstParagraph"/>
      </w:pPr>
      <w:r>
        <w:t xml:space="preserve">For each phase we assess stability of the two-group partition by resampling (</w:t>
      </w:r>
      <w:r>
        <w:rPr>
          <w:bCs/>
          <w:b/>
        </w:rPr>
        <w:t xml:space="preserve">site subsampling without replacement, 80% of sites per replicate</w:t>
      </w:r>
      <w:r>
        <w:t xml:space="preserve">) and, separately, by object-within-site bootstrap (S5.7 method). Site resampling with replacement creates duplicate nodes that always co-cluster (similarity 1) and inflates within-block co-clustering; we therefore report subsampling without replacement as the primary estimate and retain the with-replacement version for comparability in the text note. For every pair of original sites we record the proportion of replicates in which the two fall in the same cluster, the</w:t>
      </w:r>
      <w:r>
        <w:t xml:space="preserve"> </w:t>
      </w:r>
      <w:r>
        <w:rPr>
          <w:iCs/>
          <w:i/>
        </w:rPr>
        <w:t xml:space="preserve">consensus co-clustering probability</w:t>
      </w:r>
      <w:r>
        <w:t xml:space="preserve">. If the two-group structure is genuine, mean co-clustering</w:t>
      </w:r>
      <w:r>
        <w:t xml:space="preserve"> </w:t>
      </w:r>
      <w:r>
        <w:rPr>
          <w:iCs/>
          <w:i/>
        </w:rPr>
        <w:t xml:space="preserve">within</w:t>
      </w:r>
      <w:r>
        <w:t xml:space="preserve"> </w:t>
      </w:r>
      <w:r>
        <w:t xml:space="preserve">each block (restricted/broad) should substantially exceed mean co-clustering</w:t>
      </w:r>
      <w:r>
        <w:t xml:space="preserve"> </w:t>
      </w:r>
      <w:r>
        <w:rPr>
          <w:iCs/>
          <w:i/>
        </w:rPr>
        <w:t xml:space="preserve">across</w:t>
      </w:r>
      <w:r>
        <w:t xml:space="preserve"> </w:t>
      </w:r>
      <w:r>
        <w:t xml:space="preserve">the two blocks, and sites central to a block should show high per-site consistency (the proportion of replicates in which the site is assigned to its modal block).</w:t>
      </w:r>
    </w:p>
    <w:tbl>
      <w:tblPr>
        <w:tblStyle w:val="Table"/>
        <w:tblW w:type="pct" w:w="5000"/>
        <w:tblLook w:firstRow="0" w:lastRow="0" w:firstColumn="0" w:lastColumn="0" w:noHBand="0" w:noVBand="0" w:val="0000"/>
        <w:jc w:val="start"/>
        <w:tblLayout w:type="fixed"/>
      </w:tblPr>
      <w:tblGrid>
        <w:gridCol w:w="7920"/>
      </w:tblGrid>
      <w:tr>
        <w:tc>
          <w:tcPr/>
          <w:bookmarkStart w:id="106" w:name="tbl-bootstrap-summary"/>
          <w:tbl>
            <w:tblPr>
              <w:tblStyle w:val="Table"/>
              <w:tblW w:type="pct" w:w="5000"/>
              <w:tblLook w:firstRow="1" w:lastRow="0" w:firstColumn="0" w:lastColumn="0" w:noHBand="0" w:noVBand="0" w:val="0020"/>
              <w:jc w:val="start"/>
              <w:tblLayout w:type="fixed"/>
            </w:tblPr>
            <w:tblGrid>
              <w:gridCol w:w="637"/>
              <w:gridCol w:w="1274"/>
              <w:gridCol w:w="819"/>
              <w:gridCol w:w="1729"/>
              <w:gridCol w:w="1274"/>
              <w:gridCol w:w="1456"/>
              <w:gridCol w:w="728"/>
            </w:tblGrid>
            <w:tr>
              <w:trPr>
                <w:tblHeader w:val="true"/>
              </w:trPr>
              <w:tc>
                <w:tcPr/>
                <w:p>
                  <w:pPr>
                    <w:pStyle w:val="Compact"/>
                    <w:jc w:val="left"/>
                    <w:jc w:val="center"/>
                  </w:pPr>
                  <w:r>
                    <w:t xml:space="preserve">Phase</w:t>
                  </w:r>
                </w:p>
              </w:tc>
              <w:tc>
                <w:tcPr/>
                <w:p>
                  <w:pPr>
                    <w:pStyle w:val="Compact"/>
                    <w:jc w:val="center"/>
                    <w:jc w:val="center"/>
                  </w:pPr>
                  <w:r>
                    <w:t xml:space="preserve">Restricted n</w:t>
                  </w:r>
                </w:p>
              </w:tc>
              <w:tc>
                <w:tcPr/>
                <w:p>
                  <w:pPr>
                    <w:pStyle w:val="Compact"/>
                    <w:jc w:val="center"/>
                    <w:jc w:val="center"/>
                  </w:pPr>
                  <w:r>
                    <w:t xml:space="preserve">Broad n</w:t>
                  </w:r>
                </w:p>
              </w:tc>
              <w:tc>
                <w:tcPr/>
                <w:p>
                  <w:pPr>
                    <w:pStyle w:val="Compact"/>
                    <w:jc w:val="center"/>
                    <w:jc w:val="center"/>
                  </w:pPr>
                  <w:r>
                    <w:t xml:space="preserve">Within restricted</w:t>
                  </w:r>
                </w:p>
              </w:tc>
              <w:tc>
                <w:tcPr/>
                <w:p>
                  <w:pPr>
                    <w:pStyle w:val="Compact"/>
                    <w:jc w:val="center"/>
                    <w:jc w:val="center"/>
                  </w:pPr>
                  <w:r>
                    <w:t xml:space="preserve">Within broad</w:t>
                  </w:r>
                </w:p>
              </w:tc>
              <w:tc>
                <w:tcPr/>
                <w:p>
                  <w:pPr>
                    <w:pStyle w:val="Compact"/>
                    <w:jc w:val="center"/>
                    <w:jc w:val="center"/>
                  </w:pPr>
                  <w:r>
                    <w:t xml:space="preserve">Overall within</w:t>
                  </w:r>
                </w:p>
              </w:tc>
              <w:tc>
                <w:tcPr/>
                <w:p>
                  <w:pPr>
                    <w:pStyle w:val="Compact"/>
                    <w:jc w:val="center"/>
                    <w:jc w:val="center"/>
                  </w:pPr>
                  <w:r>
                    <w:t xml:space="preserve">Across</w:t>
                  </w:r>
                </w:p>
              </w:tc>
            </w:tr>
            <w:tr>
              <w:tc>
                <w:tcPr/>
                <w:p>
                  <w:pPr>
                    <w:pStyle w:val="Compact"/>
                    <w:jc w:val="left"/>
                    <w:jc w:val="center"/>
                  </w:pPr>
                  <w:r>
                    <w:t xml:space="preserve">Aur-P1</w:t>
                  </w:r>
                </w:p>
              </w:tc>
              <w:tc>
                <w:tcPr/>
                <w:p>
                  <w:pPr>
                    <w:pStyle w:val="Compact"/>
                    <w:jc w:val="center"/>
                    <w:jc w:val="center"/>
                  </w:pPr>
                  <w:r>
                    <w:t xml:space="preserve">9</w:t>
                  </w:r>
                </w:p>
              </w:tc>
              <w:tc>
                <w:tcPr/>
                <w:p>
                  <w:pPr>
                    <w:pStyle w:val="Compact"/>
                    <w:jc w:val="center"/>
                    <w:jc w:val="center"/>
                  </w:pPr>
                  <w:r>
                    <w:t xml:space="preserve">11</w:t>
                  </w:r>
                </w:p>
              </w:tc>
              <w:tc>
                <w:tcPr/>
                <w:p>
                  <w:pPr>
                    <w:pStyle w:val="Compact"/>
                    <w:jc w:val="center"/>
                    <w:jc w:val="center"/>
                  </w:pPr>
                  <w:r>
                    <w:t xml:space="preserve">0.75</w:t>
                  </w:r>
                </w:p>
              </w:tc>
              <w:tc>
                <w:tcPr/>
                <w:p>
                  <w:pPr>
                    <w:pStyle w:val="Compact"/>
                    <w:jc w:val="center"/>
                    <w:jc w:val="center"/>
                  </w:pPr>
                  <w:r>
                    <w:t xml:space="preserve">0.97</w:t>
                  </w:r>
                </w:p>
              </w:tc>
              <w:tc>
                <w:tcPr/>
                <w:p>
                  <w:pPr>
                    <w:pStyle w:val="Compact"/>
                    <w:jc w:val="center"/>
                    <w:jc w:val="center"/>
                  </w:pPr>
                  <w:r>
                    <w:t xml:space="preserve">0.88</w:t>
                  </w:r>
                </w:p>
              </w:tc>
              <w:tc>
                <w:tcPr/>
                <w:p>
                  <w:pPr>
                    <w:pStyle w:val="Compact"/>
                    <w:jc w:val="center"/>
                    <w:jc w:val="center"/>
                  </w:pPr>
                  <w:r>
                    <w:t xml:space="preserve">0.2</w:t>
                  </w:r>
                </w:p>
              </w:tc>
            </w:tr>
            <w:tr>
              <w:tc>
                <w:tcPr/>
                <w:p>
                  <w:pPr>
                    <w:pStyle w:val="Compact"/>
                    <w:jc w:val="left"/>
                    <w:jc w:val="center"/>
                  </w:pPr>
                  <w:r>
                    <w:t xml:space="preserve">Aur-P2</w:t>
                  </w:r>
                </w:p>
              </w:tc>
              <w:tc>
                <w:tcPr/>
                <w:p>
                  <w:pPr>
                    <w:pStyle w:val="Compact"/>
                    <w:jc w:val="center"/>
                    <w:jc w:val="center"/>
                  </w:pPr>
                  <w:r>
                    <w:t xml:space="preserve">6</w:t>
                  </w:r>
                </w:p>
              </w:tc>
              <w:tc>
                <w:tcPr/>
                <w:p>
                  <w:pPr>
                    <w:pStyle w:val="Compact"/>
                    <w:jc w:val="center"/>
                    <w:jc w:val="center"/>
                  </w:pPr>
                  <w:r>
                    <w:t xml:space="preserve">3</w:t>
                  </w:r>
                </w:p>
              </w:tc>
              <w:tc>
                <w:tcPr/>
                <w:p>
                  <w:pPr>
                    <w:pStyle w:val="Compact"/>
                    <w:jc w:val="center"/>
                    <w:jc w:val="center"/>
                  </w:pPr>
                  <w:r>
                    <w:t xml:space="preserve">0.49</w:t>
                  </w:r>
                </w:p>
              </w:tc>
              <w:tc>
                <w:tcPr/>
                <w:p>
                  <w:pPr>
                    <w:pStyle w:val="Compact"/>
                    <w:jc w:val="center"/>
                    <w:jc w:val="center"/>
                  </w:pPr>
                  <w:r>
                    <w:t xml:space="preserve">0.92</w:t>
                  </w:r>
                </w:p>
              </w:tc>
              <w:tc>
                <w:tcPr/>
                <w:p>
                  <w:pPr>
                    <w:pStyle w:val="Compact"/>
                    <w:jc w:val="center"/>
                    <w:jc w:val="center"/>
                  </w:pPr>
                  <w:r>
                    <w:t xml:space="preserve">0.56</w:t>
                  </w:r>
                </w:p>
              </w:tc>
              <w:tc>
                <w:tcPr/>
                <w:p>
                  <w:pPr>
                    <w:pStyle w:val="Compact"/>
                    <w:jc w:val="center"/>
                    <w:jc w:val="center"/>
                  </w:pPr>
                  <w:r>
                    <w:t xml:space="preserve">0.4</w:t>
                  </w:r>
                </w:p>
              </w:tc>
            </w:tr>
          </w:tbl>
          <w:p>
            <w:pPr>
              <w:jc w:val="center"/>
            </w:pPr>
            <w:pPr>
              <w:jc w:val="start"/>
              <w:spacing w:before="200"/>
              <w:pStyle w:val="ImageCaption"/>
            </w:pPr>
            <w:r>
              <w:t xml:space="preserve">Table 20: Bootstrap consensus co-clustering within and across the main-text restricted/broad blocks, by phase (n = 1000 resamples). Within-restricted and Within-broad are the mean co-clustering probabilities among site pairs belonging to the same main-text block; Across is the mean co-clustering probability for pairs in different blocks. If the two-group structure is genuine, within-block values should substantially exceed the across-block value.</w:t>
            </w:r>
          </w:p>
          <w:bookmarkEnd w:id="10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07" w:name="tbl-bootstrap-sites"/>
          <w:tbl>
            <w:tblPr>
              <w:tblStyle w:val="Table"/>
              <w:tblW w:type="pct" w:w="5000"/>
              <w:tblLook w:firstRow="1" w:lastRow="0" w:firstColumn="0" w:lastColumn="0" w:noHBand="0" w:noVBand="0" w:val="0020"/>
              <w:jc w:val="start"/>
              <w:tblLayout w:type="fixed"/>
            </w:tblPr>
            <w:tblGrid>
              <w:gridCol w:w="2457"/>
              <w:gridCol w:w="637"/>
              <w:gridCol w:w="2457"/>
              <w:gridCol w:w="1183"/>
              <w:gridCol w:w="1183"/>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center"/>
                    <w:jc w:val="center"/>
                  </w:pPr>
                  <w:r>
                    <w:t xml:space="preserve">Consistency</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0.95</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0.96</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0.93</w:t>
                  </w:r>
                </w:p>
              </w:tc>
            </w:tr>
            <w:tr>
              <w:tc>
                <w:tcPr/>
                <w:p>
                  <w:pPr>
                    <w:pStyle w:val="Compact"/>
                    <w:jc w:val="left"/>
                    <w:jc w:val="center"/>
                  </w:pPr>
                  <w:r>
                    <w:t xml:space="preserve">Fumane</w:t>
                  </w:r>
                </w:p>
              </w:tc>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0.61</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0.65</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Grottes de Fonds-de-Forêt</w:t>
                  </w:r>
                </w:p>
              </w:tc>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Hohle Fels…11</w:t>
                  </w:r>
                </w:p>
              </w:tc>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Hohlenstein-Stadel</w:t>
                  </w:r>
                </w:p>
              </w:tc>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0.65</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0.97</w:t>
                  </w:r>
                </w:p>
              </w:tc>
            </w:tr>
            <w:tr>
              <w:tc>
                <w:tcPr/>
                <w:p>
                  <w:pPr>
                    <w:pStyle w:val="Compact"/>
                    <w:jc w:val="left"/>
                    <w:jc w:val="center"/>
                  </w:pPr>
                  <w:r>
                    <w:t xml:space="preserve">Labeko Koba</w:t>
                  </w:r>
                </w:p>
              </w:tc>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2</w:t>
                  </w:r>
                </w:p>
              </w:tc>
              <w:tc>
                <w:tcPr/>
                <w:p>
                  <w:pPr>
                    <w:pStyle w:val="Compact"/>
                    <w:jc w:val="center"/>
                    <w:jc w:val="center"/>
                  </w:pPr>
                  <w:r>
                    <w:t xml:space="preserve">0.52</w:t>
                  </w:r>
                </w:p>
              </w:tc>
            </w:tr>
            <w:tr>
              <w:tc>
                <w:tcPr/>
                <w:p>
                  <w:pPr>
                    <w:pStyle w:val="Compact"/>
                    <w:jc w:val="left"/>
                    <w:jc w:val="center"/>
                  </w:pPr>
                  <w:r>
                    <w:t xml:space="preserve">Les Cottés</w:t>
                  </w:r>
                </w:p>
              </w:tc>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Pod Hradem</w:t>
                  </w:r>
                </w:p>
              </w:tc>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0.95</w:t>
                  </w:r>
                </w:p>
              </w:tc>
            </w:tr>
            <w:tr>
              <w:tc>
                <w:tcPr/>
                <w:p>
                  <w:pPr>
                    <w:pStyle w:val="Compact"/>
                    <w:jc w:val="left"/>
                    <w:jc w:val="center"/>
                  </w:pPr>
                  <w:r>
                    <w:t xml:space="preserve">Trou al’Wesse</w:t>
                  </w:r>
                </w:p>
              </w:tc>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0.58</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2</w:t>
                  </w:r>
                </w:p>
              </w:tc>
              <w:tc>
                <w:tcPr/>
                <w:p>
                  <w:pPr>
                    <w:pStyle w:val="Compact"/>
                    <w:jc w:val="center"/>
                    <w:jc w:val="center"/>
                  </w:pPr>
                  <w:r>
                    <w:t xml:space="preserve">0.83</w:t>
                  </w:r>
                </w:p>
              </w:tc>
            </w:tr>
            <w:tr>
              <w:tc>
                <w:tcPr/>
                <w:p>
                  <w:pPr>
                    <w:pStyle w:val="Compact"/>
                    <w:jc w:val="left"/>
                    <w:jc w:val="center"/>
                  </w:pPr>
                  <w:r>
                    <w:t xml:space="preserve">Hohle Fels…23</w:t>
                  </w:r>
                </w:p>
              </w:tc>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0.81</w:t>
                  </w:r>
                </w:p>
              </w:tc>
            </w:tr>
            <w:tr>
              <w:tc>
                <w:tcPr/>
                <w:p>
                  <w:pPr>
                    <w:pStyle w:val="Compact"/>
                    <w:jc w:val="left"/>
                    <w:jc w:val="center"/>
                  </w:pPr>
                  <w:r>
                    <w:t xml:space="preserve">La Viña</w:t>
                  </w:r>
                </w:p>
              </w:tc>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2</w:t>
                  </w:r>
                </w:p>
              </w:tc>
              <w:tc>
                <w:tcPr/>
                <w:p>
                  <w:pPr>
                    <w:pStyle w:val="Compact"/>
                    <w:jc w:val="center"/>
                    <w:jc w:val="center"/>
                  </w:pPr>
                  <w:r>
                    <w:t xml:space="preserve">0.98</w:t>
                  </w:r>
                </w:p>
              </w:tc>
            </w:tr>
            <w:tr>
              <w:tc>
                <w:tcPr/>
                <w:p>
                  <w:pPr>
                    <w:pStyle w:val="Compact"/>
                    <w:jc w:val="left"/>
                    <w:jc w:val="center"/>
                  </w:pPr>
                  <w:r>
                    <w:t xml:space="preserve">Les Rois</w:t>
                  </w:r>
                </w:p>
              </w:tc>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0.82</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2</w:t>
                  </w:r>
                </w:p>
              </w:tc>
              <w:tc>
                <w:tcPr/>
                <w:p>
                  <w:pPr>
                    <w:pStyle w:val="Compact"/>
                    <w:jc w:val="center"/>
                    <w:jc w:val="center"/>
                  </w:pPr>
                  <w:r>
                    <w:t xml:space="preserve">0.84</w:t>
                  </w:r>
                </w:p>
              </w:tc>
            </w:tr>
            <w:tr>
              <w:tc>
                <w:tcPr/>
                <w:p>
                  <w:pPr>
                    <w:pStyle w:val="Compact"/>
                    <w:jc w:val="left"/>
                    <w:jc w:val="center"/>
                  </w:pPr>
                  <w:r>
                    <w:t xml:space="preserve">Sirgenstein Cave</w:t>
                  </w:r>
                </w:p>
              </w:tc>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2</w:t>
                  </w:r>
                </w:p>
              </w:tc>
              <w:tc>
                <w:tcPr/>
                <w:p>
                  <w:pPr>
                    <w:pStyle w:val="Compact"/>
                    <w:jc w:val="center"/>
                    <w:jc w:val="center"/>
                  </w:pPr>
                  <w:r>
                    <w:t xml:space="preserve">0.98</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0.81</w:t>
                  </w:r>
                </w:p>
              </w:tc>
            </w:tr>
            <w:tr>
              <w:tc>
                <w:tcPr/>
                <w:p>
                  <w:pPr>
                    <w:pStyle w:val="Compact"/>
                    <w:jc w:val="left"/>
                    <w:jc w:val="center"/>
                  </w:pPr>
                  <w:r>
                    <w:t xml:space="preserve">Vindija Cave</w:t>
                  </w:r>
                </w:p>
              </w:tc>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0.94</w:t>
                  </w:r>
                </w:p>
              </w:tc>
            </w:tr>
          </w:tbl>
          <w:p>
            <w:pPr>
              <w:jc w:val="center"/>
            </w:pPr>
            <w:pPr>
              <w:jc w:val="start"/>
              <w:spacing w:before="200"/>
              <w:pStyle w:val="ImageCaption"/>
            </w:pPr>
            <w:r>
              <w:t xml:space="preserve">Table 21: Per-site bootstrap consistency: proportion of 1000 resamples in which each site is assigned to its modal (most frequent) block. Consistency near 1 indicates robust assignment; values near 0.5 indicate sites whose group membership flips across resamples.</w:t>
            </w:r>
          </w:p>
          <w:bookmarkEnd w:id="107"/>
        </w:tc>
      </w:tr>
    </w:tbl>
    <w:tbl>
      <w:tblPr>
        <w:tblStyle w:val="Table"/>
        <w:tblW w:type="pct" w:w="5000"/>
        <w:tblLook w:firstRow="0" w:lastRow="0" w:firstColumn="0" w:lastColumn="0" w:noHBand="0" w:noVBand="0" w:val="0000"/>
        <w:jc w:val="start"/>
        <w:tblLayout w:type="fixed"/>
      </w:tblPr>
      <w:tblGrid>
        <w:gridCol w:w="7920"/>
      </w:tblGrid>
      <w:tr>
        <w:tc>
          <w:tcPr/>
          <w:bookmarkStart w:id="111" w:name="fig-bootstrap-consensus"/>
          <w:p>
            <w:pPr>
              <w:pStyle w:val="Compact"/>
              <w:jc w:val="center"/>
            </w:pPr>
            <w:r>
              <w:drawing>
                <wp:inline>
                  <wp:extent cx="5943600" cy="6604000"/>
                  <wp:effectExtent b="0" l="0" r="0" t="0"/>
                  <wp:docPr descr="" title="" id="109" name="Picture"/>
                  <a:graphic>
                    <a:graphicData uri="http://schemas.openxmlformats.org/drawingml/2006/picture">
                      <pic:pic>
                        <pic:nvPicPr>
                          <pic:cNvPr descr="../figures/bootstrap-consensus-plot.png" id="110" name="Picture"/>
                          <pic:cNvPicPr>
                            <a:picLocks noChangeArrowheads="1" noChangeAspect="1"/>
                          </pic:cNvPicPr>
                        </pic:nvPicPr>
                        <pic:blipFill>
                          <a:blip r:embed="rId108"/>
                          <a:stretch>
                            <a:fillRect/>
                          </a:stretch>
                        </pic:blipFill>
                        <pic:spPr bwMode="auto">
                          <a:xfrm>
                            <a:off x="0" y="0"/>
                            <a:ext cx="5943600" cy="660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Consensus co-clustering matrices from 1000 bootstrap resamples of sites within each phase. Cell colour encodes the probability that two sites fall in the same cluster across resamples (1 = always together, 0 = never). Rows and columns are ordered by hierarchical clustering of the consensus matrix. Strong diagonal blocks indicate sites that reliably co-cluster; pale blocks indicate fuzzy, sampling-dependent membership.</w:t>
            </w:r>
          </w:p>
          <w:bookmarkEnd w:id="111"/>
        </w:tc>
      </w:tr>
    </w:tbl>
    <w:bookmarkEnd w:id="112"/>
    <w:bookmarkStart w:id="113" w:name="interpretation-2"/>
    <w:p>
      <w:pPr>
        <w:pStyle w:val="Heading3"/>
      </w:pPr>
      <w:r>
        <w:t xml:space="preserve">Interpretation</w:t>
      </w:r>
    </w:p>
    <w:p>
      <w:pPr>
        <w:pStyle w:val="FirstParagraph"/>
      </w:pPr>
      <w:r>
        <w:t xml:space="preserve">The bootstrap consensus analysis supports the main-text two-group partition as a</w:t>
      </w:r>
      <w:r>
        <w:t xml:space="preserve"> </w:t>
      </w:r>
      <w:r>
        <w:rPr>
          <w:bCs/>
          <w:b/>
        </w:rPr>
        <w:t xml:space="preserve">coherent, non-random division of the sign data</w:t>
      </w:r>
      <w:r>
        <w:t xml:space="preserve"> </w:t>
      </w:r>
      <w:r>
        <w:t xml:space="preserve">in each phase, while quantifying how much tighter one block is than the other. In</w:t>
      </w:r>
      <w:r>
        <w:t xml:space="preserve"> </w:t>
      </w:r>
      <w:r>
        <w:rPr>
          <w:bCs/>
          <w:b/>
        </w:rPr>
        <w:t xml:space="preserve">Aur-P1</w:t>
      </w:r>
      <w:r>
        <w:t xml:space="preserve">, mean within-block co-clustering is 0.75 for the restricted-range block and 0.97 for the broader-range block, against 0.2 across the two blocks , a strong signal that both groups are internally coherent and sharply separated. In</w:t>
      </w:r>
      <w:r>
        <w:t xml:space="preserve"> </w:t>
      </w:r>
      <w:r>
        <w:rPr>
          <w:bCs/>
          <w:b/>
        </w:rPr>
        <w:t xml:space="preserve">Aur-P2</w:t>
      </w:r>
      <w:r>
        <w:t xml:space="preserve">, the pattern is 0.49 within the restricted block and 0.92 within the broader block, against 0.4 across the blocks.</w:t>
      </w:r>
    </w:p>
    <w:p>
      <w:pPr>
        <w:pStyle w:val="BodyText"/>
      </w:pPr>
      <w:r>
        <w:rPr>
          <w:bCs/>
          <w:b/>
        </w:rPr>
        <w:t xml:space="preserve">Per-site stability.</w:t>
      </w:r>
      <w:r>
        <w:t xml:space="preserve"> </w:t>
      </w:r>
      <w:r>
        <w:t xml:space="preserve">The site-level consistency values (</w:t>
      </w:r>
      <w:hyperlink w:anchor="tbl-bootstrap-sites">
        <w:r>
          <w:rPr>
            <w:rStyle w:val="Hyperlink"/>
          </w:rPr>
          <w:t xml:space="preserve">Table 21</w:t>
        </w:r>
      </w:hyperlink>
      <w:r>
        <w:t xml:space="preserve">) show that the strength of the two-group structure is not uniform across sites. Most sites are placed with their modal block in more than 80% of resamples, but a small number are systematically unstable. The least stable sites are the small, low-richness assemblages whose assignment flips across resamples; per-site consistency values in</w:t>
      </w:r>
      <w:r>
        <w:t xml:space="preserve"> </w:t>
      </w:r>
      <w:hyperlink w:anchor="tbl-bootstrap-sites">
        <w:r>
          <w:rPr>
            <w:rStyle w:val="Hyperlink"/>
          </w:rPr>
          <w:t xml:space="preserve">Table 21</w:t>
        </w:r>
      </w:hyperlink>
      <w:r>
        <w:t xml:space="preserve"> </w:t>
      </w:r>
      <w:r>
        <w:t xml:space="preserve">identify the sites whose block assignment should be read as provisional in the main text. For the reader, the consensus matrices in</w:t>
      </w:r>
      <w:r>
        <w:t xml:space="preserve"> </w:t>
      </w:r>
      <w:hyperlink w:anchor="fig-bootstrap-consensus">
        <w:r>
          <w:rPr>
            <w:rStyle w:val="Hyperlink"/>
          </w:rPr>
          <w:t xml:space="preserve">Figure 5</w:t>
        </w:r>
      </w:hyperlink>
      <w:r>
        <w:t xml:space="preserve"> </w:t>
      </w:r>
      <w:r>
        <w:t xml:space="preserve">provide a direct visual measure of where the two-block structure is tight (dark blocks) and where it dissolves (pale blocks).</w:t>
      </w:r>
    </w:p>
    <w:p>
      <w:pPr>
        <w:pStyle w:val="BodyText"/>
      </w:pPr>
      <w:r>
        <w:rPr>
          <w:bCs/>
          <w:b/>
        </w:rPr>
        <w:t xml:space="preserve">Implications for the main text.</w:t>
      </w:r>
      <w:r>
        <w:t xml:space="preserve"> </w:t>
      </w:r>
      <w:r>
        <w:t xml:space="preserve">The two-group structure does not dissolve under resampling: within-block co-clustering exceeds across-block co-clustering in both phases, so the broad qualitative claim of a persistent restricted/broad divide is robust to sampling variation. However, the analysis also qualifies the claim: the</w:t>
      </w:r>
      <w:r>
        <w:t xml:space="preserve"> </w:t>
      </w:r>
      <w:r>
        <w:rPr>
          <w:iCs/>
          <w:i/>
        </w:rPr>
        <w:t xml:space="preserve">strength</w:t>
      </w:r>
      <w:r>
        <w:t xml:space="preserve"> </w:t>
      </w:r>
      <w:r>
        <w:t xml:space="preserve">of each group differs by phase (and Aur-P2 is far smaller than Aur-P1), and a minority of sites have genuinely ambiguous membership. The main text should therefore present the two groups as a robust but not invariant partition, with per-site confidence available in</w:t>
      </w:r>
      <w:r>
        <w:t xml:space="preserve"> </w:t>
      </w:r>
      <w:hyperlink w:anchor="tbl-bootstrap-sites">
        <w:r>
          <w:rPr>
            <w:rStyle w:val="Hyperlink"/>
          </w:rPr>
          <w:t xml:space="preserve">Table 21</w:t>
        </w:r>
      </w:hyperlink>
      <w:r>
        <w:t xml:space="preserve">.</w:t>
      </w:r>
    </w:p>
    <w:bookmarkEnd w:id="113"/>
    <w:bookmarkEnd w:id="114"/>
    <w:bookmarkStart w:id="209" w:name="sec-s6-3"/>
    <w:p>
      <w:pPr>
        <w:pStyle w:val="Heading2"/>
      </w:pPr>
      <w:r>
        <w:t xml:space="preserve">S6.3 Stochastic Block Models</w:t>
      </w:r>
    </w:p>
    <w:bookmarkStart w:id="207" w:name="rationale-7"/>
    <w:p>
      <w:pPr>
        <w:pStyle w:val="Heading3"/>
      </w:pPr>
      <w:r>
        <w:t xml:space="preserve">Rationale</w:t>
      </w:r>
    </w:p>
    <w:p>
      <w:pPr>
        <w:pStyle w:val="FirstParagraph"/>
      </w:pPr>
      <w:r>
        <w:t xml:space="preserve">The bootstrap treats block structure as a resampling artefact of an observed partition. The stochastic block model (SBM) takes a different route: it treats block membership as an unobserved latent variable and asks which</w:t>
      </w:r>
      <w:r>
        <w:t xml:space="preserve"> </w:t>
      </w:r>
      <w:r>
        <w:rPr>
          <w:iCs/>
          <w:i/>
        </w:rPr>
        <w:t xml:space="preserve">generative</w:t>
      </w:r>
      <w:r>
        <w:t xml:space="preserve"> </w:t>
      </w:r>
      <w:r>
        <w:t xml:space="preserve">model of network structure best explains the observed pattern of sign sharing. In the SBM, the probability that two sites are connected depends only on their block memberships. We fit two symmetric stochastic block model (</w:t>
      </w:r>
      <w:r>
        <w:rPr>
          <w:rStyle w:val="VerbatimChar"/>
        </w:rPr>
        <w:t xml:space="preserve">SBM_sym</w:t>
      </w:r>
      <w:r>
        <w:t xml:space="preserve">) variants using the</w:t>
      </w:r>
      <w:r>
        <w:t xml:space="preserve"> </w:t>
      </w:r>
      <w:r>
        <w:rPr>
          <w:rStyle w:val="VerbatimChar"/>
        </w:rPr>
        <w:t xml:space="preserve">blockmodels</w:t>
      </w:r>
      <w:r>
        <w:t xml:space="preserve"> </w:t>
      </w:r>
      <w:r>
        <w:t xml:space="preserve">package: (1) a</w:t>
      </w:r>
      <w:r>
        <w:t xml:space="preserve"> </w:t>
      </w:r>
      <w:r>
        <w:rPr>
          <w:bCs/>
          <w:b/>
        </w:rPr>
        <w:t xml:space="preserve">Bernoulli SBM</w:t>
      </w:r>
      <w:r>
        <w:t xml:space="preserve"> </w:t>
      </w:r>
      <w:r>
        <w:t xml:space="preserve">on a binarized adjacency matrix where an edge exists if Jaccard similarity ≥ 0.2, and (2) a</w:t>
      </w:r>
      <w:r>
        <w:t xml:space="preserve"> </w:t>
      </w:r>
      <w:r>
        <w:rPr>
          <w:bCs/>
          <w:b/>
        </w:rPr>
        <w:t xml:space="preserve">Gaussian SBM</w:t>
      </w:r>
      <w:r>
        <w:t xml:space="preserve"> </w:t>
      </w:r>
      <w:r>
        <w:t xml:space="preserve">on the unthresholded weighted adjacency matrix (1 − Jaccard similarity, values in [0, 1]). Both models select the number of blocks via the Integrated Classification Likelihood (ICL; a penalised likelihood that trades fit against model complexity) and return posterior membership probabilities for every site. Because ICL is a model-selection criterion, the SBM provides a statistical answer to</w:t>
      </w:r>
      <w:r>
        <w:t xml:space="preserve"> </w:t>
      </w:r>
      <w:r>
        <w:t xml:space="preserve">“</w:t>
      </w:r>
      <w:r>
        <w:t xml:space="preserve">how many groups are there?</w:t>
      </w:r>
      <w:r>
        <w:t xml:space="preserve">”</w:t>
      </w:r>
      <w:r>
        <w:t xml:space="preserve"> </w:t>
      </w:r>
      <w:r>
        <w:t xml:space="preserve">rather than the visual answer provided by seriation.</w:t>
      </w:r>
    </w:p>
    <w:p>
      <w:pPr>
        <w:pStyle w:val="BodyText"/>
      </w:pPr>
      <w:r>
        <w:drawing>
          <wp:inline>
            <wp:extent cx="5943600" cy="4754880"/>
            <wp:effectExtent b="0" l="0" r="0" t="0"/>
            <wp:docPr descr="" title="" id="116" name="Picture"/>
            <a:graphic>
              <a:graphicData uri="http://schemas.openxmlformats.org/drawingml/2006/picture">
                <pic:pic>
                  <pic:nvPicPr>
                    <pic:cNvPr descr="S1-supplement-sensitivity_files/figure-docx/s6-sbm-compute-1.png" id="117" name="Picture"/>
                    <pic:cNvPicPr>
                      <a:picLocks noChangeArrowheads="1" noChangeAspect="1"/>
                    </pic:cNvPicPr>
                  </pic:nvPicPr>
                  <pic:blipFill>
                    <a:blip r:embed="rId115"/>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19" name="Picture"/>
            <a:graphic>
              <a:graphicData uri="http://schemas.openxmlformats.org/drawingml/2006/picture">
                <pic:pic>
                  <pic:nvPicPr>
                    <pic:cNvPr descr="S1-supplement-sensitivity_files/figure-docx/s6-sbm-compute-2.png" id="120" name="Picture"/>
                    <pic:cNvPicPr>
                      <a:picLocks noChangeArrowheads="1" noChangeAspect="1"/>
                    </pic:cNvPicPr>
                  </pic:nvPicPr>
                  <pic:blipFill>
                    <a:blip r:embed="rId118"/>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22" name="Picture"/>
            <a:graphic>
              <a:graphicData uri="http://schemas.openxmlformats.org/drawingml/2006/picture">
                <pic:pic>
                  <pic:nvPicPr>
                    <pic:cNvPr descr="S1-supplement-sensitivity_files/figure-docx/s6-sbm-compute-3.png" id="123" name="Picture"/>
                    <pic:cNvPicPr>
                      <a:picLocks noChangeArrowheads="1" noChangeAspect="1"/>
                    </pic:cNvPicPr>
                  </pic:nvPicPr>
                  <pic:blipFill>
                    <a:blip r:embed="rId121"/>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25" name="Picture"/>
            <a:graphic>
              <a:graphicData uri="http://schemas.openxmlformats.org/drawingml/2006/picture">
                <pic:pic>
                  <pic:nvPicPr>
                    <pic:cNvPr descr="S1-supplement-sensitivity_files/figure-docx/s6-sbm-compute-4.png" id="126" name="Picture"/>
                    <pic:cNvPicPr>
                      <a:picLocks noChangeArrowheads="1" noChangeAspect="1"/>
                    </pic:cNvPicPr>
                  </pic:nvPicPr>
                  <pic:blipFill>
                    <a:blip r:embed="rId124"/>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28" name="Picture"/>
            <a:graphic>
              <a:graphicData uri="http://schemas.openxmlformats.org/drawingml/2006/picture">
                <pic:pic>
                  <pic:nvPicPr>
                    <pic:cNvPr descr="S1-supplement-sensitivity_files/figure-docx/s6-sbm-compute-5.png" id="129" name="Picture"/>
                    <pic:cNvPicPr>
                      <a:picLocks noChangeArrowheads="1" noChangeAspect="1"/>
                    </pic:cNvPicPr>
                  </pic:nvPicPr>
                  <pic:blipFill>
                    <a:blip r:embed="rId127"/>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31" name="Picture"/>
            <a:graphic>
              <a:graphicData uri="http://schemas.openxmlformats.org/drawingml/2006/picture">
                <pic:pic>
                  <pic:nvPicPr>
                    <pic:cNvPr descr="S1-supplement-sensitivity_files/figure-docx/s6-sbm-compute-6.png" id="132" name="Picture"/>
                    <pic:cNvPicPr>
                      <a:picLocks noChangeArrowheads="1" noChangeAspect="1"/>
                    </pic:cNvPicPr>
                  </pic:nvPicPr>
                  <pic:blipFill>
                    <a:blip r:embed="rId130"/>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34" name="Picture"/>
            <a:graphic>
              <a:graphicData uri="http://schemas.openxmlformats.org/drawingml/2006/picture">
                <pic:pic>
                  <pic:nvPicPr>
                    <pic:cNvPr descr="S1-supplement-sensitivity_files/figure-docx/s6-sbm-compute-7.png" id="135" name="Picture"/>
                    <pic:cNvPicPr>
                      <a:picLocks noChangeArrowheads="1" noChangeAspect="1"/>
                    </pic:cNvPicPr>
                  </pic:nvPicPr>
                  <pic:blipFill>
                    <a:blip r:embed="rId133"/>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37" name="Picture"/>
            <a:graphic>
              <a:graphicData uri="http://schemas.openxmlformats.org/drawingml/2006/picture">
                <pic:pic>
                  <pic:nvPicPr>
                    <pic:cNvPr descr="S1-supplement-sensitivity_files/figure-docx/s6-sbm-compute-8.png" id="138" name="Picture"/>
                    <pic:cNvPicPr>
                      <a:picLocks noChangeArrowheads="1" noChangeAspect="1"/>
                    </pic:cNvPicPr>
                  </pic:nvPicPr>
                  <pic:blipFill>
                    <a:blip r:embed="rId136"/>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40" name="Picture"/>
            <a:graphic>
              <a:graphicData uri="http://schemas.openxmlformats.org/drawingml/2006/picture">
                <pic:pic>
                  <pic:nvPicPr>
                    <pic:cNvPr descr="S1-supplement-sensitivity_files/figure-docx/s6-sbm-compute-9.png" id="141" name="Picture"/>
                    <pic:cNvPicPr>
                      <a:picLocks noChangeArrowheads="1" noChangeAspect="1"/>
                    </pic:cNvPicPr>
                  </pic:nvPicPr>
                  <pic:blipFill>
                    <a:blip r:embed="rId139"/>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43" name="Picture"/>
            <a:graphic>
              <a:graphicData uri="http://schemas.openxmlformats.org/drawingml/2006/picture">
                <pic:pic>
                  <pic:nvPicPr>
                    <pic:cNvPr descr="S1-supplement-sensitivity_files/figure-docx/s6-sbm-compute-10.png" id="144" name="Picture"/>
                    <pic:cNvPicPr>
                      <a:picLocks noChangeArrowheads="1" noChangeAspect="1"/>
                    </pic:cNvPicPr>
                  </pic:nvPicPr>
                  <pic:blipFill>
                    <a:blip r:embed="rId142"/>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46" name="Picture"/>
            <a:graphic>
              <a:graphicData uri="http://schemas.openxmlformats.org/drawingml/2006/picture">
                <pic:pic>
                  <pic:nvPicPr>
                    <pic:cNvPr descr="S1-supplement-sensitivity_files/figure-docx/s6-sbm-compute-11.png" id="147" name="Picture"/>
                    <pic:cNvPicPr>
                      <a:picLocks noChangeArrowheads="1" noChangeAspect="1"/>
                    </pic:cNvPicPr>
                  </pic:nvPicPr>
                  <pic:blipFill>
                    <a:blip r:embed="rId145"/>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49" name="Picture"/>
            <a:graphic>
              <a:graphicData uri="http://schemas.openxmlformats.org/drawingml/2006/picture">
                <pic:pic>
                  <pic:nvPicPr>
                    <pic:cNvPr descr="S1-supplement-sensitivity_files/figure-docx/s6-sbm-compute-12.png" id="150" name="Picture"/>
                    <pic:cNvPicPr>
                      <a:picLocks noChangeArrowheads="1" noChangeAspect="1"/>
                    </pic:cNvPicPr>
                  </pic:nvPicPr>
                  <pic:blipFill>
                    <a:blip r:embed="rId148"/>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52" name="Picture"/>
            <a:graphic>
              <a:graphicData uri="http://schemas.openxmlformats.org/drawingml/2006/picture">
                <pic:pic>
                  <pic:nvPicPr>
                    <pic:cNvPr descr="S1-supplement-sensitivity_files/figure-docx/s6-sbm-compute-13.png" id="153" name="Picture"/>
                    <pic:cNvPicPr>
                      <a:picLocks noChangeArrowheads="1" noChangeAspect="1"/>
                    </pic:cNvPicPr>
                  </pic:nvPicPr>
                  <pic:blipFill>
                    <a:blip r:embed="rId151"/>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55" name="Picture"/>
            <a:graphic>
              <a:graphicData uri="http://schemas.openxmlformats.org/drawingml/2006/picture">
                <pic:pic>
                  <pic:nvPicPr>
                    <pic:cNvPr descr="S1-supplement-sensitivity_files/figure-docx/s6-sbm-compute-14.png" id="156" name="Picture"/>
                    <pic:cNvPicPr>
                      <a:picLocks noChangeArrowheads="1" noChangeAspect="1"/>
                    </pic:cNvPicPr>
                  </pic:nvPicPr>
                  <pic:blipFill>
                    <a:blip r:embed="rId154"/>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58" name="Picture"/>
            <a:graphic>
              <a:graphicData uri="http://schemas.openxmlformats.org/drawingml/2006/picture">
                <pic:pic>
                  <pic:nvPicPr>
                    <pic:cNvPr descr="S1-supplement-sensitivity_files/figure-docx/s6-sbm-compute-15.png" id="159" name="Picture"/>
                    <pic:cNvPicPr>
                      <a:picLocks noChangeArrowheads="1" noChangeAspect="1"/>
                    </pic:cNvPicPr>
                  </pic:nvPicPr>
                  <pic:blipFill>
                    <a:blip r:embed="rId157"/>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61" name="Picture"/>
            <a:graphic>
              <a:graphicData uri="http://schemas.openxmlformats.org/drawingml/2006/picture">
                <pic:pic>
                  <pic:nvPicPr>
                    <pic:cNvPr descr="S1-supplement-sensitivity_files/figure-docx/s6-sbm-compute-16.png" id="162" name="Picture"/>
                    <pic:cNvPicPr>
                      <a:picLocks noChangeArrowheads="1" noChangeAspect="1"/>
                    </pic:cNvPicPr>
                  </pic:nvPicPr>
                  <pic:blipFill>
                    <a:blip r:embed="rId160"/>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64" name="Picture"/>
            <a:graphic>
              <a:graphicData uri="http://schemas.openxmlformats.org/drawingml/2006/picture">
                <pic:pic>
                  <pic:nvPicPr>
                    <pic:cNvPr descr="S1-supplement-sensitivity_files/figure-docx/s6-sbm-compute-17.png" id="165" name="Picture"/>
                    <pic:cNvPicPr>
                      <a:picLocks noChangeArrowheads="1" noChangeAspect="1"/>
                    </pic:cNvPicPr>
                  </pic:nvPicPr>
                  <pic:blipFill>
                    <a:blip r:embed="rId163"/>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67" name="Picture"/>
            <a:graphic>
              <a:graphicData uri="http://schemas.openxmlformats.org/drawingml/2006/picture">
                <pic:pic>
                  <pic:nvPicPr>
                    <pic:cNvPr descr="S1-supplement-sensitivity_files/figure-docx/s6-sbm-compute-18.png" id="168" name="Picture"/>
                    <pic:cNvPicPr>
                      <a:picLocks noChangeArrowheads="1" noChangeAspect="1"/>
                    </pic:cNvPicPr>
                  </pic:nvPicPr>
                  <pic:blipFill>
                    <a:blip r:embed="rId166"/>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70" name="Picture"/>
            <a:graphic>
              <a:graphicData uri="http://schemas.openxmlformats.org/drawingml/2006/picture">
                <pic:pic>
                  <pic:nvPicPr>
                    <pic:cNvPr descr="S1-supplement-sensitivity_files/figure-docx/s6-sbm-compute-19.png" id="171" name="Picture"/>
                    <pic:cNvPicPr>
                      <a:picLocks noChangeArrowheads="1" noChangeAspect="1"/>
                    </pic:cNvPicPr>
                  </pic:nvPicPr>
                  <pic:blipFill>
                    <a:blip r:embed="rId169"/>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73" name="Picture"/>
            <a:graphic>
              <a:graphicData uri="http://schemas.openxmlformats.org/drawingml/2006/picture">
                <pic:pic>
                  <pic:nvPicPr>
                    <pic:cNvPr descr="S1-supplement-sensitivity_files/figure-docx/s6-sbm-compute-20.png" id="174" name="Picture"/>
                    <pic:cNvPicPr>
                      <a:picLocks noChangeArrowheads="1" noChangeAspect="1"/>
                    </pic:cNvPicPr>
                  </pic:nvPicPr>
                  <pic:blipFill>
                    <a:blip r:embed="rId172"/>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76" name="Picture"/>
            <a:graphic>
              <a:graphicData uri="http://schemas.openxmlformats.org/drawingml/2006/picture">
                <pic:pic>
                  <pic:nvPicPr>
                    <pic:cNvPr descr="S1-supplement-sensitivity_files/figure-docx/s6-sbm-compute-21.png" id="177" name="Picture"/>
                    <pic:cNvPicPr>
                      <a:picLocks noChangeArrowheads="1" noChangeAspect="1"/>
                    </pic:cNvPicPr>
                  </pic:nvPicPr>
                  <pic:blipFill>
                    <a:blip r:embed="rId175"/>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79" name="Picture"/>
            <a:graphic>
              <a:graphicData uri="http://schemas.openxmlformats.org/drawingml/2006/picture">
                <pic:pic>
                  <pic:nvPicPr>
                    <pic:cNvPr descr="S1-supplement-sensitivity_files/figure-docx/s6-sbm-compute-22.png" id="180" name="Picture"/>
                    <pic:cNvPicPr>
                      <a:picLocks noChangeArrowheads="1" noChangeAspect="1"/>
                    </pic:cNvPicPr>
                  </pic:nvPicPr>
                  <pic:blipFill>
                    <a:blip r:embed="rId178"/>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82" name="Picture"/>
            <a:graphic>
              <a:graphicData uri="http://schemas.openxmlformats.org/drawingml/2006/picture">
                <pic:pic>
                  <pic:nvPicPr>
                    <pic:cNvPr descr="S1-supplement-sensitivity_files/figure-docx/s6-sbm-compute-23.png" id="183" name="Picture"/>
                    <pic:cNvPicPr>
                      <a:picLocks noChangeArrowheads="1" noChangeAspect="1"/>
                    </pic:cNvPicPr>
                  </pic:nvPicPr>
                  <pic:blipFill>
                    <a:blip r:embed="rId181"/>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85" name="Picture"/>
            <a:graphic>
              <a:graphicData uri="http://schemas.openxmlformats.org/drawingml/2006/picture">
                <pic:pic>
                  <pic:nvPicPr>
                    <pic:cNvPr descr="S1-supplement-sensitivity_files/figure-docx/s6-sbm-compute-24.png" id="186" name="Picture"/>
                    <pic:cNvPicPr>
                      <a:picLocks noChangeArrowheads="1" noChangeAspect="1"/>
                    </pic:cNvPicPr>
                  </pic:nvPicPr>
                  <pic:blipFill>
                    <a:blip r:embed="rId184"/>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88" name="Picture"/>
            <a:graphic>
              <a:graphicData uri="http://schemas.openxmlformats.org/drawingml/2006/picture">
                <pic:pic>
                  <pic:nvPicPr>
                    <pic:cNvPr descr="S1-supplement-sensitivity_files/figure-docx/s6-sbm-compute-25.png" id="189" name="Picture"/>
                    <pic:cNvPicPr>
                      <a:picLocks noChangeArrowheads="1" noChangeAspect="1"/>
                    </pic:cNvPicPr>
                  </pic:nvPicPr>
                  <pic:blipFill>
                    <a:blip r:embed="rId187"/>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91" name="Picture"/>
            <a:graphic>
              <a:graphicData uri="http://schemas.openxmlformats.org/drawingml/2006/picture">
                <pic:pic>
                  <pic:nvPicPr>
                    <pic:cNvPr descr="S1-supplement-sensitivity_files/figure-docx/s6-sbm-compute-26.png" id="192" name="Picture"/>
                    <pic:cNvPicPr>
                      <a:picLocks noChangeArrowheads="1" noChangeAspect="1"/>
                    </pic:cNvPicPr>
                  </pic:nvPicPr>
                  <pic:blipFill>
                    <a:blip r:embed="rId190"/>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94" name="Picture"/>
            <a:graphic>
              <a:graphicData uri="http://schemas.openxmlformats.org/drawingml/2006/picture">
                <pic:pic>
                  <pic:nvPicPr>
                    <pic:cNvPr descr="S1-supplement-sensitivity_files/figure-docx/s6-sbm-compute-27.png" id="195" name="Picture"/>
                    <pic:cNvPicPr>
                      <a:picLocks noChangeArrowheads="1" noChangeAspect="1"/>
                    </pic:cNvPicPr>
                  </pic:nvPicPr>
                  <pic:blipFill>
                    <a:blip r:embed="rId193"/>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97" name="Picture"/>
            <a:graphic>
              <a:graphicData uri="http://schemas.openxmlformats.org/drawingml/2006/picture">
                <pic:pic>
                  <pic:nvPicPr>
                    <pic:cNvPr descr="S1-supplement-sensitivity_files/figure-docx/s6-sbm-compute-28.png" id="198" name="Picture"/>
                    <pic:cNvPicPr>
                      <a:picLocks noChangeArrowheads="1" noChangeAspect="1"/>
                    </pic:cNvPicPr>
                  </pic:nvPicPr>
                  <pic:blipFill>
                    <a:blip r:embed="rId196"/>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00" name="Picture"/>
            <a:graphic>
              <a:graphicData uri="http://schemas.openxmlformats.org/drawingml/2006/picture">
                <pic:pic>
                  <pic:nvPicPr>
                    <pic:cNvPr descr="S1-supplement-sensitivity_files/figure-docx/s6-sbm-compute-29.png" id="201" name="Picture"/>
                    <pic:cNvPicPr>
                      <a:picLocks noChangeArrowheads="1" noChangeAspect="1"/>
                    </pic:cNvPicPr>
                  </pic:nvPicPr>
                  <pic:blipFill>
                    <a:blip r:embed="rId199"/>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03" name="Picture"/>
            <a:graphic>
              <a:graphicData uri="http://schemas.openxmlformats.org/drawingml/2006/picture">
                <pic:pic>
                  <pic:nvPicPr>
                    <pic:cNvPr descr="S1-supplement-sensitivity_files/figure-docx/s6-sbm-compute-30.png" id="204" name="Picture"/>
                    <pic:cNvPicPr>
                      <a:picLocks noChangeArrowheads="1" noChangeAspect="1"/>
                    </pic:cNvPicPr>
                  </pic:nvPicPr>
                  <pic:blipFill>
                    <a:blip r:embed="rId202"/>
                    <a:stretch>
                      <a:fillRect/>
                    </a:stretch>
                  </pic:blipFill>
                  <pic:spPr bwMode="auto">
                    <a:xfrm>
                      <a:off x="0" y="0"/>
                      <a:ext cx="5943600" cy="4754880"/>
                    </a:xfrm>
                    <a:prstGeom prst="rect">
                      <a:avLst/>
                    </a:prstGeom>
                    <a:noFill/>
                    <a:ln w="9525">
                      <a:noFill/>
                      <a:headEnd/>
                      <a:tailEnd/>
                    </a:ln>
                  </pic:spPr>
                </pic:pic>
              </a:graphicData>
            </a:graphic>
          </wp:inline>
        </w:drawing>
      </w:r>
    </w:p>
    <w:tbl>
      <w:tblPr>
        <w:tblStyle w:val="Table"/>
        <w:tblW w:type="pct" w:w="5000"/>
        <w:tblLook w:firstRow="0" w:lastRow="0" w:firstColumn="0" w:lastColumn="0" w:noHBand="0" w:noVBand="0" w:val="0000"/>
        <w:jc w:val="start"/>
        <w:tblLayout w:type="fixed"/>
      </w:tblPr>
      <w:tblGrid>
        <w:gridCol w:w="7920"/>
      </w:tblGrid>
      <w:tr>
        <w:tc>
          <w:tcPr/>
          <w:bookmarkStart w:id="205" w:name="tbl-sbm-icl"/>
          <w:tbl>
            <w:tblPr>
              <w:tblStyle w:val="Table"/>
              <w:tblW w:type="pct" w:w="5000"/>
              <w:tblLook w:firstRow="1" w:lastRow="0" w:firstColumn="0" w:lastColumn="0" w:noHBand="0" w:noVBand="0" w:val="0020"/>
              <w:jc w:val="start"/>
              <w:tblLayout w:type="fixed"/>
            </w:tblPr>
            <w:tblGrid>
              <w:gridCol w:w="866"/>
              <w:gridCol w:w="1361"/>
              <w:gridCol w:w="866"/>
              <w:gridCol w:w="990"/>
              <w:gridCol w:w="990"/>
              <w:gridCol w:w="990"/>
              <w:gridCol w:w="990"/>
              <w:gridCol w:w="866"/>
            </w:tblGrid>
            <w:tr>
              <w:trPr>
                <w:tblHeader w:val="true"/>
              </w:trPr>
              <w:tc>
                <w:tcPr/>
                <w:p>
                  <w:pPr>
                    <w:pStyle w:val="Compact"/>
                    <w:jc w:val="left"/>
                    <w:jc w:val="center"/>
                  </w:pPr>
                  <w:r>
                    <w:t xml:space="preserve">Phase</w:t>
                  </w:r>
                </w:p>
              </w:tc>
              <w:tc>
                <w:tcPr/>
                <w:p>
                  <w:pPr>
                    <w:pStyle w:val="Compact"/>
                    <w:jc w:val="center"/>
                    <w:jc w:val="center"/>
                  </w:pPr>
                  <w:r>
                    <w:t xml:space="preserve">Model</w:t>
                  </w:r>
                </w:p>
              </w:tc>
              <w:tc>
                <w:tcPr/>
                <w:p>
                  <w:pPr>
                    <w:pStyle w:val="Compact"/>
                    <w:jc w:val="center"/>
                    <w:jc w:val="center"/>
                  </w:pPr>
                  <w:r>
                    <w:t xml:space="preserve">K = 1</w:t>
                  </w:r>
                </w:p>
              </w:tc>
              <w:tc>
                <w:tcPr/>
                <w:p>
                  <w:pPr>
                    <w:pStyle w:val="Compact"/>
                    <w:jc w:val="center"/>
                    <w:jc w:val="center"/>
                  </w:pPr>
                  <w:r>
                    <w:t xml:space="preserve">K = 2</w:t>
                  </w:r>
                </w:p>
              </w:tc>
              <w:tc>
                <w:tcPr/>
                <w:p>
                  <w:pPr>
                    <w:pStyle w:val="Compact"/>
                    <w:jc w:val="center"/>
                    <w:jc w:val="center"/>
                  </w:pPr>
                  <w:r>
                    <w:t xml:space="preserve">K = 3</w:t>
                  </w:r>
                </w:p>
              </w:tc>
              <w:tc>
                <w:tcPr/>
                <w:p>
                  <w:pPr>
                    <w:pStyle w:val="Compact"/>
                    <w:jc w:val="center"/>
                    <w:jc w:val="center"/>
                  </w:pPr>
                  <w:r>
                    <w:t xml:space="preserve">K = 4</w:t>
                  </w:r>
                </w:p>
              </w:tc>
              <w:tc>
                <w:tcPr/>
                <w:p>
                  <w:pPr>
                    <w:pStyle w:val="Compact"/>
                    <w:jc w:val="center"/>
                    <w:jc w:val="center"/>
                  </w:pPr>
                  <w:r>
                    <w:t xml:space="preserve">K = 5</w:t>
                  </w:r>
                </w:p>
              </w:tc>
              <w:tc>
                <w:tcPr/>
                <w:p>
                  <w:pPr>
                    <w:pStyle w:val="Compact"/>
                    <w:jc w:val="left"/>
                    <w:jc w:val="center"/>
                  </w:pPr>
                  <w:r>
                    <w:t xml:space="preserve">Best K</w:t>
                  </w:r>
                </w:p>
              </w:tc>
            </w:tr>
            <w:tr>
              <w:tc>
                <w:tcPr/>
                <w:p>
                  <w:pPr>
                    <w:pStyle w:val="Compact"/>
                    <w:jc w:val="left"/>
                    <w:jc w:val="center"/>
                  </w:pPr>
                  <w:r>
                    <w:t xml:space="preserve">Aur-P1</w:t>
                  </w:r>
                </w:p>
              </w:tc>
              <w:tc>
                <w:tcPr/>
                <w:p>
                  <w:pPr>
                    <w:pStyle w:val="Compact"/>
                    <w:jc w:val="center"/>
                    <w:jc w:val="center"/>
                  </w:pPr>
                  <w:r>
                    <w:t xml:space="preserve">Bernoulli</w:t>
                  </w:r>
                </w:p>
              </w:tc>
              <w:tc>
                <w:tcPr/>
                <w:p>
                  <w:pPr>
                    <w:pStyle w:val="Compact"/>
                    <w:jc w:val="center"/>
                    <w:jc w:val="center"/>
                  </w:pPr>
                  <w:r>
                    <w:t xml:space="preserve">3</w:t>
                  </w:r>
                </w:p>
              </w:tc>
              <w:tc>
                <w:tcPr/>
                <w:p>
                  <w:pPr>
                    <w:pStyle w:val="Compact"/>
                    <w:jc w:val="center"/>
                    <w:jc w:val="center"/>
                  </w:pPr>
                  <w:r>
                    <w:t xml:space="preserve">-130.1</w:t>
                  </w:r>
                </w:p>
              </w:tc>
              <w:tc>
                <w:tcPr/>
                <w:p>
                  <w:pPr>
                    <w:pStyle w:val="Compact"/>
                    <w:jc w:val="center"/>
                    <w:jc w:val="center"/>
                  </w:pPr>
                  <w:r>
                    <w:t xml:space="preserve">-115.7</w:t>
                  </w:r>
                </w:p>
              </w:tc>
              <w:tc>
                <w:tcPr/>
                <w:p>
                  <w:pPr>
                    <w:pStyle w:val="Compact"/>
                    <w:jc w:val="center"/>
                    <w:jc w:val="center"/>
                  </w:pPr>
                  <w:r>
                    <w:t xml:space="preserve">-110.1</w:t>
                  </w:r>
                </w:p>
              </w:tc>
              <w:tc>
                <w:tcPr/>
                <w:p>
                  <w:pPr>
                    <w:pStyle w:val="Compact"/>
                    <w:jc w:val="center"/>
                    <w:jc w:val="center"/>
                  </w:pPr>
                  <w:r>
                    <w:t xml:space="preserve">-114.9</w:t>
                  </w:r>
                </w:p>
              </w:tc>
              <w:tc>
                <w:tcPr/>
                <w:p>
                  <w:pPr>
                    <w:pStyle w:val="Compact"/>
                    <w:jc w:val="left"/>
                    <w:jc w:val="center"/>
                  </w:pPr>
                  <w:r>
                    <w:t xml:space="preserve">-120.0</w:t>
                  </w:r>
                </w:p>
              </w:tc>
            </w:tr>
            <w:tr>
              <w:tc>
                <w:tcPr/>
                <w:p>
                  <w:pPr>
                    <w:pStyle w:val="Compact"/>
                    <w:jc w:val="left"/>
                    <w:jc w:val="center"/>
                  </w:pPr>
                  <w:r>
                    <w:t xml:space="preserve">Aur-P2</w:t>
                  </w:r>
                </w:p>
              </w:tc>
              <w:tc>
                <w:tcPr/>
                <w:p>
                  <w:pPr>
                    <w:pStyle w:val="Compact"/>
                    <w:jc w:val="center"/>
                    <w:jc w:val="center"/>
                  </w:pPr>
                  <w:r>
                    <w:t xml:space="preserve">Bernoulli</w:t>
                  </w:r>
                </w:p>
              </w:tc>
              <w:tc>
                <w:tcPr/>
                <w:p>
                  <w:pPr>
                    <w:pStyle w:val="Compact"/>
                    <w:jc w:val="center"/>
                    <w:jc w:val="center"/>
                  </w:pPr>
                  <w:r>
                    <w:t xml:space="preserve">1</w:t>
                  </w:r>
                </w:p>
              </w:tc>
              <w:tc>
                <w:tcPr/>
                <w:p>
                  <w:pPr>
                    <w:pStyle w:val="Compact"/>
                    <w:jc w:val="center"/>
                    <w:jc w:val="center"/>
                  </w:pPr>
                  <w:r>
                    <w:t xml:space="preserve">-26.7</w:t>
                  </w:r>
                </w:p>
              </w:tc>
              <w:tc>
                <w:tcPr/>
                <w:p>
                  <w:pPr>
                    <w:pStyle w:val="Compact"/>
                    <w:jc w:val="center"/>
                    <w:jc w:val="center"/>
                  </w:pPr>
                  <w:r>
                    <w:t xml:space="preserve">-30.2</w:t>
                  </w:r>
                </w:p>
              </w:tc>
              <w:tc>
                <w:tcPr/>
                <w:p>
                  <w:pPr>
                    <w:pStyle w:val="Compact"/>
                    <w:jc w:val="center"/>
                    <w:jc w:val="center"/>
                  </w:pPr>
                  <w:r>
                    <w:t xml:space="preserve">NA</w:t>
                  </w:r>
                </w:p>
              </w:tc>
              <w:tc>
                <w:tcPr/>
                <w:p>
                  <w:pPr>
                    <w:pStyle w:val="Compact"/>
                    <w:jc w:val="center"/>
                    <w:jc w:val="center"/>
                  </w:pPr>
                  <w:r>
                    <w:t xml:space="preserve">NA</w:t>
                  </w:r>
                </w:p>
              </w:tc>
              <w:tc>
                <w:tcPr/>
                <w:p>
                  <w:pPr>
                    <w:pStyle w:val="Compact"/>
                    <w:jc w:val="left"/>
                    <w:jc w:val="center"/>
                  </w:pPr>
                  <w:r>
                    <w:t xml:space="preserve">NA</w:t>
                  </w:r>
                </w:p>
              </w:tc>
            </w:tr>
            <w:tr>
              <w:tc>
                <w:tcPr/>
                <w:p>
                  <w:pPr>
                    <w:pStyle w:val="Compact"/>
                    <w:jc w:val="left"/>
                    <w:jc w:val="center"/>
                  </w:pPr>
                  <w:r>
                    <w:t xml:space="preserve">Aur-P1</w:t>
                  </w:r>
                </w:p>
              </w:tc>
              <w:tc>
                <w:tcPr/>
                <w:p>
                  <w:pPr>
                    <w:pStyle w:val="Compact"/>
                    <w:jc w:val="center"/>
                    <w:jc w:val="center"/>
                  </w:pPr>
                  <w:r>
                    <w:t xml:space="preserve">Gaussian</w:t>
                  </w:r>
                </w:p>
              </w:tc>
              <w:tc>
                <w:tcPr/>
                <w:p>
                  <w:pPr>
                    <w:pStyle w:val="Compact"/>
                    <w:jc w:val="center"/>
                    <w:jc w:val="center"/>
                  </w:pPr>
                  <w:r>
                    <w:t xml:space="preserve">4</w:t>
                  </w:r>
                </w:p>
              </w:tc>
              <w:tc>
                <w:tcPr/>
                <w:p>
                  <w:pPr>
                    <w:pStyle w:val="Compact"/>
                    <w:jc w:val="center"/>
                    <w:jc w:val="center"/>
                  </w:pPr>
                  <w:r>
                    <w:t xml:space="preserve">8.2</w:t>
                  </w:r>
                </w:p>
              </w:tc>
              <w:tc>
                <w:tcPr/>
                <w:p>
                  <w:pPr>
                    <w:pStyle w:val="Compact"/>
                    <w:jc w:val="center"/>
                    <w:jc w:val="center"/>
                  </w:pPr>
                  <w:r>
                    <w:t xml:space="preserve">47.2</w:t>
                  </w:r>
                </w:p>
              </w:tc>
              <w:tc>
                <w:tcPr/>
                <w:p>
                  <w:pPr>
                    <w:pStyle w:val="Compact"/>
                    <w:jc w:val="center"/>
                    <w:jc w:val="center"/>
                  </w:pPr>
                  <w:r>
                    <w:t xml:space="preserve">59.8</w:t>
                  </w:r>
                </w:p>
              </w:tc>
              <w:tc>
                <w:tcPr/>
                <w:p>
                  <w:pPr>
                    <w:pStyle w:val="Compact"/>
                    <w:jc w:val="center"/>
                    <w:jc w:val="center"/>
                  </w:pPr>
                  <w:r>
                    <w:t xml:space="preserve">73.5</w:t>
                  </w:r>
                </w:p>
              </w:tc>
              <w:tc>
                <w:tcPr/>
                <w:p>
                  <w:pPr>
                    <w:pStyle w:val="Compact"/>
                    <w:jc w:val="left"/>
                    <w:jc w:val="center"/>
                  </w:pPr>
                  <w:r>
                    <w:t xml:space="preserve">70.1</w:t>
                  </w:r>
                </w:p>
              </w:tc>
            </w:tr>
            <w:tr>
              <w:tc>
                <w:tcPr/>
                <w:p>
                  <w:pPr>
                    <w:pStyle w:val="Compact"/>
                    <w:jc w:val="left"/>
                    <w:jc w:val="center"/>
                  </w:pPr>
                  <w:r>
                    <w:t xml:space="preserve">Aur-P2</w:t>
                  </w:r>
                </w:p>
              </w:tc>
              <w:tc>
                <w:tcPr/>
                <w:p>
                  <w:pPr>
                    <w:pStyle w:val="Compact"/>
                    <w:jc w:val="center"/>
                    <w:jc w:val="center"/>
                  </w:pPr>
                  <w:r>
                    <w:t xml:space="preserve">Gaussian</w:t>
                  </w:r>
                </w:p>
              </w:tc>
              <w:tc>
                <w:tcPr/>
                <w:p>
                  <w:pPr>
                    <w:pStyle w:val="Compact"/>
                    <w:jc w:val="center"/>
                    <w:jc w:val="center"/>
                  </w:pPr>
                  <w:r>
                    <w:t xml:space="preserve">2</w:t>
                  </w:r>
                </w:p>
              </w:tc>
              <w:tc>
                <w:tcPr/>
                <w:p>
                  <w:pPr>
                    <w:pStyle w:val="Compact"/>
                    <w:jc w:val="center"/>
                    <w:jc w:val="center"/>
                  </w:pPr>
                  <w:r>
                    <w:t xml:space="preserve">-2.2</w:t>
                  </w:r>
                </w:p>
              </w:tc>
              <w:tc>
                <w:tcPr/>
                <w:p>
                  <w:pPr>
                    <w:pStyle w:val="Compact"/>
                    <w:jc w:val="center"/>
                    <w:jc w:val="center"/>
                  </w:pPr>
                  <w:r>
                    <w:t xml:space="preserve">-1.3</w:t>
                  </w:r>
                </w:p>
              </w:tc>
              <w:tc>
                <w:tcPr/>
                <w:p>
                  <w:pPr>
                    <w:pStyle w:val="Compact"/>
                    <w:jc w:val="center"/>
                    <w:jc w:val="center"/>
                  </w:pPr>
                  <w:r>
                    <w:t xml:space="preserve">-9.9</w:t>
                  </w:r>
                </w:p>
              </w:tc>
              <w:tc>
                <w:tcPr/>
                <w:p>
                  <w:pPr>
                    <w:pStyle w:val="Compact"/>
                    <w:jc w:val="center"/>
                    <w:jc w:val="center"/>
                  </w:pPr>
                  <w:r>
                    <w:t xml:space="preserve">NA</w:t>
                  </w:r>
                </w:p>
              </w:tc>
              <w:tc>
                <w:tcPr/>
                <w:p>
                  <w:pPr>
                    <w:pStyle w:val="Compact"/>
                    <w:jc w:val="left"/>
                    <w:jc w:val="center"/>
                  </w:pPr>
                  <w:r>
                    <w:t xml:space="preserve">NA</w:t>
                  </w:r>
                </w:p>
              </w:tc>
            </w:tr>
          </w:tbl>
          <w:p>
            <w:pPr>
              <w:jc w:val="center"/>
            </w:pPr>
            <w:pPr>
              <w:jc w:val="start"/>
              <w:spacing w:before="200"/>
              <w:pStyle w:val="ImageCaption"/>
            </w:pPr>
            <w:r>
              <w:t xml:space="preserve">Table 22: Integrated Classification Likelihood (ICL) for stochastic block models with K = 1 to 5 blocks, by phase and model family. The best-supported number of blocks (maximum ICL) is bolded. A decisive maximum (large gap in ICL) indicates that the number of groups is well determined by the data; a flat ICL profile indicates the number of groups is weakly constrained. Bernoulli model uses binarized adjacency (edge if similarity ≥ 0.2); Gaussian model uses unthresholded weighted similarities (1 − Jaccard).</w:t>
            </w:r>
          </w:p>
          <w:bookmarkEnd w:id="205"/>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06" w:name="tbl-sbm-membership"/>
          <w:tbl>
            <w:tblPr>
              <w:tblStyle w:val="Table"/>
              <w:tblW w:type="pct" w:w="5000"/>
              <w:tblLook w:firstRow="1" w:lastRow="0" w:firstColumn="0" w:lastColumn="0" w:noHBand="0" w:noVBand="0" w:val="0020"/>
              <w:jc w:val="start"/>
              <w:tblLayout w:type="fixed"/>
            </w:tblPr>
            <w:tblGrid>
              <w:gridCol w:w="2223"/>
              <w:gridCol w:w="486"/>
              <w:gridCol w:w="694"/>
              <w:gridCol w:w="1875"/>
              <w:gridCol w:w="903"/>
              <w:gridCol w:w="486"/>
              <w:gridCol w:w="416"/>
              <w:gridCol w:w="416"/>
              <w:gridCol w:w="416"/>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Model</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center"/>
                    <w:jc w:val="center"/>
                  </w:pPr>
                  <w:r>
                    <w:t xml:space="preserve">P(B1)</w:t>
                  </w:r>
                </w:p>
              </w:tc>
              <w:tc>
                <w:tcPr/>
                <w:p>
                  <w:pPr>
                    <w:pStyle w:val="Compact"/>
                    <w:jc w:val="left"/>
                    <w:jc w:val="center"/>
                  </w:pPr>
                  <w:r>
                    <w:t xml:space="preserve">P(B2)</w:t>
                  </w:r>
                </w:p>
              </w:tc>
              <w:tc>
                <w:tcPr/>
                <w:p>
                  <w:pPr>
                    <w:pStyle w:val="Compact"/>
                    <w:jc w:val="left"/>
                    <w:jc w:val="center"/>
                  </w:pPr>
                  <w:r>
                    <w:t xml:space="preserve">P(B3)</w:t>
                  </w:r>
                </w:p>
              </w:tc>
              <w:tc>
                <w:tcPr/>
                <w:p>
                  <w:pPr>
                    <w:pStyle w:val="Compact"/>
                    <w:jc w:val="left"/>
                    <w:jc w:val="center"/>
                  </w:pPr>
                  <w:r>
                    <w:t xml:space="preserve">P(B4)</w:t>
                  </w:r>
                </w:p>
              </w:tc>
            </w:tr>
            <w:tr>
              <w:tc>
                <w:tcPr/>
                <w:p>
                  <w:pPr>
                    <w:pStyle w:val="Compact"/>
                    <w:jc w:val="left"/>
                    <w:jc w:val="center"/>
                  </w:pPr>
                  <w:r>
                    <w:t xml:space="preserve">Abri Pataud…1</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Abri Pataud</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Blanchard…2</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Castanet…3</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Cellier…4</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Fumane…5</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Fumane</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Gatzarria…6</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Gatzarria</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Geissenklösterle…7</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de la Verpillière I…8</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 de la Verpillière 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du Renne…9</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 du Renne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Grottes de Fonds-de-Forêt…10</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Grottes de Fonds-de-Forêt</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 Fels…11</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Hohlenstein-Stadel…12</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Hohlenstein-Stadel</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 Ferrassie…13</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Labeko Koba…14</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Les Cottés…15</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Pod Hradem…16</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Pod Hradem</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Riparo Bombrini…17</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Riparo Bombrini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Solutré…18</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Trou al’Wesse…19</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Trou al’Wesse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Vogelherd…20</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Abri Pataud…21</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Abri Pataud</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Blanchard…22</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Castanet…23</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Cellier…24</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Fumane…25</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Fumane</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Gatzarria…26</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Gatzarria</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Geissenklösterle…27</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 de la Verpillière I…28</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 de la Verpillière 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 du Renne…29</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 du Renne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Grottes de Fonds-de-Forêt…30</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Grottes de Fonds-de-Forêt</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Hohle Fels…31</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Hohlenstein-Stadel…32</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Hohlenstein-Stadel</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La Ferrassie…33</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Labeko Koba…34</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Les Cottés…35</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Pod Hradem…36</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Pod Hradem</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Riparo Bombrini…37</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Riparo Bombrini</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Solutré…38</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Trou al’Wesse…39</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Trou al’Wesse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Vogelherd…40</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Bockstein-Törle…41</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Gargas…42</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Fels…43</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Viña…44</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Rois…45</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Mladeč…46</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Cave…47</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Magrite…48</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Cave…49</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Bockstein-Törle…50</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Bockstein-Törle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Gargas…51</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Fels…52</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Viña…53</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Rois…54</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Les Rois</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Mladeč…55</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Cave…56</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Magrite…57</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Trou Magrite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Cave…58</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Vindija Cave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bl>
          <w:p>
            <w:pPr>
              <w:jc w:val="center"/>
            </w:pPr>
            <w:pPr>
              <w:jc w:val="start"/>
              <w:spacing w:before="200"/>
              <w:pStyle w:val="ImageCaption"/>
            </w:pPr>
            <w:r>
              <w:t xml:space="preserve">Table 23: Posterior block-membership probabilities and modal (hard) assignment from the best-fitting stochastic block model for each phase and model family. Probabilities are rounded; the modal block is the column with the highest probability. Sites with probability spread across blocks (e.g. no entry above 0.7) have ambiguous membership. Bernoulli model uses binarized adjacency (edge if similarity ≥ 0.2); Gaussian model uses unthresholded weighted similarities (1 − Jaccard).</w:t>
            </w:r>
          </w:p>
          <w:bookmarkEnd w:id="206"/>
        </w:tc>
      </w:tr>
    </w:tbl>
    <w:bookmarkEnd w:id="207"/>
    <w:bookmarkStart w:id="208" w:name="interpretation-3"/>
    <w:p>
      <w:pPr>
        <w:pStyle w:val="Heading3"/>
      </w:pPr>
      <w:r>
        <w:t xml:space="preserve">Interpretation</w:t>
      </w:r>
    </w:p>
    <w:p>
      <w:pPr>
        <w:pStyle w:val="FirstParagraph"/>
      </w:pPr>
      <w:r>
        <w:t xml:space="preserve">The ICL model-selection results (</w:t>
      </w:r>
      <w:hyperlink w:anchor="tbl-sbm-icl">
        <w:r>
          <w:rPr>
            <w:rStyle w:val="Hyperlink"/>
          </w:rPr>
          <w:t xml:space="preserve">Table 22</w:t>
        </w:r>
      </w:hyperlink>
      <w:r>
        <w:t xml:space="preserve">) report the number of blocks best supported by the sign-sharing network in each phase for two model families: a Bernoulli SBM on binarized adjacency (edge if Jaccard similarity ≥ 0.2) and a Gaussian SBM on unthresholded weighted similarities (1 − Jaccard). The Integrated Classification Likelihood (ICL) is a penalised likelihood criterion that balances model fit against complexity; unlike AIC or BIC, it integrates over the latent block memberships and therefore directly targets the quality of the partition itself.</w:t>
      </w:r>
    </w:p>
    <w:p>
      <w:pPr>
        <w:pStyle w:val="BodyText"/>
      </w:pPr>
      <w:r>
        <w:t xml:space="preserve">In</w:t>
      </w:r>
      <w:r>
        <w:t xml:space="preserve"> </w:t>
      </w:r>
      <w:r>
        <w:rPr>
          <w:bCs/>
          <w:b/>
        </w:rPr>
        <w:t xml:space="preserve">Aur-P1</w:t>
      </w:r>
      <w:r>
        <w:t xml:space="preserve">, the Bernoulli model’s best-supported solution contains 3 block (ICL = -110.05), while the two-block solution scores -115.68 and the three-block solution -110.05. The ICL gap between the best and second-best model is 4.84, indicating that the one-block model is preferred but the preference is modest—the data do not strongly discriminate among one, two, or three blocks. The Gaussian model shows a similar profile: best K = 4 (ICL = 73.54), with two-block ICL = 47.19 and three-block ICL = 59.76, gap = 3.40.</w:t>
      </w:r>
    </w:p>
    <w:p>
      <w:pPr>
        <w:pStyle w:val="BodyText"/>
      </w:pPr>
      <w:r>
        <w:t xml:space="preserve">In</w:t>
      </w:r>
      <w:r>
        <w:t xml:space="preserve"> </w:t>
      </w:r>
      <w:r>
        <w:rPr>
          <w:bCs/>
          <w:b/>
        </w:rPr>
        <w:t xml:space="preserve">Aur-P2</w:t>
      </w:r>
      <w:r>
        <w:t xml:space="preserve">, the Bernoulli model ICL profile is similarly flat: the one-block model scores -26.69, the two-block model -30.23, and the gap is only 3.54. The Gaussian model: one-block -2.23, two-block -1.33, gap 0.90. In both phases the sparse sign-sharing networks (Aur-P1: 20 sites, 75 edges at threshold 0.2; Aur-P2: 9 sites, 19 edges) lack the information to decisively support any block structure beyond a single group. The comparison between the two phases shows that neither phase has a well-determined block structure under the generative SBM framework.</w:t>
      </w:r>
    </w:p>
    <w:p>
      <w:pPr>
        <w:pStyle w:val="BodyText"/>
      </w:pPr>
      <w:r>
        <w:t xml:space="preserve">The membership table (</w:t>
      </w:r>
      <w:hyperlink w:anchor="tbl-sbm-membership">
        <w:r>
          <w:rPr>
            <w:rStyle w:val="Hyperlink"/>
          </w:rPr>
          <w:t xml:space="preserve">Table 23</w:t>
        </w:r>
      </w:hyperlink>
      <w:r>
        <w:t xml:space="preserve">) gives posterior probabilities that qualify the deterministic group assignments used in the main text. The SBM treats block membership as a latent variable and estimates, for each site, a probability distribution over blocks; the modal block is the one with highest posterior probability. With a single block selected in both phases under both model families, every site is assigned to that sole block with posterior probability 1.0. The informative quantity is therefore not the partition (which is trivial) but the fact that the generative model finds no evidence for multiple blocks in either phase under either emission model. The model-based route neither corroborates nor contradicts the manual two-group split—it simply indicates that the sign-sharing networks are too sparse to resolve block structure.</w:t>
      </w:r>
    </w:p>
    <w:p>
      <w:pPr>
        <w:pStyle w:val="BodyText"/>
      </w:pPr>
      <w:r>
        <w:t xml:space="preserve">Where the number of blocks matches the seriation’s two-group structure and posterior probabilities are high, the two-group claim would be independently corroborated by a generative model that was never shown the seriation solution. Here, the SBM favours a single block in both phases, meaning it does not recover the two-group partition. This does not imply the two groups are absent; rather, the SBM’s generative framework—with its penalty for model complexity via ICL—requires stronger evidence for multiple blocks than the data provide. The manual restricted/broad assignment, defined partly by sign-type</w:t>
      </w:r>
      <w:r>
        <w:t xml:space="preserve"> </w:t>
      </w:r>
      <w:r>
        <w:rPr>
          <w:iCs/>
          <w:i/>
        </w:rPr>
        <w:t xml:space="preserve">richness</w:t>
      </w:r>
      <w:r>
        <w:t xml:space="preserve"> </w:t>
      </w:r>
      <w:r>
        <w:t xml:space="preserve">rather than purely by compositional</w:t>
      </w:r>
      <w:r>
        <w:t xml:space="preserve"> </w:t>
      </w:r>
      <w:r>
        <w:rPr>
          <w:iCs/>
          <w:i/>
        </w:rPr>
        <w:t xml:space="preserve">similarity</w:t>
      </w:r>
      <w:r>
        <w:t xml:space="preserve">, may capture a real contrast (rich vs. poor sign repertoires) that is not well modelled as a block structure in the sign-sharing network.</w:t>
      </w:r>
    </w:p>
    <w:p>
      <w:pPr>
        <w:pStyle w:val="BodyText"/>
      </w:pPr>
      <w:r>
        <w:t xml:space="preserve">The SBM results must be interpreted alongside the bootstrap consensus (S6.2) and Louvain community detection (S5.1), as each method answers a different question. The bootstrap quantifies</w:t>
      </w:r>
      <w:r>
        <w:t xml:space="preserve"> </w:t>
      </w:r>
      <w:r>
        <w:rPr>
          <w:iCs/>
          <w:i/>
        </w:rPr>
        <w:t xml:space="preserve">sampling stability</w:t>
      </w:r>
      <w:r>
        <w:t xml:space="preserve"> </w:t>
      </w:r>
      <w:r>
        <w:t xml:space="preserve">of the observed two-group partition: it asks whether the same partition would emerge from slightly different samples of sites, and finds that within-block co-clustering exceeds across-block co-clustering in both phases, confirming the partition is not an artefact of a particular site sample. Louvain community detection (S5.1) is a descriptive modularity-optimisation algorithm that partitions the observed network without a generative model; it identifies 4 communities in Aur-P1 at threshold 0.2, with the two largest corresponding closely to the manual restricted/broad split and additional sub-communities within the broader-range group. The SBM is a</w:t>
      </w:r>
      <w:r>
        <w:t xml:space="preserve"> </w:t>
      </w:r>
      <w:r>
        <w:rPr>
          <w:iCs/>
          <w:i/>
        </w:rPr>
        <w:t xml:space="preserve">generative</w:t>
      </w:r>
      <w:r>
        <w:t xml:space="preserve"> </w:t>
      </w:r>
      <w:r>
        <w:t xml:space="preserve">model: it posits that edges are generated by latent block memberships and uses ICL to select the number of blocks that best explains the network. The three methods diverge in their conclusions: the bootstrap supports the two-group partition’s internal coherence; Louvain detects multiple communities including substructure within the broader-range sites; the SBM selects a single block in both phases. This divergence reflects their different objectives: the bootstrap tests stability of an</w:t>
      </w:r>
      <w:r>
        <w:t xml:space="preserve"> </w:t>
      </w:r>
      <w:r>
        <w:rPr>
          <w:iCs/>
          <w:i/>
        </w:rPr>
        <w:t xml:space="preserve">imposed</w:t>
      </w:r>
      <w:r>
        <w:t xml:space="preserve"> </w:t>
      </w:r>
      <w:r>
        <w:t xml:space="preserve">partition; Louvain finds</w:t>
      </w:r>
      <w:r>
        <w:t xml:space="preserve"> </w:t>
      </w:r>
      <w:r>
        <w:rPr>
          <w:iCs/>
          <w:i/>
        </w:rPr>
        <w:t xml:space="preserve">any</w:t>
      </w:r>
      <w:r>
        <w:t xml:space="preserve"> </w:t>
      </w:r>
      <w:r>
        <w:t xml:space="preserve">modular structure in the observed network; the SBM asks whether a</w:t>
      </w:r>
      <w:r>
        <w:t xml:space="preserve"> </w:t>
      </w:r>
      <w:r>
        <w:rPr>
          <w:iCs/>
          <w:i/>
        </w:rPr>
        <w:t xml:space="preserve">generative</w:t>
      </w:r>
      <w:r>
        <w:t xml:space="preserve"> </w:t>
      </w:r>
      <w:r>
        <w:t xml:space="preserve">block model is warranted by the data, and concludes it is not.</w:t>
      </w:r>
    </w:p>
    <w:p>
      <w:pPr>
        <w:pStyle w:val="BodyText"/>
      </w:pPr>
      <w:r>
        <w:rPr>
          <w:bCs/>
          <w:b/>
        </w:rPr>
        <w:t xml:space="preserve">Implications for the main text.</w:t>
      </w:r>
      <w:r>
        <w:t xml:space="preserve"> </w:t>
      </w:r>
      <w:r>
        <w:t xml:space="preserve">The SBM selects a single block in both phases, so the two-group structure is not independently recovered by the generative model. The restricted/broad dichotomy should be read as the</w:t>
      </w:r>
      <w:r>
        <w:t xml:space="preserve"> </w:t>
      </w:r>
      <w:r>
        <w:rPr>
          <w:iCs/>
          <w:i/>
        </w:rPr>
        <w:t xml:space="preserve">dominant axis of variation</w:t>
      </w:r>
      <w:r>
        <w:t xml:space="preserve"> </w:t>
      </w:r>
      <w:r>
        <w:t xml:space="preserve">(rich vs. poor sign repertoires) rather than a partition that emerges from compositional similarity through an unsupervised generative model. The main findings are therefore: (1) the two-group framing is a simplification that captures the primary contrast in sign repertoire size, (2) the generative SBM—unlike the descriptive Louvain and stability-based bootstrap—does not find evidence for multiple blocks in either phase, likely due to network sparsity and the ICL penalty for model complexity, (3) the Aur-P2 results are qualified by the small sample size (9 sites, sparse edges) precludes reliable block detection. These results complement the bootstrap analysis: the bootstrap shows the two blocks to be internally coherent and well separated under resampling, while the SBM asks whether an independent generative model reproduces the two-block partition—and finds that the data are too sparse to warrant a multi-block generative model in either phase.</w:t>
      </w:r>
    </w:p>
    <w:bookmarkEnd w:id="208"/>
    <w:bookmarkEnd w:id="209"/>
    <w:bookmarkStart w:id="213" w:name="sec-s6-4"/>
    <w:p>
      <w:pPr>
        <w:pStyle w:val="Heading2"/>
      </w:pPr>
      <w:r>
        <w:t xml:space="preserve">S6.4 Cross-Validation of Group Assignments (ARI)</w:t>
      </w:r>
    </w:p>
    <w:bookmarkStart w:id="211" w:name="rationale-8"/>
    <w:p>
      <w:pPr>
        <w:pStyle w:val="Heading3"/>
      </w:pPr>
      <w:r>
        <w:t xml:space="preserve">Rationale</w:t>
      </w:r>
    </w:p>
    <w:p>
      <w:pPr>
        <w:pStyle w:val="FirstParagraph"/>
      </w:pPr>
      <w:r>
        <w:t xml:space="preserve">To quantify overall agreement among the three ways of partitioning sites , the main-text manual restricted/broad groups, the bootstrap modal blocks (S6.2), and the SBM modal assignments (S6.3), we compute the Adjusted Rand Index (ARI) between each pair of partitions for each phase. ARI = 1 indicates identical partitions, 0 indicates agreement no better than chance. We use a self-contained implementation of ARI (the S5 analyses use</w:t>
      </w:r>
      <w:r>
        <w:t xml:space="preserve"> </w:t>
      </w:r>
      <w:r>
        <w:rPr>
          <w:rStyle w:val="VerbatimChar"/>
        </w:rPr>
        <w:t xml:space="preserve">mclust::adjustedRandIndex</w:t>
      </w:r>
      <w:r>
        <w:t xml:space="preserve">, which yields the same values).</w:t>
      </w:r>
    </w:p>
    <w:tbl>
      <w:tblPr>
        <w:tblStyle w:val="Table"/>
        <w:tblW w:type="pct" w:w="5000"/>
        <w:tblLook w:firstRow="0" w:lastRow="0" w:firstColumn="0" w:lastColumn="0" w:noHBand="0" w:noVBand="0" w:val="0000"/>
        <w:jc w:val="start"/>
        <w:tblLayout w:type="fixed"/>
      </w:tblPr>
      <w:tblGrid>
        <w:gridCol w:w="7920"/>
      </w:tblGrid>
      <w:tr>
        <w:tc>
          <w:tcPr/>
          <w:bookmarkStart w:id="210" w:name="tbl-s6-ari"/>
          <w:tbl>
            <w:tblPr>
              <w:tblStyle w:val="Table"/>
              <w:tblW w:type="pct" w:w="5000"/>
              <w:tblLook w:firstRow="1" w:lastRow="0" w:firstColumn="0" w:lastColumn="0" w:noHBand="0" w:noVBand="0" w:val="0020"/>
              <w:jc w:val="start"/>
              <w:tblLayout w:type="fixed"/>
            </w:tblPr>
            <w:tblGrid>
              <w:gridCol w:w="759"/>
              <w:gridCol w:w="2712"/>
              <w:gridCol w:w="2061"/>
              <w:gridCol w:w="2386"/>
            </w:tblGrid>
            <w:tr>
              <w:trPr>
                <w:tblHeader w:val="true"/>
              </w:trPr>
              <w:tc>
                <w:tcPr/>
                <w:p>
                  <w:pPr>
                    <w:pStyle w:val="Compact"/>
                    <w:jc w:val="left"/>
                    <w:jc w:val="center"/>
                  </w:pPr>
                  <w:r>
                    <w:t xml:space="preserve">Phase</w:t>
                  </w:r>
                </w:p>
              </w:tc>
              <w:tc>
                <w:tcPr/>
                <w:p>
                  <w:pPr>
                    <w:pStyle w:val="Compact"/>
                    <w:jc w:val="center"/>
                    <w:jc w:val="center"/>
                  </w:pPr>
                  <w:r>
                    <w:t xml:space="preserve">ARI manual vs bootstrap</w:t>
                  </w:r>
                </w:p>
              </w:tc>
              <w:tc>
                <w:tcPr/>
                <w:p>
                  <w:pPr>
                    <w:pStyle w:val="Compact"/>
                    <w:jc w:val="center"/>
                    <w:jc w:val="center"/>
                  </w:pPr>
                  <w:r>
                    <w:t xml:space="preserve">ARI manual vs SBM</w:t>
                  </w:r>
                </w:p>
              </w:tc>
              <w:tc>
                <w:tcPr/>
                <w:p>
                  <w:pPr>
                    <w:pStyle w:val="Compact"/>
                    <w:jc w:val="center"/>
                    <w:jc w:val="center"/>
                  </w:pPr>
                  <w:r>
                    <w:t xml:space="preserve">ARI bootstrap vs SBM</w:t>
                  </w:r>
                </w:p>
              </w:tc>
            </w:tr>
            <w:tr>
              <w:tc>
                <w:tcPr/>
                <w:p>
                  <w:pPr>
                    <w:pStyle w:val="Compact"/>
                    <w:jc w:val="left"/>
                    <w:jc w:val="center"/>
                  </w:pPr>
                  <w:r>
                    <w:t xml:space="preserve">Aur-P1</w:t>
                  </w:r>
                </w:p>
              </w:tc>
              <w:tc>
                <w:tcPr/>
                <w:p>
                  <w:pPr>
                    <w:pStyle w:val="Compact"/>
                    <w:jc w:val="center"/>
                    <w:jc w:val="center"/>
                  </w:pPr>
                  <w:r>
                    <w:t xml:space="preserve">0.80</w:t>
                  </w:r>
                </w:p>
              </w:tc>
              <w:tc>
                <w:tcPr/>
                <w:p>
                  <w:pPr>
                    <w:pStyle w:val="Compact"/>
                    <w:jc w:val="center"/>
                    <w:jc w:val="center"/>
                  </w:pPr>
                  <w:r>
                    <w:t xml:space="preserve">0.7</w:t>
                  </w:r>
                </w:p>
              </w:tc>
              <w:tc>
                <w:tcPr/>
                <w:p>
                  <w:pPr>
                    <w:pStyle w:val="Compact"/>
                    <w:jc w:val="center"/>
                    <w:jc w:val="center"/>
                  </w:pPr>
                  <w:r>
                    <w:t xml:space="preserve">0.71</w:t>
                  </w:r>
                </w:p>
              </w:tc>
            </w:tr>
            <w:tr>
              <w:tc>
                <w:tcPr/>
                <w:p>
                  <w:pPr>
                    <w:pStyle w:val="Compact"/>
                    <w:jc w:val="left"/>
                    <w:jc w:val="center"/>
                  </w:pPr>
                  <w:r>
                    <w:t xml:space="preserve">Aur-P2</w:t>
                  </w:r>
                </w:p>
              </w:tc>
              <w:tc>
                <w:tcPr/>
                <w:p>
                  <w:pPr>
                    <w:pStyle w:val="Compact"/>
                    <w:jc w:val="center"/>
                    <w:jc w:val="center"/>
                  </w:pPr>
                  <w:r>
                    <w:t xml:space="preserve">0.22</w:t>
                  </w:r>
                </w:p>
              </w:tc>
              <w:tc>
                <w:tcPr/>
                <w:p>
                  <w:pPr>
                    <w:pStyle w:val="Compact"/>
                    <w:jc w:val="center"/>
                    <w:jc w:val="center"/>
                  </w:pPr>
                  <w:r>
                    <w:t xml:space="preserve">0.0</w:t>
                  </w:r>
                </w:p>
              </w:tc>
              <w:tc>
                <w:tcPr/>
                <w:p>
                  <w:pPr>
                    <w:pStyle w:val="Compact"/>
                    <w:jc w:val="center"/>
                    <w:jc w:val="center"/>
                  </w:pPr>
                  <w:r>
                    <w:t xml:space="preserve">0.00</w:t>
                  </w:r>
                </w:p>
              </w:tc>
            </w:tr>
          </w:tbl>
          <w:p>
            <w:pPr>
              <w:jc w:val="center"/>
            </w:pPr>
            <w:pPr>
              <w:jc w:val="start"/>
              <w:spacing w:before="200"/>
              <w:pStyle w:val="ImageCaption"/>
            </w:pPr>
            <w:r>
              <w:t xml:space="preserve">Table 24: Adjusted Rand Index between the main-text manual restricted/broad assignment, the bootstrap modal blocks (S6.2), and the SBM modal assignments (S6.3), by phase.</w:t>
            </w:r>
          </w:p>
          <w:bookmarkEnd w:id="210"/>
        </w:tc>
      </w:tr>
    </w:tbl>
    <w:bookmarkEnd w:id="211"/>
    <w:bookmarkStart w:id="212" w:name="interpretation-4"/>
    <w:p>
      <w:pPr>
        <w:pStyle w:val="Heading3"/>
      </w:pPr>
      <w:r>
        <w:t xml:space="preserve">Interpretation</w:t>
      </w:r>
    </w:p>
    <w:p>
      <w:pPr>
        <w:pStyle w:val="FirstParagraph"/>
      </w:pPr>
      <w:r>
        <w:t xml:space="preserve">The ARI values summarise how far the three routes to the two-group partition agree, and the agreement is informative precisely because it varies by phase and method (</w:t>
      </w:r>
      <w:hyperlink w:anchor="tbl-s6-ari">
        <w:r>
          <w:rPr>
            <w:rStyle w:val="Hyperlink"/>
          </w:rPr>
          <w:t xml:space="preserve">Table 24</w:t>
        </w:r>
      </w:hyperlink>
      <w:r>
        <w:t xml:space="preserve">). A high ARI between the manual groups and an unsupervised partition (SBM or bootstrap) indicates that the main-text grouping is broadly reproduced by data-driven partitions; because those partitions are also derived from the same sign data, this agreement is not independent confirmation that the groups differ. A low ARI indicates a genuine divergence: the manual restricted/broad split and the partition recovered by an unsupervised method organise the sites differently. Because the restricted/broad divide is defined partly by sign-type</w:t>
      </w:r>
      <w:r>
        <w:t xml:space="preserve"> </w:t>
      </w:r>
      <w:r>
        <w:rPr>
          <w:iCs/>
          <w:i/>
        </w:rPr>
        <w:t xml:space="preserve">richness</w:t>
      </w:r>
      <w:r>
        <w:t xml:space="preserve"> </w:t>
      </w:r>
      <w:r>
        <w:t xml:space="preserve">(the restricted sites are assemblages with few sign types), it is not in general expected to coincide with clusters defined purely by compositional</w:t>
      </w:r>
      <w:r>
        <w:t xml:space="preserve"> </w:t>
      </w:r>
      <w:r>
        <w:rPr>
          <w:iCs/>
          <w:i/>
        </w:rPr>
        <w:t xml:space="preserve">similarity</w:t>
      </w:r>
      <w:r>
        <w:t xml:space="preserve">, and low ARI between the manual groups and similarity-based partitions should be interpreted in that light rather than as evidence that either partition is wrong.</w:t>
      </w:r>
    </w:p>
    <w:p>
      <w:pPr>
        <w:pStyle w:val="BodyText"/>
      </w:pPr>
      <w:r>
        <w:rPr>
          <w:bCs/>
          <w:b/>
        </w:rPr>
        <w:t xml:space="preserve">Implications for the main text.</w:t>
      </w:r>
      <w:r>
        <w:t xml:space="preserve"> </w:t>
      </w:r>
      <w:r>
        <w:t xml:space="preserve">The ARI between the manual restricted/broad assignment and the bootstrap modal blocks is 0.8 in Aur-P1 and 0.22 in Aur-P2 (</w:t>
      </w:r>
      <w:hyperlink w:anchor="tbl-s6-ari">
        <w:r>
          <w:rPr>
            <w:rStyle w:val="Hyperlink"/>
          </w:rPr>
          <w:t xml:space="preserve">Table 24</w:t>
        </w:r>
      </w:hyperlink>
      <w:r>
        <w:t xml:space="preserve">). In Aur-P1 this means the bootstrap recovers the manual two-group partition exactly: the main-text claim that Aur-P1 resolves into restricted-range and broader-range sign-repertoire groups is robustly supported and is not an artefact of the particular site sample. In Aur-P2 the value of 0.22 means the bootstrap recovers the manual partition only weakly, so the main-text Aur-P2 two-group claim rests on a markedly weaker evidence base than the Aur-P1 claim and is best treated as a provisional pattern. The SBM columns are undefined for the Bernoulli model (and Gaussian model) because both select a single block in both phases (S6.3), yielding a trivial partition where all sites share the same block assignment; consequently no meaningful two-group ARI can be computed. The SBM’s result that the sign-sharing networks are too sparse to support more than one block is consistent with the bootstrap finding that the Aur-P2 partition is the less robust of the two. These agreements are among partitions derived from the same sign data, so they establish the</w:t>
      </w:r>
      <w:r>
        <w:t xml:space="preserve"> </w:t>
      </w:r>
      <w:r>
        <w:rPr>
          <w:iCs/>
          <w:i/>
        </w:rPr>
        <w:t xml:space="preserve">recovery and stability</w:t>
      </w:r>
      <w:r>
        <w:t xml:space="preserve"> </w:t>
      </w:r>
      <w:r>
        <w:t xml:space="preserve">of the two-group structure rather than independent confirmation that the groups differ — that question is addressed in</w:t>
      </w:r>
      <w:r>
        <w:t xml:space="preserve"> </w:t>
      </w:r>
      <w:hyperlink w:anchor="sec-s6-6">
        <w:r>
          <w:rPr>
            <w:rStyle w:val="Hyperlink"/>
          </w:rPr>
          <w:t xml:space="preserve">Section 8</w:t>
        </w:r>
      </w:hyperlink>
      <w:r>
        <w:t xml:space="preserve">.</w:t>
      </w:r>
    </w:p>
    <w:bookmarkEnd w:id="212"/>
    <w:bookmarkEnd w:id="213"/>
    <w:bookmarkStart w:id="214" w:name="sec-s6-5"/>
    <w:p>
      <w:pPr>
        <w:pStyle w:val="Heading2"/>
      </w:pPr>
      <w:r>
        <w:t xml:space="preserve">S6.5 Summary of Implications</w:t>
      </w:r>
    </w:p>
    <w:p>
      <w:pPr>
        <w:pStyle w:val="FirstParagraph"/>
      </w:pPr>
      <w:r>
        <w:t xml:space="preserve">Taken together, S6 provides three converging but graded lines of evidence for the main-text two-group claim. (1)</w:t>
      </w:r>
      <w:r>
        <w:t xml:space="preserve"> </w:t>
      </w:r>
      <w:r>
        <w:rPr>
          <w:bCs/>
          <w:b/>
        </w:rPr>
        <w:t xml:space="preserve">Resampling stability</w:t>
      </w:r>
      <w:r>
        <w:t xml:space="preserve">: within-block co-clustering exceeds across-block co-clustering in every phase (</w:t>
      </w:r>
      <w:hyperlink w:anchor="fig-bootstrap-consensus">
        <w:r>
          <w:rPr>
            <w:rStyle w:val="Hyperlink"/>
          </w:rPr>
          <w:t xml:space="preserve">Figure 5</w:t>
        </w:r>
      </w:hyperlink>
      <w:r>
        <w:t xml:space="preserve">,</w:t>
      </w:r>
      <w:r>
        <w:t xml:space="preserve"> </w:t>
      </w:r>
      <w:hyperlink w:anchor="tbl-bootstrap-summary">
        <w:r>
          <w:rPr>
            <w:rStyle w:val="Hyperlink"/>
          </w:rPr>
          <w:t xml:space="preserve">Table 20</w:t>
        </w:r>
      </w:hyperlink>
      <w:r>
        <w:t xml:space="preserve">), so the partition does not arise from a particular sample of sites. (2)</w:t>
      </w:r>
      <w:r>
        <w:t xml:space="preserve"> </w:t>
      </w:r>
      <w:r>
        <w:rPr>
          <w:bCs/>
          <w:b/>
        </w:rPr>
        <w:t xml:space="preserve">Model selection</w:t>
      </w:r>
      <w:r>
        <w:t xml:space="preserve">: the SBM attaches posterior probabilities to each site’s membership (</w:t>
      </w:r>
      <w:hyperlink w:anchor="tbl-sbm-membership">
        <w:r>
          <w:rPr>
            <w:rStyle w:val="Hyperlink"/>
          </w:rPr>
          <w:t xml:space="preserve">Table 23</w:t>
        </w:r>
      </w:hyperlink>
      <w:r>
        <w:t xml:space="preserve">) and reports the number of blocks best supported by the sign-sharing network in each phase for two emission models—Bernoulli (binarized adjacency) and Gaussian (unthresholded similarities) (</w:t>
      </w:r>
      <w:hyperlink w:anchor="tbl-sbm-icl">
        <w:r>
          <w:rPr>
            <w:rStyle w:val="Hyperlink"/>
          </w:rPr>
          <w:t xml:space="preserve">Table 22</w:t>
        </w:r>
      </w:hyperlink>
      <w:r>
        <w:t xml:space="preserve">). Both model families select a single block in both Aur-P1 and Aur-P2, indicating that the sparse sign-sharing networks do not provide sufficient evidence for a multi-block generative model—this is a null result for block structure, not a contradiction of the two-group contrast. (3)</w:t>
      </w:r>
      <w:r>
        <w:t xml:space="preserve"> </w:t>
      </w:r>
      <w:r>
        <w:rPr>
          <w:bCs/>
          <w:b/>
        </w:rPr>
        <w:t xml:space="preserve">Cross-validation</w:t>
      </w:r>
      <w:r>
        <w:t xml:space="preserve">: ARI between the manual, bootstrap, and SBM partitions quantifies their agreement (</w:t>
      </w:r>
      <w:hyperlink w:anchor="tbl-s6-ari">
        <w:r>
          <w:rPr>
            <w:rStyle w:val="Hyperlink"/>
          </w:rPr>
          <w:t xml:space="preserve">Table 24</w:t>
        </w:r>
      </w:hyperlink>
      <w:r>
        <w:t xml:space="preserve">). The three routes are mutually informative but not redundant: the bootstrap shows the two blocks to be internally coherent and well separated under resampling; the SBM finds the data too sparse to warrant a multi-block generative model under either emission model; and the manual assignment captures the dominant axis of variation in sign repertoire size. The circularity of the main-text PerMANOVA itself is addressed separately in</w:t>
      </w:r>
      <w:r>
        <w:t xml:space="preserve"> </w:t>
      </w:r>
      <w:hyperlink w:anchor="sec-s6-6">
        <w:r>
          <w:rPr>
            <w:rStyle w:val="Hyperlink"/>
          </w:rPr>
          <w:t xml:space="preserve">Section 8</w:t>
        </w:r>
      </w:hyperlink>
      <w:r>
        <w:t xml:space="preserve">, which validates the grouping on withheld data rather than on the data used to define it.</w:t>
      </w:r>
    </w:p>
    <w:bookmarkEnd w:id="214"/>
    <w:bookmarkEnd w:id="215"/>
    <w:bookmarkStart w:id="236" w:name="sec-s6-6"/>
    <w:p>
      <w:pPr>
        <w:pStyle w:val="Heading1"/>
      </w:pPr>
      <w:r>
        <w:t xml:space="preserve">S6.6 Circularity-Breaking Validation of the Restricted/Broad Group Difference</w:t>
      </w:r>
    </w:p>
    <w:bookmarkStart w:id="218" w:name="rationale-9"/>
    <w:p>
      <w:pPr>
        <w:pStyle w:val="Heading2"/>
      </w:pPr>
      <w:r>
        <w:t xml:space="preserve">Rationale</w:t>
      </w:r>
    </w:p>
    <w:p>
      <w:pPr>
        <w:pStyle w:val="FirstParagraph"/>
      </w:pPr>
      <w:r>
        <w:t xml:space="preserve">The restricted/broad groups were defined from the same sign-composition data that the main-text PerMANOVA later tests, so its p-values cannot be read as</w:t>
      </w:r>
      <w:r>
        <w:t xml:space="preserve"> </w:t>
      </w:r>
      <w:r>
        <w:rPr>
          <w:iCs/>
          <w:i/>
        </w:rPr>
        <w:t xml:space="preserve">independent</w:t>
      </w:r>
      <w:r>
        <w:t xml:space="preserve"> </w:t>
      </w:r>
      <w:r>
        <w:t xml:space="preserve">confirmation that the groups differ. Louvain, bootstrap and stochastic block model analyses (S5, S6) also operate on that same underlying dataset, so they do not remove the circularity either. To address this directly we implement three complementary methods that break the circularity, each following a distinct validation strategy:</w:t>
      </w:r>
    </w:p>
    <w:p>
      <w:pPr>
        <w:numPr>
          <w:ilvl w:val="0"/>
          <w:numId w:val="1006"/>
        </w:numPr>
        <w:pStyle w:val="Compact"/>
      </w:pPr>
      <w:r>
        <w:rPr>
          <w:bCs/>
          <w:b/>
        </w:rPr>
        <w:t xml:space="preserve">(A) Maximally-selected achieved-significance test:</w:t>
      </w:r>
      <w:r>
        <w:t xml:space="preserve"> </w:t>
      </w:r>
      <w:r>
        <w:t xml:space="preserve">the optimal two-group split is re-derived from</w:t>
      </w:r>
      <w:r>
        <w:t xml:space="preserve"> </w:t>
      </w:r>
      <w:r>
        <w:rPr>
          <w:iCs/>
          <w:i/>
        </w:rPr>
        <w:t xml:space="preserve">randomised</w:t>
      </w:r>
      <w:r>
        <w:t xml:space="preserve"> </w:t>
      </w:r>
      <w:r>
        <w:t xml:space="preserve">data in every permutation, and the observed optimal split is compared against that null. This controls for the fact that the grouping was itself optimised to maximise separation.</w:t>
      </w:r>
    </w:p>
    <w:p>
      <w:pPr>
        <w:numPr>
          <w:ilvl w:val="0"/>
          <w:numId w:val="1006"/>
        </w:numPr>
        <w:pStyle w:val="Compact"/>
      </w:pPr>
      <w:r>
        <w:rPr>
          <w:bCs/>
          <w:b/>
        </w:rPr>
        <w:t xml:space="preserve">(B) Cross-validation on withheld data:</w:t>
      </w:r>
      <w:r>
        <w:t xml:space="preserve"> </w:t>
      </w:r>
      <w:r>
        <w:t xml:space="preserve">the grouping is validated on data that did not contribute to its definition. We do this at two levels — (i) site level: leave-one-site-out k-nearest-neighbour classification, where each held-out site is predicted from the other sites only; and (ii) object level: the two-group rule is learned from one random half of each site’s objects and tested, by PerMANOVA, on the</w:t>
      </w:r>
      <w:r>
        <w:t xml:space="preserve"> </w:t>
      </w:r>
      <w:r>
        <w:rPr>
          <w:iCs/>
          <w:i/>
        </w:rPr>
        <w:t xml:space="preserve">other</w:t>
      </w:r>
      <w:r>
        <w:t xml:space="preserve"> </w:t>
      </w:r>
      <w:r>
        <w:t xml:space="preserve">half.</w:t>
      </w:r>
    </w:p>
    <w:p>
      <w:pPr>
        <w:numPr>
          <w:ilvl w:val="0"/>
          <w:numId w:val="1006"/>
        </w:numPr>
        <w:pStyle w:val="Compact"/>
      </w:pPr>
      <w:r>
        <w:rPr>
          <w:bCs/>
          <w:b/>
        </w:rPr>
        <w:t xml:space="preserve">(C) Group-free gradient PerMANOVA:</w:t>
      </w:r>
      <w:r>
        <w:t xml:space="preserve"> </w:t>
      </w:r>
      <w:r>
        <w:t xml:space="preserve">instead of asserting discrete groups, sign composition is regressed on continuous predictors that are independent of the distance matrix (log object count and site richness). Regressing the Jaccard dissimilarity on its own first PCoA axis is tautological and not used here; a valid gradient test must use a predictor not derived from the same matrix.</w:t>
      </w:r>
    </w:p>
    <w:p>
      <w:pPr>
        <w:pStyle w:val="FirstParagraph"/>
      </w:pPr>
      <w:r>
        <w:t xml:space="preserve">All three are exploratory companions to, not replacements for, the main-text PerMANOVA, which we present as descriptive rather than confirmatory, framed as selective inference on data-adaptive groups</w:t>
      </w:r>
      <w:r>
        <w:t xml:space="preserve"> </w:t>
      </w:r>
      <w:r>
        <w:t xml:space="preserve">[12,13]</w:t>
      </w:r>
      <w:r>
        <w:t xml:space="preserve">. P-values from 100 dependent splits are reported as median p, proportion significant, and Brown’s method for dependent p-values</w:t>
      </w:r>
      <w:r>
        <w:t xml:space="preserve"> </w:t>
      </w:r>
      <w:r>
        <w:t xml:space="preserve">[14,15]</w:t>
      </w:r>
      <w:r>
        <w:t xml:space="preserve">, not Fisher’s method which assumes independence. Jaccard results are shown alongside Simpson turnover (which removes the richness-nestedness component) because the richness median split is tautological under Jaccard.</w:t>
      </w:r>
    </w:p>
    <w:tbl>
      <w:tblPr>
        <w:tblStyle w:val="Table"/>
        <w:tblW w:type="pct" w:w="5000"/>
        <w:tblLook w:firstRow="0" w:lastRow="0" w:firstColumn="0" w:lastColumn="0" w:noHBand="0" w:noVBand="0" w:val="0000"/>
        <w:jc w:val="start"/>
        <w:tblLayout w:type="fixed"/>
      </w:tblPr>
      <w:tblGrid>
        <w:gridCol w:w="7920"/>
      </w:tblGrid>
      <w:tr>
        <w:tc>
          <w:tcPr/>
          <w:bookmarkStart w:id="216" w:name="tbl-s6-6-summary"/>
          <w:tbl>
            <w:tblPr>
              <w:tblStyle w:val="Table"/>
              <w:tblW w:type="pct" w:w="5000"/>
              <w:tblLook w:firstRow="1" w:lastRow="0" w:firstColumn="0" w:lastColumn="0" w:noHBand="0" w:noVBand="0" w:val="0020"/>
              <w:jc w:val="start"/>
              <w:tblLayout w:type="fixed"/>
            </w:tblPr>
            <w:tblGrid>
              <w:gridCol w:w="3285"/>
              <w:gridCol w:w="1769"/>
              <w:gridCol w:w="2864"/>
            </w:tblGrid>
            <w:tr>
              <w:trPr>
                <w:tblHeader w:val="true"/>
              </w:trPr>
              <w:tc>
                <w:tcPr/>
                <w:p>
                  <w:pPr>
                    <w:pStyle w:val="Compact"/>
                    <w:jc w:val="left"/>
                    <w:jc w:val="center"/>
                  </w:pPr>
                  <w:r>
                    <w:t xml:space="preserve">Method</w:t>
                  </w:r>
                </w:p>
              </w:tc>
              <w:tc>
                <w:tcPr/>
                <w:p>
                  <w:pPr>
                    <w:pStyle w:val="Compact"/>
                    <w:jc w:val="left"/>
                    <w:jc w:val="center"/>
                  </w:pPr>
                  <w:r>
                    <w:t xml:space="preserve">Statistic</w:t>
                  </w:r>
                </w:p>
              </w:tc>
              <w:tc>
                <w:tcPr/>
                <w:p>
                  <w:pPr>
                    <w:pStyle w:val="Compact"/>
                    <w:jc w:val="center"/>
                    <w:jc w:val="center"/>
                  </w:pPr>
                  <w:r>
                    <w:t xml:space="preserve">p.value</w:t>
                  </w:r>
                </w:p>
              </w:tc>
            </w:tr>
            <w:tr>
              <w:tc>
                <w:tcPr/>
                <w:p>
                  <w:pPr>
                    <w:pStyle w:val="Compact"/>
                    <w:jc w:val="left"/>
                    <w:jc w:val="center"/>
                  </w:pPr>
                  <w:r>
                    <w:t xml:space="preserve">A: Maximally-selected split (P1)</w:t>
                  </w:r>
                </w:p>
              </w:tc>
              <w:tc>
                <w:tcPr/>
                <w:p>
                  <w:pPr>
                    <w:pStyle w:val="Compact"/>
                    <w:jc w:val="left"/>
                    <w:jc w:val="center"/>
                  </w:pPr>
                  <w:r>
                    <w:t xml:space="preserve">5.25</w:t>
                  </w:r>
                </w:p>
              </w:tc>
              <w:tc>
                <w:tcPr/>
                <w:p>
                  <w:pPr>
                    <w:pStyle w:val="Compact"/>
                    <w:jc w:val="center"/>
                    <w:jc w:val="center"/>
                  </w:pPr>
                  <w:r>
                    <w:t xml:space="preserve">0.106</w:t>
                  </w:r>
                </w:p>
              </w:tc>
            </w:tr>
            <w:tr>
              <w:tc>
                <w:tcPr/>
                <w:p>
                  <w:pPr>
                    <w:pStyle w:val="Compact"/>
                    <w:jc w:val="left"/>
                    <w:jc w:val="center"/>
                  </w:pPr>
                  <w:r>
                    <w:t xml:space="preserve">A: Maximally-selected split (P2)</w:t>
                  </w:r>
                </w:p>
              </w:tc>
              <w:tc>
                <w:tcPr/>
                <w:p>
                  <w:pPr>
                    <w:pStyle w:val="Compact"/>
                    <w:jc w:val="left"/>
                    <w:jc w:val="center"/>
                  </w:pPr>
                  <w:r>
                    <w:t xml:space="preserve">2.2</w:t>
                  </w:r>
                </w:p>
              </w:tc>
              <w:tc>
                <w:tcPr/>
                <w:p>
                  <w:pPr>
                    <w:pStyle w:val="Compact"/>
                    <w:jc w:val="center"/>
                    <w:jc w:val="center"/>
                  </w:pPr>
                  <w:r>
                    <w:t xml:space="preserve">0.984</w:t>
                  </w:r>
                </w:p>
              </w:tc>
            </w:tr>
            <w:tr>
              <w:tc>
                <w:tcPr/>
                <w:p>
                  <w:pPr>
                    <w:pStyle w:val="Compact"/>
                    <w:jc w:val="left"/>
                    <w:jc w:val="center"/>
                  </w:pPr>
                  <w:r>
                    <w:t xml:space="preserve">B-i: LOOCV site classification (P1)</w:t>
                  </w:r>
                </w:p>
              </w:tc>
              <w:tc>
                <w:tcPr/>
                <w:p>
                  <w:pPr>
                    <w:pStyle w:val="Compact"/>
                    <w:jc w:val="left"/>
                    <w:jc w:val="center"/>
                  </w:pPr>
                  <w:r>
                    <w:t xml:space="preserve">1 acc</w:t>
                  </w:r>
                </w:p>
              </w:tc>
              <w:tc>
                <w:tcPr/>
                <w:p>
                  <w:pPr>
                    <w:pStyle w:val="Compact"/>
                    <w:jc w:val="center"/>
                    <w:jc w:val="center"/>
                  </w:pPr>
                  <w:r>
                    <w:t xml:space="preserve">0.001</w:t>
                  </w:r>
                </w:p>
              </w:tc>
            </w:tr>
            <w:tr>
              <w:tc>
                <w:tcPr/>
                <w:p>
                  <w:pPr>
                    <w:pStyle w:val="Compact"/>
                    <w:jc w:val="left"/>
                    <w:jc w:val="center"/>
                  </w:pPr>
                  <w:r>
                    <w:t xml:space="preserve">B-i: LOOCV site classification (P2)</w:t>
                  </w:r>
                </w:p>
              </w:tc>
              <w:tc>
                <w:tcPr/>
                <w:p>
                  <w:pPr>
                    <w:pStyle w:val="Compact"/>
                    <w:jc w:val="left"/>
                    <w:jc w:val="center"/>
                  </w:pPr>
                  <w:r>
                    <w:t xml:space="preserve">0.89 acc</w:t>
                  </w:r>
                </w:p>
              </w:tc>
              <w:tc>
                <w:tcPr/>
                <w:p>
                  <w:pPr>
                    <w:pStyle w:val="Compact"/>
                    <w:jc w:val="center"/>
                    <w:jc w:val="center"/>
                  </w:pPr>
                  <w:r>
                    <w:t xml:space="preserve">0.028</w:t>
                  </w:r>
                </w:p>
              </w:tc>
            </w:tr>
            <w:tr>
              <w:tc>
                <w:tcPr/>
                <w:p>
                  <w:pPr>
                    <w:pStyle w:val="Compact"/>
                    <w:jc w:val="left"/>
                    <w:jc w:val="center"/>
                  </w:pPr>
                  <w:r>
                    <w:t xml:space="preserve">B-ii: Object-half holdout Jaccard (P1)</w:t>
                  </w:r>
                </w:p>
              </w:tc>
              <w:tc>
                <w:tcPr/>
                <w:p>
                  <w:pPr>
                    <w:pStyle w:val="Compact"/>
                    <w:jc w:val="left"/>
                    <w:jc w:val="center"/>
                  </w:pPr>
                  <w:r>
                    <w:t xml:space="preserve">50% sig, med p=0.049</w:t>
                  </w:r>
                </w:p>
              </w:tc>
              <w:tc>
                <w:tcPr/>
                <w:p>
                  <w:pPr>
                    <w:pStyle w:val="Compact"/>
                    <w:jc w:val="center"/>
                    <w:jc w:val="center"/>
                  </w:pPr>
                  <w:r>
                    <w:t xml:space="preserve">Brown &lt;2e-16 (Fisher &lt;2e-16)</w:t>
                  </w:r>
                </w:p>
              </w:tc>
            </w:tr>
            <w:tr>
              <w:tc>
                <w:tcPr/>
                <w:p>
                  <w:pPr>
                    <w:pStyle w:val="Compact"/>
                    <w:jc w:val="left"/>
                    <w:jc w:val="center"/>
                  </w:pPr>
                  <w:r>
                    <w:t xml:space="preserve">B-ii: Object-half holdout Jaccard (P2)</w:t>
                  </w:r>
                </w:p>
              </w:tc>
              <w:tc>
                <w:tcPr/>
                <w:p>
                  <w:pPr>
                    <w:pStyle w:val="Compact"/>
                    <w:jc w:val="left"/>
                    <w:jc w:val="center"/>
                  </w:pPr>
                  <w:r>
                    <w:t xml:space="preserve">0% sig, med p=0.119</w:t>
                  </w:r>
                </w:p>
              </w:tc>
              <w:tc>
                <w:tcPr/>
                <w:p>
                  <w:pPr>
                    <w:pStyle w:val="Compact"/>
                    <w:jc w:val="center"/>
                    <w:jc w:val="center"/>
                  </w:pPr>
                  <w:r>
                    <w:t xml:space="preserve">Brown 2.08e-10 (Fisher 6.58e-10)</w:t>
                  </w:r>
                </w:p>
              </w:tc>
            </w:tr>
            <w:tr>
              <w:tc>
                <w:tcPr/>
                <w:p>
                  <w:pPr>
                    <w:pStyle w:val="Compact"/>
                    <w:jc w:val="left"/>
                    <w:jc w:val="center"/>
                  </w:pPr>
                  <w:r>
                    <w:t xml:space="preserve">B-ii: Object-half holdout Simpson (P1)</w:t>
                  </w:r>
                </w:p>
              </w:tc>
              <w:tc>
                <w:tcPr/>
                <w:p>
                  <w:pPr>
                    <w:pStyle w:val="Compact"/>
                    <w:jc w:val="left"/>
                    <w:jc w:val="center"/>
                  </w:pPr>
                  <w:r>
                    <w:t xml:space="preserve">0% sig, med p=0.97</w:t>
                  </w:r>
                </w:p>
              </w:tc>
              <w:tc>
                <w:tcPr/>
                <w:p>
                  <w:pPr>
                    <w:pStyle w:val="Compact"/>
                    <w:jc w:val="center"/>
                    <w:jc w:val="center"/>
                  </w:pPr>
                  <w:r>
                    <w:t xml:space="preserve">Brown 1</w:t>
                  </w:r>
                </w:p>
              </w:tc>
            </w:tr>
            <w:tr>
              <w:tc>
                <w:tcPr/>
                <w:p>
                  <w:pPr>
                    <w:pStyle w:val="Compact"/>
                    <w:jc w:val="left"/>
                    <w:jc w:val="center"/>
                  </w:pPr>
                  <w:r>
                    <w:t xml:space="preserve">B-ii: Object-half holdout Simpson (P2)</w:t>
                  </w:r>
                </w:p>
              </w:tc>
              <w:tc>
                <w:tcPr/>
                <w:p>
                  <w:pPr>
                    <w:pStyle w:val="Compact"/>
                    <w:jc w:val="left"/>
                    <w:jc w:val="center"/>
                  </w:pPr>
                  <w:r>
                    <w:t xml:space="preserve">0% sig, med p=0.9</w:t>
                  </w:r>
                </w:p>
              </w:tc>
              <w:tc>
                <w:tcPr/>
                <w:p>
                  <w:pPr>
                    <w:pStyle w:val="Compact"/>
                    <w:jc w:val="center"/>
                    <w:jc w:val="center"/>
                  </w:pPr>
                  <w:r>
                    <w:t xml:space="preserve">Brown 1</w:t>
                  </w:r>
                </w:p>
              </w:tc>
            </w:tr>
            <w:tr>
              <w:tc>
                <w:tcPr/>
                <w:p>
                  <w:pPr>
                    <w:pStyle w:val="Compact"/>
                    <w:jc w:val="left"/>
                    <w:jc w:val="center"/>
                  </w:pPr>
                  <w:r>
                    <w:t xml:space="preserve">C: Gradient log(nobjects) (P1)</w:t>
                  </w:r>
                </w:p>
              </w:tc>
              <w:tc>
                <w:tcPr/>
                <w:p>
                  <w:pPr>
                    <w:pStyle w:val="Compact"/>
                    <w:jc w:val="left"/>
                    <w:jc w:val="center"/>
                  </w:pPr>
                  <w:r>
                    <w:t xml:space="preserve">R2=0.187</w:t>
                  </w:r>
                </w:p>
              </w:tc>
              <w:tc>
                <w:tcPr/>
                <w:p>
                  <w:pPr>
                    <w:pStyle w:val="Compact"/>
                    <w:jc w:val="center"/>
                    <w:jc w:val="center"/>
                  </w:pPr>
                  <w:r>
                    <w:t xml:space="preserve">0.001</w:t>
                  </w:r>
                </w:p>
              </w:tc>
            </w:tr>
            <w:tr>
              <w:tc>
                <w:tcPr/>
                <w:p>
                  <w:pPr>
                    <w:pStyle w:val="Compact"/>
                    <w:jc w:val="left"/>
                    <w:jc w:val="center"/>
                  </w:pPr>
                  <w:r>
                    <w:t xml:space="preserve">C: Gradient log(nobjects) (P2)</w:t>
                  </w:r>
                </w:p>
              </w:tc>
              <w:tc>
                <w:tcPr/>
                <w:p>
                  <w:pPr>
                    <w:pStyle w:val="Compact"/>
                    <w:jc w:val="left"/>
                    <w:jc w:val="center"/>
                  </w:pPr>
                  <w:r>
                    <w:t xml:space="preserve">R2=0.128</w:t>
                  </w:r>
                </w:p>
              </w:tc>
              <w:tc>
                <w:tcPr/>
                <w:p>
                  <w:pPr>
                    <w:pStyle w:val="Compact"/>
                    <w:jc w:val="center"/>
                    <w:jc w:val="center"/>
                  </w:pPr>
                  <w:r>
                    <w:t xml:space="preserve">0.428</w:t>
                  </w:r>
                </w:p>
              </w:tc>
            </w:tr>
            <w:tr>
              <w:tc>
                <w:tcPr/>
                <w:p>
                  <w:pPr>
                    <w:pStyle w:val="Compact"/>
                    <w:jc w:val="left"/>
                    <w:jc w:val="center"/>
                  </w:pPr>
                  <w:r>
                    <w:t xml:space="preserve">C: Gradient richness (P1)</w:t>
                  </w:r>
                </w:p>
              </w:tc>
              <w:tc>
                <w:tcPr/>
                <w:p>
                  <w:pPr>
                    <w:pStyle w:val="Compact"/>
                    <w:jc w:val="left"/>
                    <w:jc w:val="center"/>
                  </w:pPr>
                  <w:r>
                    <w:t xml:space="preserve">R2=0.207</w:t>
                  </w:r>
                </w:p>
              </w:tc>
              <w:tc>
                <w:tcPr/>
                <w:p>
                  <w:pPr>
                    <w:pStyle w:val="Compact"/>
                    <w:jc w:val="center"/>
                    <w:jc w:val="center"/>
                  </w:pPr>
                  <w:r>
                    <w:t xml:space="preserve">0.001</w:t>
                  </w:r>
                </w:p>
              </w:tc>
            </w:tr>
            <w:tr>
              <w:tc>
                <w:tcPr/>
                <w:p>
                  <w:pPr>
                    <w:pStyle w:val="Compact"/>
                    <w:jc w:val="left"/>
                    <w:jc w:val="center"/>
                  </w:pPr>
                  <w:r>
                    <w:t xml:space="preserve">C: Gradient richness (P2)</w:t>
                  </w:r>
                </w:p>
              </w:tc>
              <w:tc>
                <w:tcPr/>
                <w:p>
                  <w:pPr>
                    <w:pStyle w:val="Compact"/>
                    <w:jc w:val="left"/>
                    <w:jc w:val="center"/>
                  </w:pPr>
                  <w:r>
                    <w:t xml:space="preserve">R2=0.272</w:t>
                  </w:r>
                </w:p>
              </w:tc>
              <w:tc>
                <w:tcPr/>
                <w:p>
                  <w:pPr>
                    <w:pStyle w:val="Compact"/>
                    <w:jc w:val="center"/>
                    <w:jc w:val="center"/>
                  </w:pPr>
                  <w:r>
                    <w:t xml:space="preserve">0.038</w:t>
                  </w:r>
                </w:p>
              </w:tc>
            </w:tr>
          </w:tbl>
          <w:p>
            <w:pPr>
              <w:jc w:val="center"/>
            </w:pPr>
            <w:pPr>
              <w:jc w:val="start"/>
              <w:spacing w:before="200"/>
              <w:pStyle w:val="ImageCaption"/>
            </w:pPr>
            <w:r>
              <w:t xml:space="preserve">Table 25: Circularity-breaking validation of the restricted/broad group difference. Method A re-derives the optimal two-group split from randomised data (Curveball null). Method B validates on withheld data: (B-i) site-level leave-one-out k-NN classification (label smoothness check, not independent validation; permutation p) and (B-ii) object-level holdout where groups are defined from one random half of each site’s objects and tested on the other half. B-ii reports median p, proportion significant, and Brown’s method for dependent p-values with Fisher p for reference; Jaccard and Simpson turnover versions are shown because the richness median split is tautological under Jaccard. Method C is group-free gradient PerMANOVA on predictors independent of the distance matrix (log object count, richness); PCoA-axis result is not used as validation. A significant B-ii Brown p indicates recoverability from independent objects.</w:t>
            </w:r>
          </w:p>
          <w:bookmarkEnd w:id="216"/>
        </w:tc>
      </w:tr>
    </w:tbl>
    <w:bookmarkStart w:id="217" w:name="interpretation-5"/>
    <w:p>
      <w:pPr>
        <w:pStyle w:val="Heading3"/>
      </w:pPr>
      <w:r>
        <w:t xml:space="preserve">Interpretation</w:t>
      </w:r>
    </w:p>
    <w:p>
      <w:pPr>
        <w:pStyle w:val="FirstParagraph"/>
      </w:pPr>
      <w:r>
        <w:t xml:space="preserve">The methods below answer one general question, whether the restricted/broad difference is a genuine pattern recoverable from data independent of how the groups were originally defined, through three specific questions, each answered by a different route.</w:t>
      </w:r>
    </w:p>
    <w:p>
      <w:pPr>
        <w:pStyle w:val="BodyText"/>
      </w:pPr>
      <w:r>
        <w:rPr>
          <w:bCs/>
          <w:b/>
        </w:rPr>
        <w:t xml:space="preserve">Question 1 (strategy A):</w:t>
      </w:r>
      <w:r>
        <w:t xml:space="preserve"> </w:t>
      </w:r>
      <w:r>
        <w:t xml:space="preserve">Is the observed two-group split</w:t>
      </w:r>
      <w:r>
        <w:t xml:space="preserve"> </w:t>
      </w:r>
      <w:r>
        <w:rPr>
          <w:iCs/>
          <w:i/>
        </w:rPr>
        <w:t xml:space="preserve">stronger</w:t>
      </w:r>
      <w:r>
        <w:t xml:space="preserve"> </w:t>
      </w:r>
      <w:r>
        <w:t xml:space="preserve">than the best split one would obtain by optimising on randomised data, that is, does the restricted/broad partition survive a null that accounts for the fact that the grouping was itself optimised to maximise separation? Method A re-derives the optimal split by ordering sites on sign-repertoire richness, the same principle underlying the manual restricted/broad distinction, and compares the observed optimum against the null distribution of optima from randomised data. We implement a fixed-fixed (Curveball) null that preserves both site richness and sign-type frequencies while destroying compositional structure.</w:t>
      </w:r>
    </w:p>
    <w:p>
      <w:pPr>
        <w:pStyle w:val="BodyText"/>
      </w:pPr>
      <w:r>
        <w:rPr>
          <w:iCs/>
          <w:i/>
        </w:rPr>
        <w:t xml:space="preserve">Answer:</w:t>
      </w:r>
      <w:r>
        <w:t xml:space="preserve"> </w:t>
      </w:r>
      <w:r>
        <w:rPr>
          <w:bCs/>
          <w:b/>
        </w:rPr>
        <w:t xml:space="preserve">Under the fixed-fixed (Curveball) null, the observed optimal split is not significant in either phase</w:t>
      </w:r>
      <w:r>
        <w:t xml:space="preserve"> </w:t>
      </w:r>
      <w:r>
        <w:t xml:space="preserve">(Aur-P1 observed optimal pseudo-F = 5.25, permutation p = 0.106; Aur-P2 observed optimal pseudo-F = 2.2, permutation p = 0.984). This means the restricted/broad partition does not produce a two-group separation stronger than expected under a null that preserves both site richness and sign-type frequencies. The non-significance under the fixed-fixed null indicates that the restricted/broad contrast is not a sharp discontinuous partition that survives the most stringent</w:t>
      </w:r>
      <w:r>
        <w:t xml:space="preserve"> </w:t>
      </w:r>
      <w:r>
        <w:t xml:space="preserve">“</w:t>
      </w:r>
      <w:r>
        <w:t xml:space="preserve">optimisation-accounted-for</w:t>
      </w:r>
      <w:r>
        <w:t xml:space="preserve">”</w:t>
      </w:r>
      <w:r>
        <w:t xml:space="preserve"> </w:t>
      </w:r>
      <w:r>
        <w:t xml:space="preserve">null; rather, it is a</w:t>
      </w:r>
      <w:r>
        <w:t xml:space="preserve"> </w:t>
      </w:r>
      <w:r>
        <w:rPr>
          <w:bCs/>
          <w:b/>
        </w:rPr>
        <w:t xml:space="preserve">recoverable gradient/axis of variation</w:t>
      </w:r>
      <w:r>
        <w:t xml:space="preserve"> </w:t>
      </w:r>
      <w:r>
        <w:t xml:space="preserve">whose strength is partly attributable to the marginal richness and frequency structure of the data. This is consistent with, not contradictory to, the conclusions from strategies B and C below, which independently show the contrast is recoverable from withheld data.</w:t>
      </w:r>
    </w:p>
    <w:p>
      <w:pPr>
        <w:pStyle w:val="BodyText"/>
      </w:pPr>
      <w:r>
        <w:rPr>
          <w:bCs/>
          <w:b/>
        </w:rPr>
        <w:t xml:space="preserve">Question 2 (strategy B):</w:t>
      </w:r>
      <w:r>
        <w:t xml:space="preserve"> </w:t>
      </w:r>
      <w:r>
        <w:t xml:space="preserve">Can the group assignment be recovered from data that did</w:t>
      </w:r>
      <w:r>
        <w:t xml:space="preserve"> </w:t>
      </w:r>
      <w:r>
        <w:rPr>
          <w:bCs/>
          <w:b/>
        </w:rPr>
        <w:t xml:space="preserve">not</w:t>
      </w:r>
      <w:r>
        <w:t xml:space="preserve"> </w:t>
      </w:r>
      <w:r>
        <w:t xml:space="preserve">contribute to defining it?</w:t>
      </w:r>
      <w:r>
        <w:t xml:space="preserve"> </w:t>
      </w:r>
      <w:r>
        <w:t xml:space="preserve">-</w:t>
      </w:r>
      <w:r>
        <w:t xml:space="preserve"> </w:t>
      </w:r>
      <w:r>
        <w:rPr>
          <w:iCs/>
          <w:i/>
        </w:rPr>
        <w:t xml:space="preserve">Site level (B-i) — label smoothness, not independent validation:</w:t>
      </w:r>
      <w:r>
        <w:t xml:space="preserve"> </w:t>
      </w:r>
      <w:r>
        <w:t xml:space="preserve">Can a held-out site’s label be predicted from other sites using the same Jaccard structure that produced the labels? This is expected to succeed when labels vary smoothly with composition; it does not demonstrate that a discrete partition exists independently of the distance matrix used to create it.</w:t>
      </w:r>
      <w:r>
        <w:t xml:space="preserve"> </w:t>
      </w:r>
      <w:r>
        <w:t xml:space="preserve">-</w:t>
      </w:r>
      <w:r>
        <w:t xml:space="preserve"> </w:t>
      </w:r>
      <w:r>
        <w:rPr>
          <w:iCs/>
          <w:i/>
        </w:rPr>
        <w:t xml:space="preserve">Answer:</w:t>
      </w:r>
      <w:r>
        <w:t xml:space="preserve"> </w:t>
      </w:r>
      <w:r>
        <w:t xml:space="preserve">Leave-one-site-out k=1 NN recovers the manual label for 100% of Aur-P1 sites (95% CI 0.83–1, permutation p = 0.001) and 89% of Aur-P2 sites (permutation p = 0.028). This shows the seriation-derived labels are smooth on the Jaccard graph. Because the graph and the labels were derived from the same matrix, we do not treat this as independent confirmation of a discrete partition; the appropriate independent test is B-ii, which uses disjoint objects.</w:t>
      </w:r>
      <w:r>
        <w:t xml:space="preserve"> </w:t>
      </w:r>
      <w:r>
        <w:t xml:space="preserve">-</w:t>
      </w:r>
      <w:r>
        <w:t xml:space="preserve"> </w:t>
      </w:r>
      <w:r>
        <w:rPr>
          <w:iCs/>
          <w:i/>
        </w:rPr>
        <w:t xml:space="preserve">Object level (B-ii) — independent validation on disjoint objects:</w:t>
      </w:r>
      <w:r>
        <w:t xml:space="preserve"> </w:t>
      </w:r>
      <w:r>
        <w:t xml:space="preserve">When the two-group rule is learned from one random half of each site’s objects and tested, by PerMANOVA, on the</w:t>
      </w:r>
      <w:r>
        <w:t xml:space="preserve"> </w:t>
      </w:r>
      <w:r>
        <w:rPr>
          <w:iCs/>
          <w:i/>
        </w:rPr>
        <w:t xml:space="preserve">other</w:t>
      </w:r>
      <w:r>
        <w:t xml:space="preserve"> </w:t>
      </w:r>
      <w:r>
        <w:t xml:space="preserve">half, is the held-out contrast still significant? We report median p, proportion of splits with p &lt; 0.05, and Brown’s method for dependent p-values (Fisher p is shown only for reference). The richness median split is tautological under Jaccard, which separates rich from poor by construction, so Simpson turnover is shown alongside Jaccard.</w:t>
      </w:r>
      <w:r>
        <w:t xml:space="preserve"> </w:t>
      </w:r>
      <w:r>
        <w:t xml:space="preserve">-</w:t>
      </w:r>
      <w:r>
        <w:t xml:space="preserve"> </w:t>
      </w:r>
      <w:r>
        <w:rPr>
          <w:iCs/>
          <w:i/>
        </w:rPr>
        <w:t xml:space="preserve">Answer (Jaccard):</w:t>
      </w:r>
      <w:r>
        <w:t xml:space="preserve"> </w:t>
      </w:r>
      <w:r>
        <w:t xml:space="preserve">Aur-P1 median p = 0.049 with 50% of 100 splits significant; Brown p = &lt;2e-16 (Fisher p = &lt;2e-16). Aur-P2 median p = 0.119 with 0% significant; Brown p = 2.08e-10 (Fisher p = 6.58e-10). Both use 16 (Aur-P1) and 5 (Aur-P2) of the total sites with at least two objects; Aur-P2 individual splits have low power.</w:t>
      </w:r>
      <w:r>
        <w:t xml:space="preserve"> </w:t>
      </w:r>
      <w:r>
        <w:t xml:space="preserve">-</w:t>
      </w:r>
      <w:r>
        <w:t xml:space="preserve"> </w:t>
      </w:r>
      <w:r>
        <w:rPr>
          <w:iCs/>
          <w:i/>
        </w:rPr>
        <w:t xml:space="preserve">Answer (Simpson turnover, nestedness-robust):</w:t>
      </w:r>
      <w:r>
        <w:t xml:space="preserve"> </w:t>
      </w:r>
      <w:r>
        <w:t xml:space="preserve">Aur-P1 median p = 0.97 with 0% significant; Brown p = 1. Aur-P2 median p = 0.9 with 0% significant; Brown p = 1. The Simpson version asks whether compositional turnover, beyond richness nesting, survives the holdout; p-values are higher than Jaccard, as expected.</w:t>
      </w:r>
      <w:r>
        <w:t xml:space="preserve"> </w:t>
      </w:r>
      <w:r>
        <w:t xml:space="preserve">This shows whether the grouping, as defined by a richness rule, generalises to independent objects. The original PerMANOVA, using every object to both define and test the groups, could not establish this.</w:t>
      </w:r>
    </w:p>
    <w:p>
      <w:pPr>
        <w:pStyle w:val="BodyText"/>
      </w:pPr>
      <w:r>
        <w:rPr>
          <w:bCs/>
          <w:b/>
        </w:rPr>
        <w:t xml:space="preserve">Question 3 (strategy C):</w:t>
      </w:r>
      <w:r>
        <w:t xml:space="preserve"> </w:t>
      </w:r>
      <w:r>
        <w:t xml:space="preserve">If we abandon the discrete partition and ask whether sign composition varies continuously with predictors that are independent of the distance matrix, is that gradient significant? Regressing Jaccard dissimilarity on its own first PCoA axis is significant by construction and is not used as validation.</w:t>
      </w:r>
      <w:r>
        <w:t xml:space="preserve"> </w:t>
      </w:r>
      <w:r>
        <w:t xml:space="preserve">-</w:t>
      </w:r>
      <w:r>
        <w:t xml:space="preserve"> </w:t>
      </w:r>
      <w:r>
        <w:rPr>
          <w:iCs/>
          <w:i/>
        </w:rPr>
        <w:t xml:space="preserve">Answer:</w:t>
      </w:r>
      <w:r>
        <w:t xml:space="preserve"> </w:t>
      </w:r>
      <w:r>
        <w:t xml:space="preserve">For log object count: Aur-P1 R² = 0.187, p = 0.001; Aur-P2 R² = 0.128, p = 0.428. For richness: Aur-P1 R² = 0.207, p = 0.001; Aur-P2 R² = 0.272, p = 0.038. These tests use predictors (log(nobjects), richness) that are not derived from the Jaccard matrix, so a significant result indicates a compositional gradient linked to sampling effort or richness, not a tautology. The PCoA-axis version is shown only to illustrate its tautological nature.</w:t>
      </w:r>
    </w:p>
    <w:p>
      <w:pPr>
        <w:pStyle w:val="BodyText"/>
      </w:pPr>
      <w:r>
        <w:rPr>
          <w:bCs/>
          <w:b/>
        </w:rPr>
        <w:t xml:space="preserve">Summary.</w:t>
      </w:r>
      <w:r>
        <w:t xml:space="preserve"> </w:t>
      </w:r>
      <w:r>
        <w:t xml:space="preserve">Strategy B-ii (object-half holdout) provides the appropriate independent validation because it tests the grouping on disjoint objects and reports dependence-aware statistics (median p, proportion significant, Brown p) with Jaccard and Simpson turnover. Strategy B-i (LOOCV) shows the labels are smooth on the Jaccard graph but, because graph and labels share the same distance matrix, we do not treat it as independent confirmation of a discrete partition. Strategy C is valid only when the predictor is independent of the distance matrix; the PCoA-axis version is significant by construction. Strategy A, the most stringent richness-preserving null, is not significant and indicates the contrast is a gradient partly explained by marginal richness. Together these support presenting the main-text PerMANOVA as descriptive and the restricted/broad contrast as a recoverable gradient, strong for well-sampled sites and provisional for small ones.</w:t>
      </w:r>
      <w:r>
        <w:t xml:space="preserve"> </w:t>
      </w:r>
      <w:r>
        <w:t xml:space="preserve"># S7. Object-Type Sensitivity: Figurine Exclusion {#sec-s7}</w:t>
      </w:r>
    </w:p>
    <w:bookmarkEnd w:id="217"/>
    <w:bookmarkEnd w:id="218"/>
    <w:bookmarkStart w:id="219" w:name="s7.1-rationale"/>
    <w:p>
      <w:pPr>
        <w:pStyle w:val="Heading2"/>
      </w:pPr>
      <w:r>
        <w:t xml:space="preserve">S7.1 Rationale</w:t>
      </w:r>
    </w:p>
    <w:p>
      <w:pPr>
        <w:pStyle w:val="FirstParagraph"/>
      </w:pPr>
      <w:r>
        <w:t xml:space="preserve">[16]</w:t>
      </w:r>
      <w:r>
        <w:t xml:space="preserve"> </w:t>
      </w:r>
      <w:r>
        <w:t xml:space="preserve">demonstrate that ivory figurines in the Swabian Aurignacian carry sign sequences with higher information density than tools. If figurines encode different sign repertoires than other object types, their inclusion could bias site-level sign assemblages , particularly at Vogelherd, where 50 of the dataset’s 63 figurines are concentrated. This section tests whether the main-text network findings are robust to the exclusion of figurines, both globally and site-specifically.</w:t>
      </w:r>
    </w:p>
    <w:bookmarkEnd w:id="219"/>
    <w:bookmarkStart w:id="221" w:name="X558aa60e1a258171fb4fb8ecbd68200d2a7d022"/>
    <w:p>
      <w:pPr>
        <w:pStyle w:val="Heading2"/>
      </w:pPr>
      <w:r>
        <w:t xml:space="preserve">S7.2 Figurine Distribution in the Dataset</w:t>
      </w:r>
    </w:p>
    <w:tbl>
      <w:tblPr>
        <w:tblStyle w:val="Table"/>
        <w:tblW w:type="pct" w:w="5000"/>
        <w:tblLook w:firstRow="0" w:lastRow="0" w:firstColumn="0" w:lastColumn="0" w:noHBand="0" w:noVBand="0" w:val="0000"/>
        <w:jc w:val="start"/>
        <w:tblLayout w:type="fixed"/>
      </w:tblPr>
      <w:tblGrid>
        <w:gridCol w:w="7920"/>
      </w:tblGrid>
      <w:tr>
        <w:tc>
          <w:tcPr/>
          <w:bookmarkStart w:id="220" w:name="tbl-figurine-count"/>
          <w:tbl>
            <w:tblPr>
              <w:tblStyle w:val="Table"/>
              <w:tblW w:type="pct" w:w="5000"/>
              <w:tblLook w:firstRow="1" w:lastRow="0" w:firstColumn="0" w:lastColumn="0" w:noHBand="0" w:noVBand="0" w:val="0020"/>
              <w:jc w:val="start"/>
              <w:tblLayout w:type="fixed"/>
            </w:tblPr>
            <w:tblGrid>
              <w:gridCol w:w="518"/>
              <w:gridCol w:w="1406"/>
              <w:gridCol w:w="1332"/>
              <w:gridCol w:w="1702"/>
              <w:gridCol w:w="1184"/>
              <w:gridCol w:w="1332"/>
              <w:gridCol w:w="44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figurine zoomorph</w:t>
                  </w:r>
                </w:p>
              </w:tc>
              <w:tc>
                <w:tcPr/>
                <w:p>
                  <w:pPr>
                    <w:pStyle w:val="Compact"/>
                    <w:jc w:val="right"/>
                    <w:jc w:val="center"/>
                  </w:pPr>
                  <w:r>
                    <w:t xml:space="preserve">figurine anthropomorph</w:t>
                  </w:r>
                </w:p>
              </w:tc>
              <w:tc>
                <w:tcPr/>
                <w:p>
                  <w:pPr>
                    <w:pStyle w:val="Compact"/>
                    <w:jc w:val="right"/>
                    <w:jc w:val="center"/>
                  </w:pPr>
                  <w:r>
                    <w:t xml:space="preserve">figurine undet.</w:t>
                  </w:r>
                </w:p>
              </w:tc>
              <w:tc>
                <w:tcPr/>
                <w:p>
                  <w:pPr>
                    <w:pStyle w:val="Compact"/>
                    <w:jc w:val="right"/>
                    <w:jc w:val="center"/>
                  </w:pPr>
                  <w:r>
                    <w:t xml:space="preserve">possible figurine</w:t>
                  </w:r>
                </w:p>
              </w:tc>
              <w:tc>
                <w:tcPr/>
                <w:p>
                  <w:pPr>
                    <w:pStyle w:val="Compact"/>
                    <w:jc w:val="right"/>
                    <w:jc w:val="center"/>
                  </w:pPr>
                  <w:r>
                    <w:t xml:space="preserve">Total</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19</w:t>
                  </w:r>
                </w:p>
              </w:tc>
              <w:tc>
                <w:tcPr/>
                <w:p>
                  <w:pPr>
                    <w:pStyle w:val="Compact"/>
                    <w:jc w:val="right"/>
                    <w:jc w:val="center"/>
                  </w:pPr>
                  <w:r>
                    <w:t xml:space="preserve">1</w:t>
                  </w:r>
                </w:p>
              </w:tc>
              <w:tc>
                <w:tcPr/>
                <w:p>
                  <w:pPr>
                    <w:pStyle w:val="Compact"/>
                    <w:jc w:val="right"/>
                    <w:jc w:val="center"/>
                  </w:pPr>
                  <w:r>
                    <w:t xml:space="preserve">8</w:t>
                  </w:r>
                </w:p>
              </w:tc>
              <w:tc>
                <w:tcPr/>
                <w:p>
                  <w:pPr>
                    <w:pStyle w:val="Compact"/>
                    <w:jc w:val="right"/>
                    <w:jc w:val="center"/>
                  </w:pPr>
                  <w:r>
                    <w:t xml:space="preserve">22</w:t>
                  </w:r>
                </w:p>
              </w:tc>
              <w:tc>
                <w:tcPr/>
                <w:p>
                  <w:pPr>
                    <w:pStyle w:val="Compact"/>
                    <w:jc w:val="right"/>
                    <w:jc w:val="center"/>
                  </w:pPr>
                  <w:r>
                    <w:t xml:space="preserve">50</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0</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w:t>
                  </w:r>
                </w:p>
              </w:tc>
            </w:tr>
          </w:tbl>
          <w:p>
            <w:pPr>
              <w:jc w:val="center"/>
            </w:pPr>
            <w:pPr>
              <w:jc w:val="start"/>
              <w:spacing w:before="200"/>
              <w:pStyle w:val="ImageCaption"/>
            </w:pPr>
            <w:r>
              <w:t xml:space="preserve">Table 26: Distribution of figurine objects across phases and sites. Figurine types include figurine zoomorph, figurine anthropomorph, figurine undet., and possible figurine.</w:t>
            </w:r>
          </w:p>
          <w:bookmarkEnd w:id="220"/>
        </w:tc>
      </w:tr>
    </w:tbl>
    <w:p>
      <w:pPr>
        <w:pStyle w:val="BodyText"/>
      </w:pPr>
      <w:hyperlink w:anchor="tbl-figurine-count">
        <w:r>
          <w:rPr>
            <w:rStyle w:val="Hyperlink"/>
          </w:rPr>
          <w:t xml:space="preserve">Table 26</w:t>
        </w:r>
      </w:hyperlink>
      <w:r>
        <w:t xml:space="preserve"> </w:t>
      </w:r>
      <w:r>
        <w:t xml:space="preserve">shows that figurines are heavily concentrated at Vogelherd (50 objects), with minor representation at Hohle Fels (4, 4), Geissenklösterle (3), Hohlenstein-Stadel (1), and La Ferrassie (1). Of these, 59 fall within Aur-P1 and the remaining 4 , all Hohle Fels objects from AH IV and Iid , fall within Aur-P2 under the layer-level assignment. The analysis therefore tests whether the Aur-P1 network structure , which reports the higher mean degree (7.5) , is driven by these 50 objects at a single site.</w:t>
      </w:r>
    </w:p>
    <w:bookmarkEnd w:id="221"/>
    <w:bookmarkStart w:id="226" w:name="s7.3-analysis-1-exclude-all-figurines"/>
    <w:p>
      <w:pPr>
        <w:pStyle w:val="Heading2"/>
      </w:pPr>
      <w:r>
        <w:t xml:space="preserve">S7.3 Analysis 1: Exclude All Figurines</w:t>
      </w:r>
    </w:p>
    <w:bookmarkStart w:id="224" w:name="method"/>
    <w:p>
      <w:pPr>
        <w:pStyle w:val="Heading3"/>
      </w:pPr>
      <w:r>
        <w:t xml:space="preserve">Method</w:t>
      </w:r>
    </w:p>
    <w:p>
      <w:pPr>
        <w:pStyle w:val="FirstParagraph"/>
      </w:pPr>
      <w:r>
        <w:t xml:space="preserve">We remove all objects where</w:t>
      </w:r>
      <w:r>
        <w:t xml:space="preserve"> </w:t>
      </w:r>
      <w:r>
        <w:rPr>
          <w:rStyle w:val="VerbatimChar"/>
        </w:rPr>
        <w:t xml:space="preserve">object_type</w:t>
      </w:r>
      <w:r>
        <w:t xml:space="preserve"> </w:t>
      </w:r>
      <w:r>
        <w:t xml:space="preserve">contains</w:t>
      </w:r>
      <w:r>
        <w:t xml:space="preserve"> </w:t>
      </w:r>
      <w:r>
        <w:t xml:space="preserve">“</w:t>
      </w:r>
      <w:r>
        <w:t xml:space="preserve">figurine</w:t>
      </w:r>
      <w:r>
        <w:t xml:space="preserve">”</w:t>
      </w:r>
      <w:r>
        <w:t xml:space="preserve"> </w:t>
      </w:r>
      <w:r>
        <w:t xml:space="preserve">(63 objects total: 25 zoomorph, 10 undetermined, 5 anthropomorph, 23 possible figurine) from the full cleaned dataset, recompute site-level sign matrices by summing remaining objects per site, and rebuild networks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222" w:name="tbl-exclude-figurines"/>
          <w:tbl>
            <w:tblPr>
              <w:tblStyle w:val="Table"/>
              <w:tblW w:type="pct" w:w="5000"/>
              <w:tblLook w:firstRow="1" w:lastRow="0" w:firstColumn="0" w:lastColumn="0" w:noHBand="0" w:noVBand="0" w:val="0020"/>
              <w:jc w:val="start"/>
              <w:tblLayout w:type="fixed"/>
            </w:tblPr>
            <w:tblGrid>
              <w:gridCol w:w="602"/>
              <w:gridCol w:w="516"/>
              <w:gridCol w:w="602"/>
              <w:gridCol w:w="774"/>
              <w:gridCol w:w="1119"/>
              <w:gridCol w:w="1205"/>
              <w:gridCol w:w="1033"/>
              <w:gridCol w:w="2066"/>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Baseline (all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Baseline (all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Exclude all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Exclude all figurines</w:t>
                  </w:r>
                </w:p>
              </w:tc>
            </w:tr>
          </w:tbl>
          <w:p>
            <w:pPr>
              <w:jc w:val="center"/>
            </w:pPr>
            <w:pPr>
              <w:jc w:val="start"/>
              <w:spacing w:before="200"/>
              <w:pStyle w:val="ImageCaption"/>
            </w:pPr>
            <w:r>
              <w:t xml:space="preserve">Table 27: Network statistics before and after excluding all figurine objects (figurine zoomorph, figurine anthropomorph, figurine undet., and possible figurine). Threshold = 0.2, Jaccard similarity.</w:t>
            </w:r>
          </w:p>
          <w:bookmarkEnd w:id="222"/>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23" w:name="tbl-figurine-sites-lost"/>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Sites (all)</w:t>
                  </w:r>
                </w:p>
              </w:tc>
              <w:tc>
                <w:tcPr/>
                <w:p>
                  <w:pPr>
                    <w:pStyle w:val="Compact"/>
                    <w:jc w:val="right"/>
                    <w:jc w:val="center"/>
                  </w:pPr>
                  <w:r>
                    <w:t xml:space="preserve">Sites (no figurines)</w:t>
                  </w:r>
                </w:p>
              </w:tc>
              <w:tc>
                <w:tcPr/>
                <w:p>
                  <w:pPr>
                    <w:pStyle w:val="Compact"/>
                    <w:jc w:val="right"/>
                    <w:jc w:val="center"/>
                  </w:pPr>
                  <w:r>
                    <w:t xml:space="preserve">Sites lost</w:t>
                  </w:r>
                </w:p>
              </w:tc>
            </w:tr>
            <w:tr>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20</w:t>
                  </w:r>
                </w:p>
              </w:tc>
              <w:tc>
                <w:tcPr/>
                <w:p>
                  <w:pPr>
                    <w:pStyle w:val="Compact"/>
                    <w:jc w:val="right"/>
                    <w:jc w:val="center"/>
                  </w:pPr>
                  <w:r>
                    <w:t xml:space="preserve">0</w:t>
                  </w:r>
                </w:p>
              </w:tc>
            </w:tr>
            <w:tr>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9</w:t>
                  </w:r>
                </w:p>
              </w:tc>
              <w:tc>
                <w:tcPr/>
                <w:p>
                  <w:pPr>
                    <w:pStyle w:val="Compact"/>
                    <w:jc w:val="right"/>
                    <w:jc w:val="center"/>
                  </w:pPr>
                  <w:r>
                    <w:t xml:space="preserve">0</w:t>
                  </w:r>
                </w:p>
              </w:tc>
            </w:tr>
          </w:tbl>
          <w:p>
            <w:pPr>
              <w:jc w:val="center"/>
            </w:pPr>
            <w:pPr>
              <w:jc w:val="start"/>
              <w:spacing w:before="200"/>
              <w:pStyle w:val="ImageCaption"/>
            </w:pPr>
            <w:r>
              <w:t xml:space="preserve">Table 28: Number of sites per phase before and after figurine exclusion. Sites are lost when all objects at that site are figurines.</w:t>
            </w:r>
          </w:p>
          <w:bookmarkEnd w:id="223"/>
        </w:tc>
      </w:tr>
    </w:tbl>
    <w:bookmarkEnd w:id="224"/>
    <w:bookmarkStart w:id="225" w:name="interpretation-6"/>
    <w:p>
      <w:pPr>
        <w:pStyle w:val="Heading3"/>
      </w:pPr>
      <w:r>
        <w:t xml:space="preserve">Interpretation</w:t>
      </w:r>
    </w:p>
    <w:p>
      <w:pPr>
        <w:pStyle w:val="FirstParagraph"/>
      </w:pPr>
      <w:r>
        <w:t xml:space="preserve">Excluding all 63 figurines has only a small effect on the Aur-P1 network: one edge is lost (75 → 74) and mean degree falls from 7.5 to 7.4, with no sites lost (all 20 sites retained). Aur-P2 is unchanged (mean degree 4.22, 19 edges, 9 sites): the 4 Hohle Fels figurines removed from it do not alter the site’s sign repertoire, so its network is unaffected. The detectable Aur-P1 effects are declines in transitivity (0.711 → 0.683) and modularity (0.336 → 0.318), indicating that figurines contribute modestly to community cohesion but do not create the communities themselves.</w:t>
      </w:r>
    </w:p>
    <w:p>
      <w:pPr>
        <w:pStyle w:val="BodyText"/>
      </w:pPr>
      <w:r>
        <w:t xml:space="preserve">Critically, Aur-P1 retains the higher mean degree (7.4) under figurine exclusion, preserving the main-text ordering Aur-P1 &gt; Aur-P2 (7.4 &gt; 4.22). The Aur-P1 network remains the more connected regardless of figurine inclusion, confirming that its structure is not contingent on figurine-bearing sign assemblages at Vogelherd.</w:t>
      </w:r>
    </w:p>
    <w:bookmarkEnd w:id="225"/>
    <w:bookmarkEnd w:id="226"/>
    <w:bookmarkStart w:id="231" w:name="X7549e60451b9f7bbee640100d361a0cf771ac62"/>
    <w:p>
      <w:pPr>
        <w:pStyle w:val="Heading2"/>
      </w:pPr>
      <w:r>
        <w:t xml:space="preserve">S7.4 Analysis 2: Exclude Vogelherd Figurines Only</w:t>
      </w:r>
    </w:p>
    <w:bookmarkStart w:id="229" w:name="method-1"/>
    <w:p>
      <w:pPr>
        <w:pStyle w:val="Heading3"/>
      </w:pPr>
      <w:r>
        <w:t xml:space="preserve">Method</w:t>
      </w:r>
    </w:p>
    <w:p>
      <w:pPr>
        <w:pStyle w:val="FirstParagraph"/>
      </w:pPr>
      <w:r>
        <w:t xml:space="preserve">Rather than removing all figurines globally, this analysis removes only the 50 figurines from Vogelherd , the site where figurines are most concentrated , while retaining figurines at other sites. This tests whether the Aur-P1 network structure is driven by a single outlier assemblage.</w:t>
      </w:r>
    </w:p>
    <w:tbl>
      <w:tblPr>
        <w:tblStyle w:val="Table"/>
        <w:tblW w:type="pct" w:w="5000"/>
        <w:tblLook w:firstRow="0" w:lastRow="0" w:firstColumn="0" w:lastColumn="0" w:noHBand="0" w:noVBand="0" w:val="0000"/>
        <w:jc w:val="start"/>
        <w:tblLayout w:type="fixed"/>
      </w:tblPr>
      <w:tblGrid>
        <w:gridCol w:w="7920"/>
      </w:tblGrid>
      <w:tr>
        <w:tc>
          <w:tcPr/>
          <w:bookmarkStart w:id="227" w:name="tbl-vogelherd-exclude"/>
          <w:tbl>
            <w:tblPr>
              <w:tblStyle w:val="Table"/>
              <w:tblW w:type="pct" w:w="5000"/>
              <w:tblLook w:firstRow="1" w:lastRow="0" w:firstColumn="0" w:lastColumn="0" w:noHBand="0" w:noVBand="0" w:val="0020"/>
              <w:jc w:val="start"/>
              <w:tblLayout w:type="fixed"/>
            </w:tblPr>
            <w:tblGrid>
              <w:gridCol w:w="571"/>
              <w:gridCol w:w="489"/>
              <w:gridCol w:w="571"/>
              <w:gridCol w:w="734"/>
              <w:gridCol w:w="1061"/>
              <w:gridCol w:w="1143"/>
              <w:gridCol w:w="979"/>
              <w:gridCol w:w="2367"/>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Baseline (all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Baseline (all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Exclude Vogelherd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Exclude Vogelherd figurines</w:t>
                  </w:r>
                </w:p>
              </w:tc>
            </w:tr>
          </w:tbl>
          <w:p>
            <w:pPr>
              <w:jc w:val="center"/>
            </w:pPr>
            <w:pPr>
              <w:jc w:val="start"/>
              <w:spacing w:before="200"/>
              <w:pStyle w:val="ImageCaption"/>
            </w:pPr>
            <w:r>
              <w:t xml:space="preserve">Table 29: Network statistics before and after excluding figurines from Vogelherd only. All other figurines (Hohle Fels, Geissenklösterle, Hohlenstein-Stadel, La Ferrassie) are retained. Threshold = 0.2, Jaccard similarity.</w:t>
            </w:r>
          </w:p>
          <w:bookmarkEnd w:id="227"/>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28" w:name="tbl-vogelherd-objects"/>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Objects (all)</w:t>
                  </w:r>
                </w:p>
              </w:tc>
              <w:tc>
                <w:tcPr/>
                <w:p>
                  <w:pPr>
                    <w:pStyle w:val="Compact"/>
                    <w:jc w:val="right"/>
                    <w:jc w:val="center"/>
                  </w:pPr>
                  <w:r>
                    <w:t xml:space="preserve">Objects (no figurines)</w:t>
                  </w:r>
                </w:p>
              </w:tc>
              <w:tc>
                <w:tcPr/>
                <w:p>
                  <w:pPr>
                    <w:pStyle w:val="Compact"/>
                    <w:jc w:val="right"/>
                    <w:jc w:val="center"/>
                  </w:pPr>
                  <w:r>
                    <w:t xml:space="preserve">Removed</w:t>
                  </w:r>
                </w:p>
              </w:tc>
            </w:tr>
            <w:tr>
              <w:tc>
                <w:tcPr/>
                <w:p>
                  <w:pPr>
                    <w:pStyle w:val="Compact"/>
                    <w:jc w:val="left"/>
                    <w:jc w:val="center"/>
                  </w:pPr>
                  <w:r>
                    <w:t xml:space="preserve">Aur-P1</w:t>
                  </w:r>
                </w:p>
              </w:tc>
              <w:tc>
                <w:tcPr/>
                <w:p>
                  <w:pPr>
                    <w:pStyle w:val="Compact"/>
                    <w:jc w:val="right"/>
                    <w:jc w:val="center"/>
                  </w:pPr>
                  <w:r>
                    <w:t xml:space="preserve">173</w:t>
                  </w:r>
                </w:p>
              </w:tc>
              <w:tc>
                <w:tcPr/>
                <w:p>
                  <w:pPr>
                    <w:pStyle w:val="Compact"/>
                    <w:jc w:val="right"/>
                    <w:jc w:val="center"/>
                  </w:pPr>
                  <w:r>
                    <w:t xml:space="preserve">123</w:t>
                  </w:r>
                </w:p>
              </w:tc>
              <w:tc>
                <w:tcPr/>
                <w:p>
                  <w:pPr>
                    <w:pStyle w:val="Compact"/>
                    <w:jc w:val="right"/>
                    <w:jc w:val="center"/>
                  </w:pPr>
                  <w:r>
                    <w:t xml:space="preserve">50</w:t>
                  </w:r>
                </w:p>
              </w:tc>
            </w:tr>
          </w:tbl>
          <w:p>
            <w:pPr>
              <w:jc w:val="center"/>
            </w:pPr>
            <w:pPr>
              <w:jc w:val="start"/>
              <w:spacing w:before="200"/>
              <w:pStyle w:val="ImageCaption"/>
            </w:pPr>
            <w:r>
              <w:t xml:space="preserve">Table 30: Vogelherd object counts before and after removing figurines. Non-figurine objects at Vogelherd (tools, plaquettes, etc.) are retained.</w:t>
            </w:r>
          </w:p>
          <w:bookmarkEnd w:id="228"/>
        </w:tc>
      </w:tr>
    </w:tbl>
    <w:bookmarkEnd w:id="229"/>
    <w:bookmarkStart w:id="230" w:name="interpretation-7"/>
    <w:p>
      <w:pPr>
        <w:pStyle w:val="Heading3"/>
      </w:pPr>
      <w:r>
        <w:t xml:space="preserve">Interpretation</w:t>
      </w:r>
    </w:p>
    <w:p>
      <w:pPr>
        <w:pStyle w:val="FirstParagraph"/>
      </w:pPr>
      <w:r>
        <w:t xml:space="preserve">Removing only Vogelherd’s figurines (50 objects: 173 → 123 in Aur-P1) has a negligible effect on Aur-P1: mean degree drops from 7.5 to 7.4 (-1.3%), one edge is lost (75 → 74), and modularity decreases from 0.336 to 0.333. Aur-P2 shows no change whatsoever (mean degree 4.22 → 4.22, modularity 0.161 → 0.161), confirming that Vogelherd figurines do not contribute to network structure in the later phase.</w:t>
      </w:r>
    </w:p>
    <w:p>
      <w:pPr>
        <w:pStyle w:val="BodyText"/>
      </w:pPr>
      <w:r>
        <w:t xml:space="preserve">The effect of removing Vogelherd figurines alone (-1.3% in Aur-P1) is the same as removing all 63 figurines globally (-1.3%), and in both cases the network is essentially unchanged. The figurine effect therefore does not scale with the number of figurines removed; figurines at Hohle Fels (4, 4), Geissenklösterle (3), Hohlenstein-Stadel (1), and La Ferrassie (1) do not alter the network structure , including the 4 Hohle Fels figurines assigned to Aur-P2, which leave that phase’s network unchanged , and Vogelherd’s connectivity within Aur-P1 is carried by its 123 non-figurine objects.</w:t>
      </w:r>
    </w:p>
    <w:bookmarkEnd w:id="230"/>
    <w:bookmarkEnd w:id="231"/>
    <w:bookmarkStart w:id="233" w:name="s7.5-joint-comparison"/>
    <w:p>
      <w:pPr>
        <w:pStyle w:val="Heading2"/>
      </w:pPr>
      <w:r>
        <w:t xml:space="preserve">S7.5 Joint Comparison</w:t>
      </w:r>
    </w:p>
    <w:tbl>
      <w:tblPr>
        <w:tblStyle w:val="Table"/>
        <w:tblW w:type="pct" w:w="5000"/>
        <w:tblLook w:firstRow="0" w:lastRow="0" w:firstColumn="0" w:lastColumn="0" w:noHBand="0" w:noVBand="0" w:val="0000"/>
        <w:jc w:val="start"/>
        <w:tblLayout w:type="fixed"/>
      </w:tblPr>
      <w:tblGrid>
        <w:gridCol w:w="7920"/>
      </w:tblGrid>
      <w:tr>
        <w:tc>
          <w:tcPr/>
          <w:bookmarkStart w:id="232" w:name="tbl-objtype-joint"/>
          <w:tbl>
            <w:tblPr>
              <w:tblStyle w:val="Table"/>
              <w:tblW w:type="pct" w:w="5000"/>
              <w:tblLook w:firstRow="1" w:lastRow="0" w:firstColumn="0" w:lastColumn="0" w:noHBand="0" w:noVBand="0" w:val="0020"/>
              <w:jc w:val="start"/>
              <w:tblLayout w:type="fixed"/>
            </w:tblPr>
            <w:tblGrid>
              <w:gridCol w:w="523"/>
              <w:gridCol w:w="2092"/>
              <w:gridCol w:w="448"/>
              <w:gridCol w:w="523"/>
              <w:gridCol w:w="971"/>
              <w:gridCol w:w="1046"/>
              <w:gridCol w:w="896"/>
              <w:gridCol w:w="1419"/>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Δ mean degree (%)</w:t>
                  </w:r>
                </w:p>
              </w:tc>
            </w:tr>
            <w:tr>
              <w:tc>
                <w:tcPr/>
                <w:p>
                  <w:pPr>
                    <w:pStyle w:val="Compact"/>
                    <w:jc w:val="left"/>
                    <w:jc w:val="center"/>
                  </w:pPr>
                  <w:r>
                    <w:t xml:space="preserve">Aur-P1</w:t>
                  </w:r>
                </w:p>
              </w:tc>
              <w:tc>
                <w:tcPr/>
                <w:p>
                  <w:pPr>
                    <w:pStyle w:val="Compact"/>
                    <w:jc w:val="left"/>
                    <w:jc w:val="center"/>
                  </w:pPr>
                  <w:r>
                    <w:t xml:space="preserve">Baseline (all objects)</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0.0</w:t>
                  </w:r>
                </w:p>
              </w:tc>
            </w:tr>
            <w:tr>
              <w:tc>
                <w:tcPr/>
                <w:p>
                  <w:pPr>
                    <w:pStyle w:val="Compact"/>
                    <w:jc w:val="left"/>
                    <w:jc w:val="center"/>
                  </w:pPr>
                  <w:r>
                    <w:t xml:space="preserve">Aur-P2</w:t>
                  </w:r>
                </w:p>
              </w:tc>
              <w:tc>
                <w:tcPr/>
                <w:p>
                  <w:pPr>
                    <w:pStyle w:val="Compact"/>
                    <w:jc w:val="left"/>
                    <w:jc w:val="center"/>
                  </w:pPr>
                  <w:r>
                    <w:t xml:space="preserve">Baseline (all objects)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all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all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Vogelherd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Vogelherd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bl>
          <w:p>
            <w:pPr>
              <w:jc w:val="center"/>
            </w:pPr>
            <w:pPr>
              <w:jc w:val="start"/>
              <w:spacing w:before="200"/>
              <w:pStyle w:val="ImageCaption"/>
            </w:pPr>
            <w:r>
              <w:t xml:space="preserve">Table 31: Side-by-side comparison of network statistics across all conditions: baseline (all objects), exclude all figurines, and exclude Vogelherd figurines only. The rightmost columns show the percentage change in mean degree from baseline.</w:t>
            </w:r>
          </w:p>
          <w:bookmarkEnd w:id="232"/>
        </w:tc>
      </w:tr>
    </w:tbl>
    <w:bookmarkEnd w:id="233"/>
    <w:bookmarkStart w:id="235" w:name="s7.6-interpretation"/>
    <w:p>
      <w:pPr>
        <w:pStyle w:val="Heading2"/>
      </w:pPr>
      <w:r>
        <w:t xml:space="preserve">S7.6 Interpretation</w:t>
      </w:r>
    </w:p>
    <w:p>
      <w:pPr>
        <w:pStyle w:val="FirstParagraph"/>
      </w:pPr>
      <w:r>
        <w:t xml:space="preserve">The joint comparison in</w:t>
      </w:r>
      <w:r>
        <w:t xml:space="preserve"> </w:t>
      </w:r>
      <w:hyperlink w:anchor="tbl-objtype-joint">
        <w:r>
          <w:rPr>
            <w:rStyle w:val="Hyperlink"/>
          </w:rPr>
          <w:t xml:space="preserve">Table 31</w:t>
        </w:r>
      </w:hyperlink>
      <w:r>
        <w:t xml:space="preserve"> </w:t>
      </w:r>
      <w:r>
        <w:t xml:space="preserve">shows that figurine exclusion has a modest and phase-dependent effect on network structure:</w:t>
      </w:r>
    </w:p>
    <w:tbl>
      <w:tblPr>
        <w:tblStyle w:val="Table"/>
        <w:tblW w:type="pct" w:w="5000"/>
        <w:tblLook w:firstRow="0" w:lastRow="0" w:firstColumn="0" w:lastColumn="0" w:noHBand="0" w:noVBand="0" w:val="0000"/>
        <w:jc w:val="start"/>
        <w:tblLayout w:type="fixed"/>
      </w:tblPr>
      <w:tblGrid>
        <w:gridCol w:w="7920"/>
      </w:tblGrid>
      <w:tr>
        <w:tc>
          <w:tcPr/>
          <w:bookmarkStart w:id="234" w:name="tbl-s7-6-meandegree"/>
          <w:tbl>
            <w:tblPr>
              <w:tblStyle w:val="Table"/>
              <w:tblW w:type="pct" w:w="5000"/>
              <w:tblLook w:firstRow="1" w:lastRow="0" w:firstColumn="0" w:lastColumn="0" w:noHBand="0" w:noVBand="0" w:val="0020"/>
              <w:jc w:val="start"/>
              <w:tblLayout w:type="fixed"/>
            </w:tblPr>
            <w:tblGrid>
              <w:gridCol w:w="770"/>
              <w:gridCol w:w="2310"/>
              <w:gridCol w:w="1540"/>
              <w:gridCol w:w="770"/>
              <w:gridCol w:w="1760"/>
              <w:gridCol w:w="770"/>
            </w:tblGrid>
            <w:tr>
              <w:trPr>
                <w:tblHeader w:val="true"/>
              </w:trPr>
              <w:tc>
                <w:tcPr/>
                <w:p>
                  <w:pPr>
                    <w:pStyle w:val="Compact"/>
                    <w:jc w:val="left"/>
                    <w:jc w:val="center"/>
                  </w:pPr>
                  <w:r>
                    <w:t xml:space="preserve">Phase</w:t>
                  </w:r>
                </w:p>
              </w:tc>
              <w:tc>
                <w:tcPr/>
                <w:p>
                  <w:pPr>
                    <w:pStyle w:val="Compact"/>
                    <w:jc w:val="left"/>
                    <w:jc w:val="center"/>
                  </w:pPr>
                  <w:r>
                    <w:t xml:space="preserve">Baseline mean degree</w:t>
                  </w:r>
                </w:p>
              </w:tc>
              <w:tc>
                <w:tcPr/>
                <w:p>
                  <w:pPr>
                    <w:pStyle w:val="Compact"/>
                    <w:jc w:val="center"/>
                    <w:jc w:val="center"/>
                  </w:pPr>
                  <w:r>
                    <w:t xml:space="preserve">No figurines</w:t>
                  </w:r>
                </w:p>
              </w:tc>
              <w:tc>
                <w:tcPr/>
                <w:p>
                  <w:pPr>
                    <w:pStyle w:val="Compact"/>
                    <w:jc w:val="center"/>
                    <w:jc w:val="center"/>
                  </w:pPr>
                  <w:r>
                    <w:t xml:space="preserve">Δ</w:t>
                  </w:r>
                </w:p>
              </w:tc>
              <w:tc>
                <w:tcPr/>
                <w:p>
                  <w:pPr>
                    <w:pStyle w:val="Compact"/>
                    <w:jc w:val="center"/>
                    <w:jc w:val="center"/>
                  </w:pPr>
                  <w:r>
                    <w:t xml:space="preserve">Vogelherd only</w:t>
                  </w:r>
                </w:p>
              </w:tc>
              <w:tc>
                <w:tcPr/>
                <w:p>
                  <w:pPr>
                    <w:pStyle w:val="Compact"/>
                    <w:jc w:val="center"/>
                    <w:jc w:val="center"/>
                  </w:pPr>
                  <w:r>
                    <w:t xml:space="preserve">Δ</w:t>
                  </w:r>
                </w:p>
              </w:tc>
            </w:tr>
            <w:tr>
              <w:tc>
                <w:tcPr/>
                <w:p>
                  <w:pPr>
                    <w:pStyle w:val="Compact"/>
                    <w:jc w:val="left"/>
                    <w:jc w:val="center"/>
                  </w:pPr>
                  <w:r>
                    <w:t xml:space="preserve">Aur-P1</w:t>
                  </w:r>
                </w:p>
              </w:tc>
              <w:tc>
                <w:tcPr/>
                <w:p>
                  <w:pPr>
                    <w:pStyle w:val="Compact"/>
                    <w:jc w:val="left"/>
                    <w:jc w:val="center"/>
                  </w:pPr>
                  <w:r>
                    <w:t xml:space="preserve">7.50</w:t>
                  </w:r>
                </w:p>
              </w:tc>
              <w:tc>
                <w:tcPr/>
                <w:p>
                  <w:pPr>
                    <w:pStyle w:val="Compact"/>
                    <w:jc w:val="center"/>
                    <w:jc w:val="center"/>
                  </w:pPr>
                  <w:r>
                    <w:t xml:space="preserve">7.40</w:t>
                  </w:r>
                </w:p>
              </w:tc>
              <w:tc>
                <w:tcPr/>
                <w:p>
                  <w:pPr>
                    <w:pStyle w:val="Compact"/>
                    <w:jc w:val="center"/>
                    <w:jc w:val="center"/>
                  </w:pPr>
                  <w:r>
                    <w:t xml:space="preserve">-1.3%</w:t>
                  </w:r>
                </w:p>
              </w:tc>
              <w:tc>
                <w:tcPr/>
                <w:p>
                  <w:pPr>
                    <w:pStyle w:val="Compact"/>
                    <w:jc w:val="center"/>
                    <w:jc w:val="center"/>
                  </w:pPr>
                  <w:r>
                    <w:t xml:space="preserve">7.40</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4.22</w:t>
                  </w:r>
                </w:p>
              </w:tc>
              <w:tc>
                <w:tcPr/>
                <w:p>
                  <w:pPr>
                    <w:pStyle w:val="Compact"/>
                    <w:jc w:val="center"/>
                    <w:jc w:val="center"/>
                  </w:pPr>
                  <w:r>
                    <w:t xml:space="preserve">4.22</w:t>
                  </w:r>
                </w:p>
              </w:tc>
              <w:tc>
                <w:tcPr/>
                <w:p>
                  <w:pPr>
                    <w:pStyle w:val="Compact"/>
                    <w:jc w:val="center"/>
                    <w:jc w:val="center"/>
                  </w:pPr>
                  <w:r>
                    <w:t xml:space="preserve">0.0%</w:t>
                  </w:r>
                </w:p>
              </w:tc>
              <w:tc>
                <w:tcPr/>
                <w:p>
                  <w:pPr>
                    <w:pStyle w:val="Compact"/>
                    <w:jc w:val="center"/>
                    <w:jc w:val="center"/>
                  </w:pPr>
                  <w:r>
                    <w:t xml:space="preserve">4.22</w:t>
                  </w:r>
                </w:p>
              </w:tc>
              <w:tc>
                <w:tcPr/>
                <w:p>
                  <w:pPr>
                    <w:pStyle w:val="Compact"/>
                    <w:jc w:val="center"/>
                    <w:jc w:val="center"/>
                  </w:pPr>
                  <w:r>
                    <w:t xml:space="preserve">0.0%</w:t>
                  </w:r>
                </w:p>
              </w:tc>
            </w:tr>
          </w:tbl>
          <w:p>
            <w:pPr>
              <w:jc w:val="center"/>
            </w:pPr>
            <w:pPr>
              <w:jc w:val="start"/>
              <w:spacing w:before="200"/>
              <w:pStyle w:val="ImageCaption"/>
            </w:pPr>
            <w:r>
              <w:t xml:space="preserve">Table 32: Mean degree by figurine-exclusion condition, with percentage change from baseline. Reproduced directly from the joint comparison in</w:t>
            </w:r>
            <w:r>
              <w:t xml:space="preserve"> </w:t>
            </w:r>
            <w:hyperlink w:anchor="tbl-objtype-joint">
              <w:r>
                <w:rPr>
                  <w:rStyle w:val="Hyperlink"/>
                </w:rPr>
                <w:t xml:space="preserve">Table 31</w:t>
              </w:r>
            </w:hyperlink>
            <w:r>
              <w:t xml:space="preserve">.</w:t>
            </w:r>
          </w:p>
          <w:bookmarkEnd w:id="234"/>
        </w:tc>
      </w:tr>
    </w:tbl>
    <w:p>
      <w:pPr>
        <w:pStyle w:val="BodyText"/>
      </w:pPr>
      <w:r>
        <w:rPr>
          <w:bCs/>
          <w:b/>
        </w:rPr>
        <w:t xml:space="preserve">Outcome observed: Negligible effect, no qualitative change.</w:t>
      </w:r>
      <w:r>
        <w:t xml:space="preserve"> </w:t>
      </w:r>
      <w:r>
        <w:t xml:space="preserve">Mean degree changes are at most -1.3% across both phases and all conditions, and excluding all figurines removes a single edge from Aur-P1 (75 → 74, mean degree 7.5 → 7.4) while leaving Aur-P2’s edge set unchanged (19 edges, mean degree 4.22). Modularity decreases slightly for Aur-P1 when figurines are excluded (0.336 → 0.318 excluding all; 0.336 → 0.333 excluding Vogelherd only) while Aur-P2 is unchanged (0.161), indicating that figurines contribute marginally to within-group cohesion but do not create the community structure.</w:t>
      </w:r>
    </w:p>
    <w:p>
      <w:pPr>
        <w:pStyle w:val="BodyText"/>
      </w:pPr>
      <w:r>
        <w:rPr>
          <w:bCs/>
          <w:b/>
        </w:rPr>
        <w:t xml:space="preserve">Phase ordering is preserved.</w:t>
      </w:r>
      <w:r>
        <w:t xml:space="preserve"> </w:t>
      </w:r>
      <w:r>
        <w:t xml:space="preserve">The main-text connectivity contrast Aur-P1 &gt; Aur-P2 (7.5 &gt; 4.22) is unchanged under both exclusion scenarios (7.4 &gt; 4.22 excluding all figurines; 7.4 &gt; 4.22 excluding Vogelherd figurines only), preserving the key finding that the early phase is the more connected.</w:t>
      </w:r>
    </w:p>
    <w:p>
      <w:pPr>
        <w:pStyle w:val="BodyText"/>
      </w:pPr>
      <w:r>
        <w:rPr>
          <w:bCs/>
          <w:b/>
        </w:rPr>
        <w:t xml:space="preserve">The figurine effect is small and Vogelherd-specific.</w:t>
      </w:r>
      <w:r>
        <w:t xml:space="preserve"> </w:t>
      </w:r>
      <w:r>
        <w:t xml:space="preserve">Removing Vogelherd figurines alone (-1.3% in Aur-P1) produces the same effect as removing all 63 figurines globally (-1.3%). Figurines at Hohle Fels (4, 4), Geissenklösterle (3), Hohlenstein-Stadel (1), and La Ferrassie (1) do not alter network structure. This indicates that although Vogelherd’s figurine assemblage is unusually rich , 50 of 63 figurines , and contributes disproportionately to sign-type counts, its 123 remaining non-figurine objects still carry a sufficiently diverse sign repertoire to maintain network connectivity.</w:t>
      </w:r>
    </w:p>
    <w:p>
      <w:pPr>
        <w:pStyle w:val="BodyText"/>
      </w:pPr>
      <w:r>
        <w:rPr>
          <w:bCs/>
          <w:b/>
        </w:rPr>
        <w:t xml:space="preserve">Conclusion.</w:t>
      </w:r>
      <w:r>
        <w:t xml:space="preserve"> </w:t>
      </w:r>
      <w:r>
        <w:t xml:space="preserve">The main-text findings are robust to figurine exclusion. The Aur-P1 &gt; Aur-P2 connectivity contrast, the two-group community structure, and the site membership of both phases are all preserved when figurines are removed. The concentration of figurines at Vogelherd does not bias the seriation or network results, and the broader-range group’s connectivity within Aur-P1 is supported by non-figurine sign types. We note that modularity decreases slightly when figurines are excluded (Aur-P1: 0.336 → 0.318), suggesting that figurines contribute modestly to community cohesion , consistent with</w:t>
      </w:r>
      <w:r>
        <w:t xml:space="preserve"> </w:t>
      </w:r>
      <w:r>
        <w:t xml:space="preserve">[16]</w:t>
      </w:r>
      <w:r>
        <w:t xml:space="preserve"> </w:t>
      </w:r>
      <w:r>
        <w:t xml:space="preserve">argument that figurines carry high-information sign sequences, but the communities themselves are defined by shared sign types across all object types.</w:t>
      </w:r>
    </w:p>
    <w:bookmarkEnd w:id="235"/>
    <w:bookmarkEnd w:id="236"/>
    <w:bookmarkStart w:id="244" w:name="sec-s8"/>
    <w:p>
      <w:pPr>
        <w:pStyle w:val="Heading1"/>
      </w:pPr>
      <w:r>
        <w:t xml:space="preserve">S8. Site Reclassification Sensitivity Analysis</w:t>
      </w:r>
    </w:p>
    <w:bookmarkStart w:id="237" w:name="s8.1-rationale"/>
    <w:p>
      <w:pPr>
        <w:pStyle w:val="Heading2"/>
      </w:pPr>
      <w:r>
        <w:t xml:space="preserve">S8.1 Rationale</w:t>
      </w:r>
    </w:p>
    <w:p>
      <w:pPr>
        <w:pStyle w:val="FirstParagraph"/>
      </w:pPr>
      <w:r>
        <w:t xml:space="preserve">The main analysis assigns each site to a phase (Aur-P1/Aur-P2) using specialist technological attributions from the published literature, supplemented by calibrated radiocarbon dates, as detailed in the</w:t>
      </w:r>
      <w:r>
        <w:t xml:space="preserve"> </w:t>
      </w:r>
      <w:r>
        <w:t xml:space="preserve">“</w:t>
      </w:r>
      <w:r>
        <w:t xml:space="preserve">Site Phase Assignments</w:t>
      </w:r>
      <w:r>
        <w:t xml:space="preserve">”</w:t>
      </w:r>
      <w:r>
        <w:t xml:space="preserve"> </w:t>
      </w:r>
      <w:r>
        <w:t xml:space="preserve">supplementary item. Recent specialist reassessments demonstrate that radiocarbon dates alone are insufficient for phase attribution, and that the archaeological content of layers should take precedence:</w:t>
      </w:r>
    </w:p>
    <w:p>
      <w:pPr>
        <w:numPr>
          <w:ilvl w:val="0"/>
          <w:numId w:val="1007"/>
        </w:numPr>
        <w:pStyle w:val="Compact"/>
      </w:pPr>
      <w:r>
        <w:rPr>
          <w:bCs/>
          <w:b/>
        </w:rPr>
        <w:t xml:space="preserve">Abri Pataud</w:t>
      </w:r>
      <w:r>
        <w:t xml:space="preserve">: The lithic technology in levels 14–9 (carinated scraper bladelet cores, dual reduction systems) is diagnostic of the Early Aurignacian (Aur-P1), not the Proto-Aurignacian, despite basal dates of ~41,200–39,500 cal BP that fall within the Proto-Aurignacian range</w:t>
      </w:r>
      <w:r>
        <w:t xml:space="preserve"> </w:t>
      </w:r>
      <w:r>
        <w:t xml:space="preserve">[17,18]</w:t>
      </w:r>
      <w:r>
        <w:t xml:space="preserve">. The site is classified as Aurignacian I (Early) in the Périgord sequence.</w:t>
      </w:r>
    </w:p>
    <w:p>
      <w:pPr>
        <w:numPr>
          <w:ilvl w:val="0"/>
          <w:numId w:val="1007"/>
        </w:numPr>
        <w:pStyle w:val="Compact"/>
      </w:pPr>
      <w:r>
        <w:rPr>
          <w:bCs/>
          <w:b/>
        </w:rPr>
        <w:t xml:space="preserve">La Ferrassie</w:t>
      </w:r>
      <w:r>
        <w:t xml:space="preserve">: The Aurignacian at La Ferrassie begins in Layer 7, directly overlying the Châtelperronian (Layer 6).</w:t>
      </w:r>
      <w:r>
        <w:t xml:space="preserve"> </w:t>
      </w:r>
      <w:r>
        <w:t xml:space="preserve">[19]</w:t>
      </w:r>
      <w:r>
        <w:t xml:space="preserve"> </w:t>
      </w:r>
      <w:r>
        <w:t xml:space="preserve">classify this as Early Aurignacian (Aur-P1) based on carinated scrapers and wide Aurignacian blades. No split-base bone points (Proto-Aurignacian diagnostic) were found</w:t>
      </w:r>
      <w:r>
        <w:t xml:space="preserve"> </w:t>
      </w:r>
      <w:r>
        <w:t xml:space="preserve">[19,20]</w:t>
      </w:r>
      <w:r>
        <w:t xml:space="preserve">. Layer 7b has mixed Early/Recent Aurignacian components.</w:t>
      </w:r>
    </w:p>
    <w:p>
      <w:pPr>
        <w:numPr>
          <w:ilvl w:val="0"/>
          <w:numId w:val="1007"/>
        </w:numPr>
        <w:pStyle w:val="Compact"/>
      </w:pPr>
      <w:r>
        <w:rPr>
          <w:bCs/>
          <w:b/>
        </w:rPr>
        <w:t xml:space="preserve">Mladeč</w:t>
      </w:r>
      <w:r>
        <w:t xml:space="preserve">: The ~20 lithic artifacts include only one carinated end scraper. The 40 bone points with massive bases (</w:t>
      </w:r>
      <w:r>
        <w:t xml:space="preserve">“</w:t>
      </w:r>
      <w:r>
        <w:t xml:space="preserve">Mladeč-type</w:t>
      </w:r>
      <w:r>
        <w:t xml:space="preserve">”</w:t>
      </w:r>
      <w:r>
        <w:t xml:space="preserve">) lack split bases and occur stratigraphically above split-based points at other Central European sites, placing them in the Evolved Aurignacian (Aur-P2)</w:t>
      </w:r>
      <w:r>
        <w:t xml:space="preserve"> </w:t>
      </w:r>
      <w:r>
        <w:t xml:space="preserve">[21]</w:t>
      </w:r>
      <w:r>
        <w:t xml:space="preserve">. Direct dates of ~31 ka ¹⁴C BP (~35–36 cal BP) are too young for Proto-Aurignacian</w:t>
      </w:r>
      <w:r>
        <w:t xml:space="preserve"> </w:t>
      </w:r>
      <w:r>
        <w:t xml:space="preserve">[22]</w:t>
      </w:r>
      <w:r>
        <w:t xml:space="preserve">.</w:t>
      </w:r>
    </w:p>
    <w:p>
      <w:pPr>
        <w:numPr>
          <w:ilvl w:val="0"/>
          <w:numId w:val="1007"/>
        </w:numPr>
        <w:pStyle w:val="Compact"/>
      </w:pPr>
      <w:r>
        <w:rPr>
          <w:bCs/>
          <w:b/>
        </w:rPr>
        <w:t xml:space="preserve">Vogelherd</w:t>
      </w:r>
      <w:r>
        <w:t xml:space="preserve">: Riek’s 1931 excavation removed 500 m³ in 12 weeks with no screening, using large horizontal spits that did not follow geological horizons. Documented mixing includes 38 refit connections between Aurignacian layers IV and V, Neolithic burials disturbing the southwestern area, and ~2–3% of tools in the Aurignacian layers potentially deriving from other periods</w:t>
      </w:r>
      <w:r>
        <w:t xml:space="preserve"> </w:t>
      </w:r>
      <w:r>
        <w:t xml:space="preserve">[23]</w:t>
      </w:r>
      <w:r>
        <w:t xml:space="preserve">.</w:t>
      </w:r>
    </w:p>
    <w:p>
      <w:pPr>
        <w:pStyle w:val="FirstParagraph"/>
      </w:pPr>
      <w:r>
        <w:t xml:space="preserve">Because these attributions are important for the two-phase framework, this section tests the sensitivity of the network results to (A) reverting to the purely date-based assignment used in earlier analyses , each object assigned to a phase by its calibrated date alone , and (B) excluding Vogelherd entirely, given its documented stratigraphic mixing.</w:t>
      </w:r>
    </w:p>
    <w:bookmarkEnd w:id="237"/>
    <w:bookmarkStart w:id="240" w:name="s8.2-results"/>
    <w:p>
      <w:pPr>
        <w:pStyle w:val="Heading2"/>
      </w:pPr>
      <w:r>
        <w:t xml:space="preserve">S8.2 Results</w:t>
      </w:r>
    </w:p>
    <w:tbl>
      <w:tblPr>
        <w:tblStyle w:val="Table"/>
        <w:tblW w:type="pct" w:w="5000"/>
        <w:tblLook w:firstRow="0" w:lastRow="0" w:firstColumn="0" w:lastColumn="0" w:noHBand="0" w:noVBand="0" w:val="0000"/>
        <w:jc w:val="start"/>
        <w:tblLayout w:type="fixed"/>
      </w:tblPr>
      <w:tblGrid>
        <w:gridCol w:w="7920"/>
      </w:tblGrid>
      <w:tr>
        <w:tc>
          <w:tcPr/>
          <w:bookmarkStart w:id="238" w:name="tbl-reclass-comparison"/>
          <w:tbl>
            <w:tblPr>
              <w:tblStyle w:val="Table"/>
              <w:tblW w:type="pct" w:w="5000"/>
              <w:tblLook w:firstRow="1" w:lastRow="0" w:firstColumn="0" w:lastColumn="0" w:noHBand="0" w:noVBand="0" w:val="0020"/>
              <w:jc w:val="start"/>
              <w:tblLayout w:type="fixed"/>
            </w:tblPr>
            <w:tblGrid>
              <w:gridCol w:w="577"/>
              <w:gridCol w:w="2310"/>
              <w:gridCol w:w="495"/>
              <w:gridCol w:w="577"/>
              <w:gridCol w:w="742"/>
              <w:gridCol w:w="1072"/>
              <w:gridCol w:w="1155"/>
              <w:gridCol w:w="990"/>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r>
            <w:tr>
              <w:tc>
                <w:tcPr/>
                <w:p>
                  <w:pPr>
                    <w:pStyle w:val="Compact"/>
                    <w:jc w:val="left"/>
                    <w:jc w:val="center"/>
                  </w:pPr>
                  <w:r>
                    <w:t xml:space="preserve">Aur-P1</w:t>
                  </w:r>
                </w:p>
              </w:tc>
              <w:tc>
                <w:tcPr/>
                <w:p>
                  <w:pPr>
                    <w:pStyle w:val="Compact"/>
                    <w:jc w:val="left"/>
                    <w:jc w:val="center"/>
                  </w:pPr>
                  <w:r>
                    <w:t xml:space="preserve">Baseline (technology-based)</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r>
            <w:tr>
              <w:tc>
                <w:tcPr/>
                <w:p>
                  <w:pPr>
                    <w:pStyle w:val="Compact"/>
                    <w:jc w:val="left"/>
                    <w:jc w:val="center"/>
                  </w:pPr>
                  <w:r>
                    <w:t xml:space="preserve">Aur-P2</w:t>
                  </w:r>
                </w:p>
              </w:tc>
              <w:tc>
                <w:tcPr/>
                <w:p>
                  <w:pPr>
                    <w:pStyle w:val="Compact"/>
                    <w:jc w:val="left"/>
                    <w:jc w:val="center"/>
                  </w:pPr>
                  <w:r>
                    <w:t xml:space="preserve">Baseline (technology-based)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r>
              <w:tc>
                <w:tcPr/>
                <w:p>
                  <w:pPr>
                    <w:pStyle w:val="Compact"/>
                    <w:jc w:val="left"/>
                    <w:jc w:val="center"/>
                  </w:pPr>
                  <w:r>
                    <w:t xml:space="preserve">Aur-P1</w:t>
                  </w:r>
                </w:p>
              </w:tc>
              <w:tc>
                <w:tcPr/>
                <w:p>
                  <w:pPr>
                    <w:pStyle w:val="Compact"/>
                    <w:jc w:val="left"/>
                    <w:jc w:val="center"/>
                  </w:pPr>
                  <w:r>
                    <w:t xml:space="preserve">Date-based</w:t>
                  </w:r>
                </w:p>
              </w:tc>
              <w:tc>
                <w:tcPr/>
                <w:p>
                  <w:pPr>
                    <w:pStyle w:val="Compact"/>
                    <w:jc w:val="left"/>
                    <w:jc w:val="center"/>
                  </w:pPr>
                  <w:r>
                    <w:t xml:space="preserve">20</w:t>
                  </w:r>
                </w:p>
              </w:tc>
              <w:tc>
                <w:tcPr/>
                <w:p>
                  <w:pPr>
                    <w:pStyle w:val="Compact"/>
                    <w:jc w:val="center"/>
                    <w:jc w:val="center"/>
                  </w:pPr>
                  <w:r>
                    <w:t xml:space="preserve">80</w:t>
                  </w:r>
                </w:p>
              </w:tc>
              <w:tc>
                <w:tcPr/>
                <w:p>
                  <w:pPr>
                    <w:pStyle w:val="Compact"/>
                    <w:jc w:val="center"/>
                    <w:jc w:val="center"/>
                  </w:pPr>
                  <w:r>
                    <w:t xml:space="preserve">0.421</w:t>
                  </w:r>
                </w:p>
              </w:tc>
              <w:tc>
                <w:tcPr/>
                <w:p>
                  <w:pPr>
                    <w:pStyle w:val="Compact"/>
                    <w:jc w:val="center"/>
                    <w:jc w:val="center"/>
                  </w:pPr>
                  <w:r>
                    <w:t xml:space="preserve">8.00</w:t>
                  </w:r>
                </w:p>
              </w:tc>
              <w:tc>
                <w:tcPr/>
                <w:p>
                  <w:pPr>
                    <w:pStyle w:val="Compact"/>
                    <w:jc w:val="center"/>
                    <w:jc w:val="center"/>
                  </w:pPr>
                  <w:r>
                    <w:t xml:space="preserve">0.735</w:t>
                  </w:r>
                </w:p>
              </w:tc>
              <w:tc>
                <w:tcPr/>
                <w:p>
                  <w:pPr>
                    <w:pStyle w:val="Compact"/>
                    <w:jc w:val="center"/>
                    <w:jc w:val="center"/>
                  </w:pPr>
                  <w:r>
                    <w:t xml:space="preserve">0.290</w:t>
                  </w:r>
                </w:p>
              </w:tc>
            </w:tr>
            <w:tr>
              <w:tc>
                <w:tcPr/>
                <w:p>
                  <w:pPr>
                    <w:pStyle w:val="Compact"/>
                    <w:jc w:val="left"/>
                    <w:jc w:val="center"/>
                  </w:pPr>
                  <w:r>
                    <w:t xml:space="preserve">Aur-P2</w:t>
                  </w:r>
                </w:p>
              </w:tc>
              <w:tc>
                <w:tcPr/>
                <w:p>
                  <w:pPr>
                    <w:pStyle w:val="Compact"/>
                    <w:jc w:val="left"/>
                    <w:jc w:val="center"/>
                  </w:pPr>
                  <w:r>
                    <w:t xml:space="preserve">Date-based</w:t>
                  </w:r>
                </w:p>
              </w:tc>
              <w:tc>
                <w:tcPr/>
                <w:p>
                  <w:pPr>
                    <w:pStyle w:val="Compact"/>
                    <w:jc w:val="left"/>
                    <w:jc w:val="center"/>
                  </w:pPr>
                  <w:r>
                    <w:t xml:space="preserve">10</w:t>
                  </w:r>
                </w:p>
              </w:tc>
              <w:tc>
                <w:tcPr/>
                <w:p>
                  <w:pPr>
                    <w:pStyle w:val="Compact"/>
                    <w:jc w:val="center"/>
                    <w:jc w:val="center"/>
                  </w:pPr>
                  <w:r>
                    <w:t xml:space="preserve">18</w:t>
                  </w:r>
                </w:p>
              </w:tc>
              <w:tc>
                <w:tcPr/>
                <w:p>
                  <w:pPr>
                    <w:pStyle w:val="Compact"/>
                    <w:jc w:val="center"/>
                    <w:jc w:val="center"/>
                  </w:pPr>
                  <w:r>
                    <w:t xml:space="preserve">0.400</w:t>
                  </w:r>
                </w:p>
              </w:tc>
              <w:tc>
                <w:tcPr/>
                <w:p>
                  <w:pPr>
                    <w:pStyle w:val="Compact"/>
                    <w:jc w:val="center"/>
                    <w:jc w:val="center"/>
                  </w:pPr>
                  <w:r>
                    <w:t xml:space="preserve">3.60</w:t>
                  </w:r>
                </w:p>
              </w:tc>
              <w:tc>
                <w:tcPr/>
                <w:p>
                  <w:pPr>
                    <w:pStyle w:val="Compact"/>
                    <w:jc w:val="center"/>
                    <w:jc w:val="center"/>
                  </w:pPr>
                  <w:r>
                    <w:t xml:space="preserve">0.500</w:t>
                  </w:r>
                </w:p>
              </w:tc>
              <w:tc>
                <w:tcPr/>
                <w:p>
                  <w:pPr>
                    <w:pStyle w:val="Compact"/>
                    <w:jc w:val="center"/>
                    <w:jc w:val="center"/>
                  </w:pPr>
                  <w:r>
                    <w:t xml:space="preserve">0.332</w:t>
                  </w:r>
                </w:p>
              </w:tc>
            </w:tr>
            <w:tr>
              <w:tc>
                <w:tcPr/>
                <w:p>
                  <w:pPr>
                    <w:pStyle w:val="Compact"/>
                    <w:jc w:val="left"/>
                    <w:jc w:val="center"/>
                  </w:pPr>
                  <w:r>
                    <w:t xml:space="preserve">Aur-P1</w:t>
                  </w:r>
                </w:p>
              </w:tc>
              <w:tc>
                <w:tcPr/>
                <w:p>
                  <w:pPr>
                    <w:pStyle w:val="Compact"/>
                    <w:jc w:val="left"/>
                    <w:jc w:val="center"/>
                  </w:pPr>
                  <w:r>
                    <w:t xml:space="preserve">Exclude Vogelherd</w:t>
                  </w:r>
                </w:p>
              </w:tc>
              <w:tc>
                <w:tcPr/>
                <w:p>
                  <w:pPr>
                    <w:pStyle w:val="Compact"/>
                    <w:jc w:val="left"/>
                    <w:jc w:val="center"/>
                  </w:pPr>
                  <w:r>
                    <w:t xml:space="preserve">19</w:t>
                  </w:r>
                </w:p>
              </w:tc>
              <w:tc>
                <w:tcPr/>
                <w:p>
                  <w:pPr>
                    <w:pStyle w:val="Compact"/>
                    <w:jc w:val="center"/>
                    <w:jc w:val="center"/>
                  </w:pPr>
                  <w:r>
                    <w:t xml:space="preserve">69</w:t>
                  </w:r>
                </w:p>
              </w:tc>
              <w:tc>
                <w:tcPr/>
                <w:p>
                  <w:pPr>
                    <w:pStyle w:val="Compact"/>
                    <w:jc w:val="center"/>
                    <w:jc w:val="center"/>
                  </w:pPr>
                  <w:r>
                    <w:t xml:space="preserve">0.404</w:t>
                  </w:r>
                </w:p>
              </w:tc>
              <w:tc>
                <w:tcPr/>
                <w:p>
                  <w:pPr>
                    <w:pStyle w:val="Compact"/>
                    <w:jc w:val="center"/>
                    <w:jc w:val="center"/>
                  </w:pPr>
                  <w:r>
                    <w:t xml:space="preserve">7.26</w:t>
                  </w:r>
                </w:p>
              </w:tc>
              <w:tc>
                <w:tcPr/>
                <w:p>
                  <w:pPr>
                    <w:pStyle w:val="Compact"/>
                    <w:jc w:val="center"/>
                    <w:jc w:val="center"/>
                  </w:pPr>
                  <w:r>
                    <w:t xml:space="preserve">0.712</w:t>
                  </w:r>
                </w:p>
              </w:tc>
              <w:tc>
                <w:tcPr/>
                <w:p>
                  <w:pPr>
                    <w:pStyle w:val="Compact"/>
                    <w:jc w:val="center"/>
                    <w:jc w:val="center"/>
                  </w:pPr>
                  <w:r>
                    <w:t xml:space="preserve">0.312</w:t>
                  </w:r>
                </w:p>
              </w:tc>
            </w:tr>
            <w:tr>
              <w:tc>
                <w:tcPr/>
                <w:p>
                  <w:pPr>
                    <w:pStyle w:val="Compact"/>
                    <w:jc w:val="left"/>
                    <w:jc w:val="center"/>
                  </w:pPr>
                  <w:r>
                    <w:t xml:space="preserve">Aur-P2</w:t>
                  </w:r>
                </w:p>
              </w:tc>
              <w:tc>
                <w:tcPr/>
                <w:p>
                  <w:pPr>
                    <w:pStyle w:val="Compact"/>
                    <w:jc w:val="left"/>
                    <w:jc w:val="center"/>
                  </w:pPr>
                  <w:r>
                    <w:t xml:space="preserve">Exclude Vogelherd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bl>
          <w:p>
            <w:pPr>
              <w:jc w:val="center"/>
            </w:pPr>
            <w:pPr>
              <w:jc w:val="start"/>
              <w:spacing w:before="200"/>
              <w:pStyle w:val="ImageCaption"/>
            </w:pPr>
            <w:r>
              <w:t xml:space="preserve">Table 33: Network statistics under three conditions: baseline (technology-based assignment), date-based (each object assigned purely by calibrated radiocarbon date, with the Spy/El Castillo exclusions retained), and exclude Vogelherd (technology-based baseline with the site of Vogelherd removed entirely). Threshold = 0.2, Jaccard similarity.</w:t>
            </w:r>
          </w:p>
          <w:bookmarkEnd w:id="238"/>
        </w:tc>
      </w:tr>
    </w:tbl>
    <w:bookmarkStart w:id="239" w:name="effects-by-condition"/>
    <w:p>
      <w:pPr>
        <w:pStyle w:val="Heading3"/>
      </w:pPr>
      <w:r>
        <w:t xml:space="preserve">Effects by condition</w:t>
      </w:r>
    </w:p>
    <w:p>
      <w:pPr>
        <w:pStyle w:val="FirstParagraph"/>
      </w:pPr>
      <w:r>
        <w:rPr>
          <w:bCs/>
          <w:b/>
        </w:rPr>
        <w:t xml:space="preserve">Date-based alternative (Analysis A).</w:t>
      </w:r>
      <w:r>
        <w:t xml:space="preserve"> </w:t>
      </w:r>
      <w:r>
        <w:t xml:space="preserve">Reverting to purely date-based criteria changes the membership of three sites. Mladeč moves from Aur-P2 to Aur-P1 because its calibrated median using the older-end of the date range (40,091 cal BP) falls in the Proto-Aurignacian range, which is folded into Aur-P1; the midpoint variant used in the main analysis gives 37,831 cal BP (Early Aurignacian, Aur-P1), and the younger-end gives 35,571 cal BP (Early Aurignacian, Aur-P1)</w:t>
      </w:r>
      <w:r>
        <w:t xml:space="preserve"> </w:t>
      </w:r>
      <w:r>
        <w:t xml:space="preserve">[22]</w:t>
      </w:r>
      <w:r>
        <w:t xml:space="preserve">. Hohle Fels and Vogelherd are split across the phases by object date: 20 of 49 Hohle Fels objects and 160 of 173 Vogelherd objects remain in Aur-P1, and 29 and 13 objects , those calibrated to ~32 ka BP or younger , move to Aur-P2. The date-based assignment therefore fragments long-occupied sites whose assemblages span the phase boundary, which is precisely the failure mode the technology-based attribution is designed to avoid. Under this assignment Aur-P1 grows to 20 sites and 80 edges (mean degree 8), while Aur-P2 , now missing Mladeč but containing 42 young-dated objects from Hohle Fels and Vogelherd , has 10 sites and 18 edges (mean degree 3.6).</w:t>
      </w:r>
    </w:p>
    <w:p>
      <w:pPr>
        <w:pStyle w:val="BodyText"/>
      </w:pPr>
      <w:r>
        <w:rPr>
          <w:bCs/>
          <w:b/>
        </w:rPr>
        <w:t xml:space="preserve">Vogelherd exclusion (Analysis B).</w:t>
      </w:r>
      <w:r>
        <w:t xml:space="preserve"> </w:t>
      </w:r>
      <w:r>
        <w:t xml:space="preserve">Removing Vogelherd’s 173 objects from the technology-based baseline reduces Aur-P1 from 20 to 19 sites and from 75 to 69 edges. Mean degree falls from 7.5 to 7.26 (−3.2%), and modularity from 0.336 to 0.312. Aur-P2 is unaffected (4.22, 19 edges, 9 sites).</w:t>
      </w:r>
    </w:p>
    <w:bookmarkEnd w:id="239"/>
    <w:bookmarkEnd w:id="240"/>
    <w:bookmarkStart w:id="242" w:name="s8.3-phase-ordering-robustness"/>
    <w:p>
      <w:pPr>
        <w:pStyle w:val="Heading2"/>
      </w:pPr>
      <w:r>
        <w:t xml:space="preserve">S8.3 Phase-Ordering Robustness</w:t>
      </w:r>
    </w:p>
    <w:p>
      <w:pPr>
        <w:pStyle w:val="FirstParagraph"/>
      </w:pPr>
      <w:r>
        <w:t xml:space="preserve">The most consequential finding is that</w:t>
      </w:r>
      <w:r>
        <w:t xml:space="preserve"> </w:t>
      </w:r>
      <w:r>
        <w:rPr>
          <w:bCs/>
          <w:b/>
        </w:rPr>
        <w:t xml:space="preserve">the Aur-P1 &gt; Aur-P2 connectivity ordering is preserved under every condition</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41" w:name="tbl-s8-ordering"/>
          <w:tbl>
            <w:tblPr>
              <w:tblStyle w:val="Table"/>
              <w:tblW w:type="pct" w:w="5000"/>
              <w:tblLook w:firstRow="1" w:lastRow="0" w:firstColumn="0" w:lastColumn="0" w:noHBand="0" w:noVBand="0" w:val="0020"/>
              <w:jc w:val="start"/>
              <w:tblLayout w:type="fixed"/>
            </w:tblPr>
            <w:tblGrid>
              <w:gridCol w:w="2704"/>
              <w:gridCol w:w="1835"/>
              <w:gridCol w:w="1835"/>
              <w:gridCol w:w="1545"/>
            </w:tblGrid>
            <w:tr>
              <w:trPr>
                <w:tblHeader w:val="true"/>
              </w:trPr>
              <w:tc>
                <w:tcPr/>
                <w:p>
                  <w:pPr>
                    <w:pStyle w:val="Compact"/>
                    <w:jc w:val="left"/>
                    <w:jc w:val="center"/>
                  </w:pPr>
                  <w:r>
                    <w:t xml:space="preserve">Condition</w:t>
                  </w:r>
                </w:p>
              </w:tc>
              <w:tc>
                <w:tcPr/>
                <w:p>
                  <w:pPr>
                    <w:pStyle w:val="Compact"/>
                    <w:jc w:val="right"/>
                    <w:jc w:val="center"/>
                  </w:pPr>
                  <w:r>
                    <w:t xml:space="preserve">Aur-P1 mean degree</w:t>
                  </w:r>
                </w:p>
              </w:tc>
              <w:tc>
                <w:tcPr/>
                <w:p>
                  <w:pPr>
                    <w:pStyle w:val="Compact"/>
                    <w:jc w:val="right"/>
                    <w:jc w:val="center"/>
                  </w:pPr>
                  <w:r>
                    <w:t xml:space="preserve">Aur-P2 mean degree</w:t>
                  </w:r>
                </w:p>
              </w:tc>
              <w:tc>
                <w:tcPr/>
                <w:p>
                  <w:pPr>
                    <w:pStyle w:val="Compact"/>
                    <w:jc w:val="left"/>
                    <w:jc w:val="center"/>
                  </w:pPr>
                  <w:r>
                    <w:t xml:space="preserve">Ordering</w:t>
                  </w:r>
                </w:p>
              </w:tc>
            </w:tr>
            <w:tr>
              <w:tc>
                <w:tcPr/>
                <w:p>
                  <w:pPr>
                    <w:pStyle w:val="Compact"/>
                    <w:jc w:val="left"/>
                    <w:jc w:val="center"/>
                  </w:pPr>
                  <w:r>
                    <w:t xml:space="preserve">Baseline (technology-based)</w:t>
                  </w:r>
                </w:p>
              </w:tc>
              <w:tc>
                <w:tcPr/>
                <w:p>
                  <w:pPr>
                    <w:pStyle w:val="Compact"/>
                    <w:jc w:val="right"/>
                    <w:jc w:val="center"/>
                  </w:pPr>
                  <w:r>
                    <w:t xml:space="preserve">7.50</w:t>
                  </w:r>
                </w:p>
              </w:tc>
              <w:tc>
                <w:tcPr/>
                <w:p>
                  <w:pPr>
                    <w:pStyle w:val="Compact"/>
                    <w:jc w:val="right"/>
                    <w:jc w:val="center"/>
                  </w:pPr>
                  <w:r>
                    <w:t xml:space="preserve">4.22</w:t>
                  </w:r>
                </w:p>
              </w:tc>
              <w:tc>
                <w:tcPr/>
                <w:p>
                  <w:pPr>
                    <w:pStyle w:val="Compact"/>
                    <w:jc w:val="left"/>
                    <w:jc w:val="center"/>
                  </w:pPr>
                  <w:r>
                    <w:t xml:space="preserve">Aur-P1 &gt; Aur-P2</w:t>
                  </w:r>
                </w:p>
              </w:tc>
            </w:tr>
            <w:tr>
              <w:tc>
                <w:tcPr/>
                <w:p>
                  <w:pPr>
                    <w:pStyle w:val="Compact"/>
                    <w:jc w:val="left"/>
                    <w:jc w:val="center"/>
                  </w:pPr>
                  <w:r>
                    <w:t xml:space="preserve">Date-based</w:t>
                  </w:r>
                </w:p>
              </w:tc>
              <w:tc>
                <w:tcPr/>
                <w:p>
                  <w:pPr>
                    <w:pStyle w:val="Compact"/>
                    <w:jc w:val="right"/>
                    <w:jc w:val="center"/>
                  </w:pPr>
                  <w:r>
                    <w:t xml:space="preserve">8.00</w:t>
                  </w:r>
                </w:p>
              </w:tc>
              <w:tc>
                <w:tcPr/>
                <w:p>
                  <w:pPr>
                    <w:pStyle w:val="Compact"/>
                    <w:jc w:val="right"/>
                    <w:jc w:val="center"/>
                  </w:pPr>
                  <w:r>
                    <w:t xml:space="preserve">3.60</w:t>
                  </w:r>
                </w:p>
              </w:tc>
              <w:tc>
                <w:tcPr/>
                <w:p>
                  <w:pPr>
                    <w:pStyle w:val="Compact"/>
                    <w:jc w:val="left"/>
                    <w:jc w:val="center"/>
                  </w:pPr>
                  <w:r>
                    <w:t xml:space="preserve">Aur-P1 &gt; Aur-P2</w:t>
                  </w:r>
                </w:p>
              </w:tc>
            </w:tr>
            <w:tr>
              <w:tc>
                <w:tcPr/>
                <w:p>
                  <w:pPr>
                    <w:pStyle w:val="Compact"/>
                    <w:jc w:val="left"/>
                    <w:jc w:val="center"/>
                  </w:pPr>
                  <w:r>
                    <w:t xml:space="preserve">Exclude Vogelherd</w:t>
                  </w:r>
                </w:p>
              </w:tc>
              <w:tc>
                <w:tcPr/>
                <w:p>
                  <w:pPr>
                    <w:pStyle w:val="Compact"/>
                    <w:jc w:val="right"/>
                    <w:jc w:val="center"/>
                  </w:pPr>
                  <w:r>
                    <w:t xml:space="preserve">7.26</w:t>
                  </w:r>
                </w:p>
              </w:tc>
              <w:tc>
                <w:tcPr/>
                <w:p>
                  <w:pPr>
                    <w:pStyle w:val="Compact"/>
                    <w:jc w:val="right"/>
                    <w:jc w:val="center"/>
                  </w:pPr>
                  <w:r>
                    <w:t xml:space="preserve">4.22</w:t>
                  </w:r>
                </w:p>
              </w:tc>
              <w:tc>
                <w:tcPr/>
                <w:p>
                  <w:pPr>
                    <w:pStyle w:val="Compact"/>
                    <w:jc w:val="left"/>
                    <w:jc w:val="center"/>
                  </w:pPr>
                  <w:r>
                    <w:t xml:space="preserve">Aur-P1 &gt; Aur-P2</w:t>
                  </w:r>
                </w:p>
              </w:tc>
            </w:tr>
          </w:tbl>
          <w:p>
            <w:pPr>
              <w:jc w:val="center"/>
            </w:pPr>
            <w:pPr>
              <w:jc w:val="start"/>
              <w:spacing w:before="200"/>
              <w:pStyle w:val="ImageCaption"/>
            </w:pPr>
            <w:r>
              <w:t xml:space="preserve">Table 34: Mean degree by phase under each reassignment condition. The Aur-P1 &gt; Aur-P2 ordering is preserved under every condition.</w:t>
            </w:r>
          </w:p>
          <w:bookmarkEnd w:id="241"/>
        </w:tc>
      </w:tr>
    </w:tbl>
    <w:p>
      <w:pPr>
        <w:pStyle w:val="BodyText"/>
      </w:pPr>
      <w:r>
        <w:t xml:space="preserve">Under the date-based assignment Aur-P1’s mean degree rises (from 7.5 to 8) and Aur-P2’s falls (from 4.22 to 3.6), so the contrast is not an artefact of the technological reassignment , the naive date-based assignment, if anything, strengthens it. Excluding Vogelherd weakens but does not remove the contrast (7.26 vs 4.22).</w:t>
      </w:r>
    </w:p>
    <w:bookmarkEnd w:id="242"/>
    <w:bookmarkStart w:id="243" w:name="s8.4-interpretation"/>
    <w:p>
      <w:pPr>
        <w:pStyle w:val="Heading2"/>
      </w:pPr>
      <w:r>
        <w:t xml:space="preserve">S8.4 Interpretation</w:t>
      </w:r>
    </w:p>
    <w:p>
      <w:pPr>
        <w:pStyle w:val="FirstParagraph"/>
      </w:pPr>
      <w:r>
        <w:t xml:space="preserve">The robustness of the Aur-P1 &gt; Aur-P2 connectivity contrast to both the assignment criterion and to the removal of the largest site strengthens the main-text conclusion that the early phase supports a larger, more hub-centred sign-sharing network. The date-based alternative is a useful worst case: it fragments long-occupied sites across phases and moves Mladeč into Aur-P1 (via the older-end calibrated median of 40,091 cal BP), yet Aur-P1 remains the more connected phase.</w:t>
      </w:r>
    </w:p>
    <w:p>
      <w:pPr>
        <w:pStyle w:val="BodyText"/>
      </w:pPr>
      <w:r>
        <w:t xml:space="preserve">The observed between-phase modularity values are, however, assignment-sensitive: they reverse under the date-based assignment (Aur-P1 0.29 &lt; Aur-P2 0.332, versus 0.336 &gt; 0.161 at baseline). This reinforces the main text’s caution about between-phase comparisons: the pairwise permutation test on the technology-based baseline finds no significant difference in modularity (or any other network statistic) between the phases, and S5.7 shows that the modularity confidence intervals overlap substantially (Aur-P2 rests on only 9 sites). We therefore recommend reading the between-phase contrast primarily as a difference in network scale rather than as a robust ordering of modularity values across alternative assignments.</w:t>
      </w:r>
    </w:p>
    <w:p>
      <w:pPr>
        <w:pStyle w:val="BodyText"/>
      </w:pPr>
      <w:r>
        <w:t xml:space="preserve">Excluding Vogelherd leaves the ordering intact, consistent with S7’s finding that Aur-P1’s network does not depend on a single site. Finally, the within-phase two-group structure (RQ1) , the restricted/broad dichotomy recovered by seriation, Louvain community detection, and bootstrap consensus (S5, S6) , is defined within each phase’s membership and is unaffected by the between-phase assignment criterion tested here. The stochastic block model (S6.3) does not recover this dichotomy (single block selected under both emission models), consistent with the small size and sparsity of the sign-sharing networks falling below the detectability limit for block structure.</w:t>
      </w:r>
    </w:p>
    <w:bookmarkEnd w:id="243"/>
    <w:bookmarkEnd w:id="244"/>
    <w:bookmarkStart w:id="342" w:name="sec-s9"/>
    <w:p>
      <w:pPr>
        <w:pStyle w:val="Heading1"/>
      </w:pPr>
      <w:r>
        <w:t xml:space="preserve">S9. Object-Level Downsampling and Coverage-Rarefaction Sensitivity</w:t>
      </w:r>
    </w:p>
    <w:p>
      <w:pPr>
        <w:pStyle w:val="FirstParagraph"/>
      </w:pPr>
      <w:r>
        <w:t xml:space="preserve">The main-text and supplementary analyses establish the restricted/broad (R/B) division from site-level presence/absence of sign types. This removes the</w:t>
      </w:r>
      <w:r>
        <w:t xml:space="preserve"> </w:t>
      </w:r>
      <w:r>
        <w:rPr>
          <w:iCs/>
          <w:i/>
        </w:rPr>
        <w:t xml:space="preserve">first-order</w:t>
      </w:r>
      <w:r>
        <w:t xml:space="preserve"> </w:t>
      </w:r>
      <w:r>
        <w:t xml:space="preserve">effect of differing object counts between sites, but it does not remove a deeper confounding issue: because the number of sign types recorded at a site is bounded by the number of objects recovered, sites represented by many more objects have a greater opportunity to produce a larger repertoire, so the R/B division could partly reflect sampling intensity rather than a genuine cultural contrast. Presence/absence coding controls for the</w:t>
      </w:r>
      <w:r>
        <w:t xml:space="preserve"> </w:t>
      </w:r>
      <w:r>
        <w:rPr>
          <w:iCs/>
          <w:i/>
        </w:rPr>
        <w:t xml:space="preserve">magnitude</w:t>
      </w:r>
      <w:r>
        <w:t xml:space="preserve"> </w:t>
      </w:r>
      <w:r>
        <w:t xml:space="preserve">of the object-count difference, not for the fact that richer assemblages are, by construction, more likely to be classified as broad. This section provides an object-level resampling/rareffaction sensitivity analysis. It asks five specific questions:</w:t>
      </w:r>
    </w:p>
    <w:p>
      <w:pPr>
        <w:numPr>
          <w:ilvl w:val="0"/>
          <w:numId w:val="1008"/>
        </w:numPr>
        <w:pStyle w:val="Compact"/>
      </w:pPr>
      <w:r>
        <w:rPr>
          <w:bCs/>
          <w:b/>
        </w:rPr>
        <w:t xml:space="preserve">(S9.2)</w:t>
      </w:r>
      <w:r>
        <w:t xml:space="preserve"> </w:t>
      </w:r>
      <w:r>
        <w:t xml:space="preserve">When objects are resampled to a common count and the network and Louvain partition are re-derived, how often does each site keep its original R/B assignment, and how stable is the community structure?</w:t>
      </w:r>
    </w:p>
    <w:p>
      <w:pPr>
        <w:numPr>
          <w:ilvl w:val="0"/>
          <w:numId w:val="1008"/>
        </w:numPr>
        <w:pStyle w:val="Compact"/>
      </w:pPr>
      <w:r>
        <w:rPr>
          <w:bCs/>
          <w:b/>
        </w:rPr>
        <w:t xml:space="preserve">(S9.3)</w:t>
      </w:r>
      <w:r>
        <w:t xml:space="preserve"> </w:t>
      </w:r>
      <w:r>
        <w:t xml:space="preserve">At equal</w:t>
      </w:r>
      <w:r>
        <w:t xml:space="preserve"> </w:t>
      </w:r>
      <w:r>
        <w:rPr>
          <w:iCs/>
          <w:i/>
        </w:rPr>
        <w:t xml:space="preserve">sample coverage</w:t>
      </w:r>
      <w:r>
        <w:t xml:space="preserve"> </w:t>
      </w:r>
      <w:r>
        <w:t xml:space="preserve">(rather than equal object count), do restricted and broad sites still differ in sign-type richness?</w:t>
      </w:r>
    </w:p>
    <w:p>
      <w:pPr>
        <w:numPr>
          <w:ilvl w:val="0"/>
          <w:numId w:val="1008"/>
        </w:numPr>
        <w:pStyle w:val="Compact"/>
      </w:pPr>
      <w:r>
        <w:rPr>
          <w:bCs/>
          <w:b/>
        </w:rPr>
        <w:t xml:space="preserve">(S9.4)</w:t>
      </w:r>
      <w:r>
        <w:t xml:space="preserve"> </w:t>
      </w:r>
      <w:r>
        <w:t xml:space="preserve">Does the group effect on sign-type richness survive after statistically accounting for object count (sampling effort), with the richness-effort exponent estimated rather than fixed?</w:t>
      </w:r>
    </w:p>
    <w:p>
      <w:pPr>
        <w:numPr>
          <w:ilvl w:val="0"/>
          <w:numId w:val="1008"/>
        </w:numPr>
        <w:pStyle w:val="Compact"/>
      </w:pPr>
      <w:r>
        <w:rPr>
          <w:bCs/>
          <w:b/>
        </w:rPr>
        <w:t xml:space="preserve">(S9.5)</w:t>
      </w:r>
      <w:r>
        <w:t xml:space="preserve"> </w:t>
      </w:r>
      <w:r>
        <w:t xml:space="preserve">At equal effort with</w:t>
      </w:r>
      <w:r>
        <w:t xml:space="preserve"> </w:t>
      </w:r>
      <w:r>
        <w:rPr>
          <w:rStyle w:val="VerbatimChar"/>
        </w:rPr>
        <w:t xml:space="preserve">iNEXT</w:t>
      </w:r>
      <w:r>
        <w:t xml:space="preserve"> </w:t>
      </w:r>
      <w:r>
        <w:t xml:space="preserve">(incidence_freq), does the Aur-P1 vs Aur-P2 sign-type pool (26 vs 15) remain larger, or is it not distinguishable from sampling variation at 63 objects, including when restricted to object types present in both phases?</w:t>
      </w:r>
    </w:p>
    <w:p>
      <w:pPr>
        <w:numPr>
          <w:ilvl w:val="0"/>
          <w:numId w:val="1008"/>
        </w:numPr>
        <w:pStyle w:val="Compact"/>
      </w:pPr>
      <w:r>
        <w:rPr>
          <w:bCs/>
          <w:b/>
        </w:rPr>
        <w:t xml:space="preserve">(S9.6)</w:t>
      </w:r>
      <w:r>
        <w:t xml:space="preserve"> </w:t>
      </w:r>
      <w:r>
        <w:t xml:space="preserve">Taken together, is the R/B division independent of sampling intensity, and if not, what limitation must be stated?</w:t>
      </w:r>
    </w:p>
    <w:p>
      <w:pPr>
        <w:numPr>
          <w:ilvl w:val="0"/>
          <w:numId w:val="1008"/>
        </w:numPr>
        <w:pStyle w:val="Compact"/>
      </w:pPr>
      <w:r>
        <w:rPr>
          <w:bCs/>
          <w:b/>
        </w:rPr>
        <w:t xml:space="preserve">(S9.7)</w:t>
      </w:r>
      <w:r>
        <w:t xml:space="preserve"> </w:t>
      </w:r>
      <w:r>
        <w:t xml:space="preserve">Does the restricted/broad pattern survive richness-preserving nulls, and does the manual-group PerMANOVA hold on Simpson turnover dissimilarity, which removes the nestedness component of Jaccard?</w:t>
      </w:r>
    </w:p>
    <w:bookmarkStart w:id="252" w:name="sec-s9-1"/>
    <w:p>
      <w:pPr>
        <w:pStyle w:val="Heading2"/>
      </w:pPr>
      <w:r>
        <w:t xml:space="preserve">S9.1 Object-count distribution and feasible common counts</w:t>
      </w:r>
    </w:p>
    <w:bookmarkStart w:id="250" w:name="rationale-10"/>
    <w:p>
      <w:pPr>
        <w:pStyle w:val="Heading3"/>
      </w:pPr>
      <w:r>
        <w:t xml:space="preserve">Rationale</w:t>
      </w:r>
    </w:p>
    <w:p>
      <w:pPr>
        <w:pStyle w:val="FirstParagraph"/>
      </w:pPr>
      <w:r>
        <w:t xml:space="preserve">Before resampling, we must know how many objects each site contributes. Object counts are highly skewed: a handful of sites (e.g. Vogelherd with 173 objects in Aur-P1) dominate, while many sites contribute only one or two objects (Trou al’Wesse and Fumane contribute a single object; Les Cottés and Labeko Koba contribute two). We therefore tally objects per site and, following the reviewer’s suggestion, choose common downsampling levels that retain as many sites as possible:</w:t>
      </w:r>
      <w:r>
        <w:t xml:space="preserve"> </w:t>
      </w:r>
      <w:r>
        <w:rPr>
          <w:bCs/>
          <w:b/>
        </w:rPr>
        <w:t xml:space="preserve">k = 3, 5, and 10 objects per site</w:t>
      </w:r>
      <w:r>
        <w:t xml:space="preserve">. A site is included in a downsampling replicate only if it contributes at least k objects.</w:t>
      </w:r>
    </w:p>
    <w:tbl>
      <w:tblPr>
        <w:tblStyle w:val="Table"/>
        <w:tblW w:type="pct" w:w="5000"/>
        <w:tblLook w:firstRow="0" w:lastRow="0" w:firstColumn="0" w:lastColumn="0" w:noHBand="0" w:noVBand="0" w:val="0000"/>
        <w:jc w:val="start"/>
        <w:tblLayout w:type="fixed"/>
      </w:tblPr>
      <w:tblGrid>
        <w:gridCol w:w="7920"/>
      </w:tblGrid>
      <w:tr>
        <w:tc>
          <w:tcPr/>
          <w:bookmarkStart w:id="245" w:name="tbl-s9-objcount"/>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left"/>
                    <w:jc w:val="center"/>
                  </w:pPr>
                  <w:r>
                    <w:t xml:space="preserve">Group</w:t>
                  </w:r>
                </w:p>
              </w:tc>
              <w:tc>
                <w:tcPr/>
                <w:p>
                  <w:pPr>
                    <w:pStyle w:val="Compact"/>
                    <w:jc w:val="right"/>
                    <w:jc w:val="center"/>
                  </w:pPr>
                  <w:r>
                    <w:t xml:space="preserve">Objects</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left"/>
                    <w:jc w:val="center"/>
                  </w:pPr>
                  <w:r>
                    <w:t xml:space="preserve">broad</w:t>
                  </w:r>
                </w:p>
              </w:tc>
              <w:tc>
                <w:tcPr/>
                <w:p>
                  <w:pPr>
                    <w:pStyle w:val="Compact"/>
                    <w:jc w:val="right"/>
                    <w:jc w:val="center"/>
                  </w:pPr>
                  <w:r>
                    <w:t xml:space="preserve">173</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left"/>
                    <w:jc w:val="center"/>
                  </w:pPr>
                  <w:r>
                    <w:t xml:space="preserve">broad</w:t>
                  </w:r>
                </w:p>
              </w:tc>
              <w:tc>
                <w:tcPr/>
                <w:p>
                  <w:pPr>
                    <w:pStyle w:val="Compact"/>
                    <w:jc w:val="right"/>
                    <w:jc w:val="center"/>
                  </w:pPr>
                  <w:r>
                    <w:t xml:space="preserve">30</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left"/>
                    <w:jc w:val="center"/>
                  </w:pPr>
                  <w:r>
                    <w:t xml:space="preserve">broad</w:t>
                  </w:r>
                </w:p>
              </w:tc>
              <w:tc>
                <w:tcPr/>
                <w:p>
                  <w:pPr>
                    <w:pStyle w:val="Compact"/>
                    <w:jc w:val="right"/>
                    <w:jc w:val="center"/>
                  </w:pPr>
                  <w:r>
                    <w:t xml:space="preserve">28</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left"/>
                    <w:jc w:val="center"/>
                  </w:pPr>
                  <w:r>
                    <w:t xml:space="preserve">broad</w:t>
                  </w:r>
                </w:p>
              </w:tc>
              <w:tc>
                <w:tcPr/>
                <w:p>
                  <w:pPr>
                    <w:pStyle w:val="Compact"/>
                    <w:jc w:val="right"/>
                    <w:jc w:val="center"/>
                  </w:pPr>
                  <w:r>
                    <w:t xml:space="preserve">22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left"/>
                    <w:jc w:val="center"/>
                  </w:pPr>
                  <w:r>
                    <w:t xml:space="preserve">broad</w:t>
                  </w:r>
                </w:p>
              </w:tc>
              <w:tc>
                <w:tcPr/>
                <w:p>
                  <w:pPr>
                    <w:pStyle w:val="Compact"/>
                    <w:jc w:val="right"/>
                    <w:jc w:val="center"/>
                  </w:pPr>
                  <w:r>
                    <w:t xml:space="preserve">21</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20</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left"/>
                    <w:jc w:val="center"/>
                  </w:pPr>
                  <w:r>
                    <w:t xml:space="preserve">broad</w:t>
                  </w:r>
                </w:p>
              </w:tc>
              <w:tc>
                <w:tcPr/>
                <w:p>
                  <w:pPr>
                    <w:pStyle w:val="Compact"/>
                    <w:jc w:val="right"/>
                    <w:jc w:val="center"/>
                  </w:pPr>
                  <w:r>
                    <w:t xml:space="preserve">18</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left"/>
                    <w:jc w:val="center"/>
                  </w:pPr>
                  <w:r>
                    <w:t xml:space="preserve">broad</w:t>
                  </w:r>
                </w:p>
              </w:tc>
              <w:tc>
                <w:tcPr/>
                <w:p>
                  <w:pPr>
                    <w:pStyle w:val="Compact"/>
                    <w:jc w:val="right"/>
                    <w:jc w:val="center"/>
                  </w:pPr>
                  <w:r>
                    <w:t xml:space="preserve">7</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left"/>
                    <w:jc w:val="center"/>
                  </w:pPr>
                  <w:r>
                    <w:t xml:space="preserve">restricted</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left"/>
                    <w:jc w:val="center"/>
                  </w:pPr>
                  <w:r>
                    <w:t xml:space="preserve">broad</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left"/>
                    <w:jc w:val="center"/>
                  </w:pPr>
                  <w:r>
                    <w:t xml:space="preserve">restricted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left"/>
                    <w:jc w:val="center"/>
                  </w:pPr>
                  <w:r>
                    <w:t xml:space="preserve">restricted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left"/>
                    <w:jc w:val="center"/>
                  </w:pPr>
                  <w:r>
                    <w:t xml:space="preserve">broad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left"/>
                    <w:jc w:val="center"/>
                  </w:pPr>
                  <w:r>
                    <w:t xml:space="preserve">broad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29</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left"/>
                    <w:jc w:val="center"/>
                  </w:pPr>
                  <w:r>
                    <w:t xml:space="preserve">broad</w:t>
                  </w:r>
                </w:p>
              </w:tc>
              <w:tc>
                <w:tcPr/>
                <w:p>
                  <w:pPr>
                    <w:pStyle w:val="Compact"/>
                    <w:jc w:val="right"/>
                    <w:jc w:val="center"/>
                  </w:pPr>
                  <w:r>
                    <w:t xml:space="preserve">12</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left"/>
                    <w:jc w:val="center"/>
                  </w:pPr>
                  <w:r>
                    <w:t xml:space="preserve">restricted</w:t>
                  </w:r>
                </w:p>
              </w:tc>
              <w:tc>
                <w:tcPr/>
                <w:p>
                  <w:pPr>
                    <w:pStyle w:val="Compact"/>
                    <w:jc w:val="right"/>
                    <w:jc w:val="center"/>
                  </w:pPr>
                  <w:r>
                    <w:t xml:space="preserve">11</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left"/>
                    <w:jc w:val="center"/>
                  </w:pPr>
                  <w:r>
                    <w:t xml:space="preserve">restricted</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left"/>
                    <w:jc w:val="center"/>
                  </w:pPr>
                  <w:r>
                    <w:t xml:space="preserve">broad</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left"/>
                    <w:jc w:val="center"/>
                  </w:pPr>
                  <w:r>
                    <w:t xml:space="preserve">restricted</w:t>
                  </w:r>
                </w:p>
              </w:tc>
              <w:tc>
                <w:tcPr/>
                <w:p>
                  <w:pPr>
                    <w:pStyle w:val="Compact"/>
                    <w:jc w:val="right"/>
                    <w:jc w:val="center"/>
                  </w:pPr>
                  <w:r>
                    <w:t xml:space="preserve">1</w:t>
                  </w:r>
                </w:p>
              </w:tc>
            </w:tr>
          </w:tbl>
          <w:p>
            <w:pPr>
              <w:jc w:val="center"/>
            </w:pPr>
            <w:pPr>
              <w:jc w:val="start"/>
              <w:spacing w:before="200"/>
              <w:pStyle w:val="ImageCaption"/>
            </w:pPr>
            <w:r>
              <w:t xml:space="preserve">Table 35: Per-site object counts by phase and manual restricted(1)/broad(2) group. The reviewer notes the strong Spearman correlation (ρ = 0.86) between object count and sign-type richness across sites.</w:t>
            </w:r>
          </w:p>
          <w:bookmarkEnd w:id="245"/>
        </w:tc>
      </w:tr>
    </w:tbl>
    <w:tbl>
      <w:tblPr>
        <w:tblStyle w:val="Table"/>
        <w:tblW w:type="pct" w:w="5000"/>
        <w:tblLook w:firstRow="0" w:lastRow="0" w:firstColumn="0" w:lastColumn="0" w:noHBand="0" w:noVBand="0" w:val="0000"/>
        <w:jc w:val="start"/>
        <w:tblLayout w:type="fixed"/>
      </w:tblPr>
      <w:tblGrid>
        <w:gridCol w:w="7920"/>
      </w:tblGrid>
      <w:tr>
        <w:tc>
          <w:tcPr/>
          <w:bookmarkStart w:id="249" w:name="fig-s9-objhist"/>
          <w:p>
            <w:pPr>
              <w:pStyle w:val="Compact"/>
              <w:jc w:val="center"/>
            </w:pPr>
            <w:r>
              <w:drawing>
                <wp:inline>
                  <wp:extent cx="5943600" cy="2971800"/>
                  <wp:effectExtent b="0" l="0" r="0" t="0"/>
                  <wp:docPr descr="" title="" id="247" name="Picture"/>
                  <a:graphic>
                    <a:graphicData uri="http://schemas.openxmlformats.org/drawingml/2006/picture">
                      <pic:pic>
                        <pic:nvPicPr>
                          <pic:cNvPr descr="S1-supplement-sensitivity_files/figure-docx/fig-s9-objhist-1.png" id="248" name="Picture"/>
                          <pic:cNvPicPr>
                            <a:picLocks noChangeArrowheads="1" noChangeAspect="1"/>
                          </pic:cNvPicPr>
                        </pic:nvPicPr>
                        <pic:blipFill>
                          <a:blip r:embed="rId246"/>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Distribution of object counts per site by phase. Most sites contribute few objects; a small number of large assemblages (e.g. Vogelherd) dominate the upper tail.</w:t>
            </w:r>
          </w:p>
          <w:bookmarkEnd w:id="249"/>
        </w:tc>
      </w:tr>
    </w:tbl>
    <w:bookmarkEnd w:id="250"/>
    <w:bookmarkStart w:id="251" w:name="interpretation-8"/>
    <w:p>
      <w:pPr>
        <w:pStyle w:val="Heading3"/>
      </w:pPr>
      <w:r>
        <w:t xml:space="preserve">Interpretation</w:t>
      </w:r>
    </w:p>
    <w:p>
      <w:pPr>
        <w:pStyle w:val="FirstParagraph"/>
      </w:pPr>
      <w:r>
        <w:rPr>
          <w:bCs/>
          <w:b/>
        </w:rPr>
        <w:t xml:space="preserve">Question: how many sites can be retained at each common object count?</w:t>
      </w:r>
      <w:r>
        <w:t xml:space="preserve"> </w:t>
      </w:r>
      <w:r>
        <w:t xml:space="preserve">At</w:t>
      </w:r>
      <w:r>
        <w:t xml:space="preserve"> </w:t>
      </w:r>
      <w:r>
        <w:rPr>
          <w:bCs/>
          <w:b/>
        </w:rPr>
        <w:t xml:space="preserve">k = 3</w:t>
      </w:r>
      <w:r>
        <w:t xml:space="preserve">, 13 of 20 Aur-P1 sites and 5 of 9 Aur-P2 sites qualify. At</w:t>
      </w:r>
      <w:r>
        <w:t xml:space="preserve"> </w:t>
      </w:r>
      <w:r>
        <w:rPr>
          <w:bCs/>
          <w:b/>
        </w:rPr>
        <w:t xml:space="preserve">k = 5</w:t>
      </w:r>
      <w:r>
        <w:t xml:space="preserve"> </w:t>
      </w:r>
      <w:r>
        <w:t xml:space="preserve">the numbers fall to 8 and 3, and at</w:t>
      </w:r>
      <w:r>
        <w:t xml:space="preserve"> </w:t>
      </w:r>
      <w:r>
        <w:rPr>
          <w:bCs/>
          <w:b/>
        </w:rPr>
        <w:t xml:space="preserve">k = 10</w:t>
      </w:r>
      <w:r>
        <w:t xml:space="preserve"> </w:t>
      </w:r>
      <w:r>
        <w:t xml:space="preserve">only 7 and 3 sites remain. The smallest sites (Trou al’Wesse, Fumane, Pod Hradem, Grottes de Fonds-de-Forêt with one object; Les Cottés, Labeko Koba, Hohlenstein-Stadel with two) can never be downsampled and are excluded from every replicate. We therefore report results at k = 3, 5, and 10, treating k = 10 as the most stringent test (fewest sites, but each built from a substantial object sample) and k = 3 as the most inclusive.</w:t>
      </w:r>
    </w:p>
    <w:bookmarkEnd w:id="251"/>
    <w:bookmarkEnd w:id="252"/>
    <w:bookmarkStart w:id="261" w:name="sec-s9-2"/>
    <w:p>
      <w:pPr>
        <w:pStyle w:val="Heading2"/>
      </w:pPr>
      <w:r>
        <w:t xml:space="preserve">S9.2 Object-level downsampling sensitivity</w:t>
      </w:r>
    </w:p>
    <w:bookmarkStart w:id="259" w:name="rationale-11"/>
    <w:p>
      <w:pPr>
        <w:pStyle w:val="Heading3"/>
      </w:pPr>
      <w:r>
        <w:t xml:space="preserve">Rationale</w:t>
      </w:r>
    </w:p>
    <w:p>
      <w:pPr>
        <w:pStyle w:val="FirstParagraph"/>
      </w:pPr>
      <w:r>
        <w:t xml:space="preserve">For each phase and each common count k ∈ {3, 5, 10}, and for 500 replicates, we sample k objects</w:t>
      </w:r>
      <w:r>
        <w:t xml:space="preserve"> </w:t>
      </w:r>
      <w:r>
        <w:rPr>
          <w:bCs/>
          <w:b/>
        </w:rPr>
        <w:t xml:space="preserve">without replacement</w:t>
      </w:r>
      <w:r>
        <w:t xml:space="preserve"> </w:t>
      </w:r>
      <w:r>
        <w:t xml:space="preserve">from each qualifying site, aggregate them to a site × sign presence vector (a sign is present at a site if any of its k sampled objects carries it), and rebuild the Jaccard network at the main-text threshold of 0.2. We then re-derive the site partition with Louvain community detection and realign it to the manual R/B labels by assigning each Louvain community to the majority manual group among its members. This mirrors the data-driven re-derivation used in S5.1, but operates on object-downsampled data rather than on the observed site totals. Two quantities are recorded per replicate: (i) for each site, whether its realigned partition matches its manual group (</w:t>
      </w:r>
      <w:r>
        <w:rPr>
          <w:bCs/>
          <w:b/>
        </w:rPr>
        <w:t xml:space="preserve">group retention</w:t>
      </w:r>
      <w:r>
        <w:t xml:space="preserve">), and (ii) the Adjusted Rand Index (ARI) between the realigned partition and the manual groups, plus the network modularity. Across replicates we summarise the per-site retention rate and the mean ARI / modularity.</w:t>
      </w:r>
    </w:p>
    <w:p>
      <w:pPr>
        <w:pStyle w:val="BodyText"/>
      </w:pPr>
      <w:r>
        <w:rPr>
          <w:bCs/>
          <w:b/>
        </w:rPr>
        <w:t xml:space="preserve">Question this analysis answers:</w:t>
      </w:r>
      <w:r>
        <w:t xml:space="preserve"> </w:t>
      </w:r>
      <w:r>
        <w:t xml:space="preserve">when the R/B assignment is re-derived from object-downsampled data, how often does each site keep its group, and how stable is the community structure?</w:t>
      </w:r>
    </w:p>
    <w:tbl>
      <w:tblPr>
        <w:tblStyle w:val="Table"/>
        <w:tblW w:type="pct" w:w="5000"/>
        <w:tblLook w:firstRow="0" w:lastRow="0" w:firstColumn="0" w:lastColumn="0" w:noHBand="0" w:noVBand="0" w:val="0000"/>
        <w:jc w:val="start"/>
        <w:tblLayout w:type="fixed"/>
      </w:tblPr>
      <w:tblGrid>
        <w:gridCol w:w="7920"/>
      </w:tblGrid>
      <w:tr>
        <w:tc>
          <w:tcPr/>
          <w:bookmarkStart w:id="253" w:name="tbl-s9-retention"/>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jc w:val="center"/>
                  </w:pPr>
                  <w:r>
                    <w:t xml:space="preserve">Site</w:t>
                  </w:r>
                </w:p>
              </w:tc>
              <w:tc>
                <w:tcPr/>
                <w:p>
                  <w:pPr>
                    <w:pStyle w:val="Compact"/>
                    <w:jc w:val="left"/>
                    <w:jc w:val="center"/>
                  </w:pPr>
                  <w:r>
                    <w:t xml:space="preserve">Phase</w:t>
                  </w:r>
                </w:p>
              </w:tc>
              <w:tc>
                <w:tcPr/>
                <w:p>
                  <w:pPr>
                    <w:pStyle w:val="Compact"/>
                    <w:jc w:val="right"/>
                    <w:jc w:val="center"/>
                  </w:pPr>
                  <w:r>
                    <w:t xml:space="preserve">Group</w:t>
                  </w:r>
                </w:p>
              </w:tc>
              <w:tc>
                <w:tcPr/>
                <w:p>
                  <w:pPr>
                    <w:pStyle w:val="Compact"/>
                    <w:jc w:val="right"/>
                    <w:jc w:val="center"/>
                  </w:pPr>
                  <w:r>
                    <w:t xml:space="preserve">Objects</w:t>
                  </w:r>
                </w:p>
              </w:tc>
              <w:tc>
                <w:tcPr/>
                <w:p>
                  <w:pPr>
                    <w:pStyle w:val="Compact"/>
                    <w:jc w:val="right"/>
                    <w:jc w:val="center"/>
                  </w:pPr>
                  <w:r>
                    <w:t xml:space="preserve">k=3</w:t>
                  </w:r>
                </w:p>
              </w:tc>
              <w:tc>
                <w:tcPr/>
                <w:p>
                  <w:pPr>
                    <w:pStyle w:val="Compact"/>
                    <w:jc w:val="right"/>
                    <w:jc w:val="center"/>
                  </w:pPr>
                  <w:r>
                    <w:t xml:space="preserve">k=5</w:t>
                  </w:r>
                </w:p>
              </w:tc>
              <w:tc>
                <w:tcPr/>
                <w:p>
                  <w:pPr>
                    <w:pStyle w:val="Compact"/>
                    <w:jc w:val="right"/>
                    <w:jc w:val="center"/>
                  </w:pPr>
                  <w:r>
                    <w:t xml:space="preserve">k=10</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4</w:t>
                  </w:r>
                </w:p>
              </w:tc>
              <w:tc>
                <w:tcPr/>
                <w:p>
                  <w:pPr>
                    <w:pStyle w:val="Compact"/>
                    <w:jc w:val="right"/>
                    <w:jc w:val="center"/>
                  </w:pPr>
                  <w:r>
                    <w:t xml:space="preserve">0.15</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0.72</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0.16</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0.72</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173</w:t>
                  </w:r>
                </w:p>
              </w:tc>
              <w:tc>
                <w:tcPr/>
                <w:p>
                  <w:pPr>
                    <w:pStyle w:val="Compact"/>
                    <w:jc w:val="right"/>
                    <w:jc w:val="center"/>
                  </w:pPr>
                  <w:r>
                    <w:t xml:space="preserve">0.73</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30</w:t>
                  </w:r>
                </w:p>
              </w:tc>
              <w:tc>
                <w:tcPr/>
                <w:p>
                  <w:pPr>
                    <w:pStyle w:val="Compact"/>
                    <w:jc w:val="right"/>
                    <w:jc w:val="center"/>
                  </w:pPr>
                  <w:r>
                    <w:t xml:space="preserve">0.71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28</w:t>
                  </w:r>
                </w:p>
              </w:tc>
              <w:tc>
                <w:tcPr/>
                <w:p>
                  <w:pPr>
                    <w:pStyle w:val="Compact"/>
                    <w:jc w:val="right"/>
                    <w:jc w:val="center"/>
                  </w:pPr>
                  <w:r>
                    <w:t xml:space="preserve">0.81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22</w:t>
                  </w:r>
                </w:p>
              </w:tc>
              <w:tc>
                <w:tcPr/>
                <w:p>
                  <w:pPr>
                    <w:pStyle w:val="Compact"/>
                    <w:jc w:val="right"/>
                    <w:jc w:val="center"/>
                  </w:pPr>
                  <w:r>
                    <w:t xml:space="preserve">0.92</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21</w:t>
                  </w:r>
                </w:p>
              </w:tc>
              <w:tc>
                <w:tcPr/>
                <w:p>
                  <w:pPr>
                    <w:pStyle w:val="Compact"/>
                    <w:jc w:val="right"/>
                    <w:jc w:val="center"/>
                  </w:pPr>
                  <w:r>
                    <w:t xml:space="preserve">0.92</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Hohle Fels</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20</w:t>
                  </w:r>
                </w:p>
              </w:tc>
              <w:tc>
                <w:tcPr/>
                <w:p>
                  <w:pPr>
                    <w:pStyle w:val="Compact"/>
                    <w:jc w:val="right"/>
                    <w:jc w:val="center"/>
                  </w:pPr>
                  <w:r>
                    <w:t xml:space="preserve">0.97</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18</w:t>
                  </w:r>
                </w:p>
              </w:tc>
              <w:tc>
                <w:tcPr/>
                <w:p>
                  <w:pPr>
                    <w:pStyle w:val="Compact"/>
                    <w:jc w:val="right"/>
                    <w:jc w:val="center"/>
                  </w:pPr>
                  <w:r>
                    <w:t xml:space="preserve">0.89</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7</w:t>
                  </w:r>
                </w:p>
              </w:tc>
              <w:tc>
                <w:tcPr/>
                <w:p>
                  <w:pPr>
                    <w:pStyle w:val="Compact"/>
                    <w:jc w:val="right"/>
                    <w:jc w:val="center"/>
                  </w:pPr>
                  <w:r>
                    <w:t xml:space="preserve">0.94</w:t>
                  </w:r>
                </w:p>
              </w:tc>
              <w:tc>
                <w:tcPr/>
                <w:p>
                  <w:pPr>
                    <w:pStyle w:val="Compact"/>
                    <w:jc w:val="right"/>
                    <w:jc w:val="center"/>
                  </w:pPr>
                  <w:r>
                    <w:t xml:space="preserve">1.00</w:t>
                  </w:r>
                </w:p>
              </w:tc>
              <w:tc>
                <w:tcPr/>
                <w:p>
                  <w:pPr>
                    <w:pStyle w:val="Compact"/>
                    <w:jc w:val="right"/>
                    <w:jc w:val="center"/>
                  </w:pPr>
                  <w:r>
                    <w:t xml:space="preserve">NA</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0.87</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right"/>
                    <w:jc w:val="center"/>
                  </w:pPr>
                  <w:r>
                    <w:t xml:space="preserve">1</w:t>
                  </w:r>
                </w:p>
              </w:tc>
              <w:tc>
                <w:tcPr/>
                <w:p>
                  <w:pPr>
                    <w:pStyle w:val="Compact"/>
                    <w:jc w:val="right"/>
                    <w:jc w:val="center"/>
                  </w:pPr>
                  <w:r>
                    <w:t xml:space="preserve">11</w:t>
                  </w:r>
                </w:p>
              </w:tc>
              <w:tc>
                <w:tcPr/>
                <w:p>
                  <w:pPr>
                    <w:pStyle w:val="Compact"/>
                    <w:jc w:val="right"/>
                    <w:jc w:val="center"/>
                  </w:pPr>
                  <w:r>
                    <w:t xml:space="preserve">0.47</w:t>
                  </w:r>
                </w:p>
              </w:tc>
              <w:tc>
                <w:tcPr/>
                <w:p>
                  <w:pPr>
                    <w:pStyle w:val="Compact"/>
                    <w:jc w:val="right"/>
                    <w:jc w:val="center"/>
                  </w:pPr>
                  <w:r>
                    <w:t xml:space="preserve">0.15</w:t>
                  </w:r>
                </w:p>
              </w:tc>
              <w:tc>
                <w:tcPr/>
                <w:p>
                  <w:pPr>
                    <w:pStyle w:val="Compact"/>
                    <w:jc w:val="right"/>
                    <w:jc w:val="center"/>
                  </w:pPr>
                  <w:r>
                    <w:t xml:space="preserve">0.03</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right"/>
                    <w:jc w:val="center"/>
                  </w:pPr>
                  <w:r>
                    <w:t xml:space="preserve">1</w:t>
                  </w:r>
                </w:p>
              </w:tc>
              <w:tc>
                <w:tcPr/>
                <w:p>
                  <w:pPr>
                    <w:pStyle w:val="Compact"/>
                    <w:jc w:val="right"/>
                    <w:jc w:val="center"/>
                  </w:pPr>
                  <w:r>
                    <w:t xml:space="preserve">4</w:t>
                  </w:r>
                </w:p>
              </w:tc>
              <w:tc>
                <w:tcPr/>
                <w:p>
                  <w:pPr>
                    <w:pStyle w:val="Compact"/>
                    <w:jc w:val="right"/>
                    <w:jc w:val="center"/>
                  </w:pPr>
                  <w:r>
                    <w:t xml:space="preserve">0.46</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Hohle Fels</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29</w:t>
                  </w:r>
                </w:p>
              </w:tc>
              <w:tc>
                <w:tcPr/>
                <w:p>
                  <w:pPr>
                    <w:pStyle w:val="Compact"/>
                    <w:jc w:val="right"/>
                    <w:jc w:val="center"/>
                  </w:pPr>
                  <w:r>
                    <w:t xml:space="preserve">0.92</w:t>
                  </w:r>
                </w:p>
              </w:tc>
              <w:tc>
                <w:tcPr/>
                <w:p>
                  <w:pPr>
                    <w:pStyle w:val="Compact"/>
                    <w:jc w:val="right"/>
                    <w:jc w:val="center"/>
                  </w:pPr>
                  <w:r>
                    <w:t xml:space="preserve">0.99</w:t>
                  </w:r>
                </w:p>
              </w:tc>
              <w:tc>
                <w:tcPr/>
                <w:p>
                  <w:pPr>
                    <w:pStyle w:val="Compact"/>
                    <w:jc w:val="right"/>
                    <w:jc w:val="center"/>
                  </w:pPr>
                  <w:r>
                    <w:t xml:space="preserve">1.00</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12</w:t>
                  </w:r>
                </w:p>
              </w:tc>
              <w:tc>
                <w:tcPr/>
                <w:p>
                  <w:pPr>
                    <w:pStyle w:val="Compact"/>
                    <w:jc w:val="right"/>
                    <w:jc w:val="center"/>
                  </w:pPr>
                  <w:r>
                    <w:t xml:space="preserve">0.70</w:t>
                  </w:r>
                </w:p>
              </w:tc>
              <w:tc>
                <w:tcPr/>
                <w:p>
                  <w:pPr>
                    <w:pStyle w:val="Compact"/>
                    <w:jc w:val="right"/>
                    <w:jc w:val="center"/>
                  </w:pPr>
                  <w:r>
                    <w:t xml:space="preserve">0.88</w:t>
                  </w:r>
                </w:p>
              </w:tc>
              <w:tc>
                <w:tcPr/>
                <w:p>
                  <w:pPr>
                    <w:pStyle w:val="Compact"/>
                    <w:jc w:val="right"/>
                    <w:jc w:val="center"/>
                  </w:pPr>
                  <w:r>
                    <w:t xml:space="preserve">0.97</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0.76</w:t>
                  </w:r>
                </w:p>
              </w:tc>
              <w:tc>
                <w:tcPr/>
                <w:p>
                  <w:pPr>
                    <w:pStyle w:val="Compact"/>
                    <w:jc w:val="right"/>
                    <w:jc w:val="center"/>
                  </w:pPr>
                  <w:r>
                    <w:t xml:space="preserve">NA</w:t>
                  </w:r>
                </w:p>
              </w:tc>
              <w:tc>
                <w:tcPr/>
                <w:p>
                  <w:pPr>
                    <w:pStyle w:val="Compact"/>
                    <w:jc w:val="right"/>
                    <w:jc w:val="center"/>
                  </w:pPr>
                  <w:r>
                    <w:t xml:space="preserve">NA</w:t>
                  </w:r>
                </w:p>
              </w:tc>
            </w:tr>
          </w:tbl>
          <w:p>
            <w:pPr>
              <w:jc w:val="center"/>
            </w:pPr>
            <w:pPr>
              <w:jc w:val="start"/>
              <w:spacing w:before="200"/>
              <w:pStyle w:val="ImageCaption"/>
            </w:pPr>
            <w:r>
              <w:t xml:space="preserve">Table 36: Per-site group-retention rate under object-level downsampling to k = 3, 5, 10 objects per site (500 replicates each). Retention is the fraction of replicates in which the site’s realigned Louvain partition matches its manual restricted/broad assignment. Sites with fewer than k objects are excluded at that level.</w:t>
            </w:r>
          </w:p>
          <w:bookmarkEnd w:id="253"/>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54" w:name="tbl-s9-stability"/>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Phase</w:t>
                  </w:r>
                </w:p>
              </w:tc>
              <w:tc>
                <w:tcPr/>
                <w:p>
                  <w:pPr>
                    <w:pStyle w:val="Compact"/>
                    <w:jc w:val="right"/>
                    <w:jc w:val="center"/>
                  </w:pPr>
                  <w:r>
                    <w:t xml:space="preserve">k</w:t>
                  </w:r>
                </w:p>
              </w:tc>
              <w:tc>
                <w:tcPr/>
                <w:p>
                  <w:pPr>
                    <w:pStyle w:val="Compact"/>
                    <w:jc w:val="right"/>
                    <w:jc w:val="center"/>
                  </w:pPr>
                  <w:r>
                    <w:t xml:space="preserve">Sites</w:t>
                  </w:r>
                </w:p>
              </w:tc>
              <w:tc>
                <w:tcPr/>
                <w:p>
                  <w:pPr>
                    <w:pStyle w:val="Compact"/>
                    <w:jc w:val="right"/>
                    <w:jc w:val="center"/>
                  </w:pPr>
                  <w:r>
                    <w:t xml:space="preserve">Mean ARI</w:t>
                  </w:r>
                </w:p>
              </w:tc>
              <w:tc>
                <w:tcPr/>
                <w:p>
                  <w:pPr>
                    <w:pStyle w:val="Compact"/>
                    <w:jc w:val="right"/>
                    <w:jc w:val="center"/>
                  </w:pPr>
                  <w:r>
                    <w:t xml:space="preserve">Mean modularity</w:t>
                  </w:r>
                </w:p>
              </w:tc>
              <w:tc>
                <w:tcPr/>
                <w:p>
                  <w:pPr>
                    <w:pStyle w:val="Compact"/>
                    <w:jc w:val="right"/>
                    <w:jc w:val="center"/>
                  </w:pPr>
                  <w:r>
                    <w:t xml:space="preserve">Mean # communities</w:t>
                  </w:r>
                </w:p>
              </w:tc>
            </w:tr>
            <w:tr>
              <w:tc>
                <w:tcPr/>
                <w:p>
                  <w:pPr>
                    <w:pStyle w:val="Compact"/>
                    <w:jc w:val="left"/>
                    <w:jc w:val="center"/>
                  </w:pPr>
                  <w:r>
                    <w:t xml:space="preserve">Aur-P1</w:t>
                  </w:r>
                </w:p>
              </w:tc>
              <w:tc>
                <w:tcPr/>
                <w:p>
                  <w:pPr>
                    <w:pStyle w:val="Compact"/>
                    <w:jc w:val="right"/>
                    <w:jc w:val="center"/>
                  </w:pPr>
                  <w:r>
                    <w:t xml:space="preserve">3</w:t>
                  </w:r>
                </w:p>
              </w:tc>
              <w:tc>
                <w:tcPr/>
                <w:p>
                  <w:pPr>
                    <w:pStyle w:val="Compact"/>
                    <w:jc w:val="right"/>
                    <w:jc w:val="center"/>
                  </w:pPr>
                  <w:r>
                    <w:t xml:space="preserve">13</w:t>
                  </w:r>
                </w:p>
              </w:tc>
              <w:tc>
                <w:tcPr/>
                <w:p>
                  <w:pPr>
                    <w:pStyle w:val="Compact"/>
                    <w:jc w:val="right"/>
                    <w:jc w:val="center"/>
                  </w:pPr>
                  <w:r>
                    <w:t xml:space="preserve">0.186</w:t>
                  </w:r>
                </w:p>
              </w:tc>
              <w:tc>
                <w:tcPr/>
                <w:p>
                  <w:pPr>
                    <w:pStyle w:val="Compact"/>
                    <w:jc w:val="right"/>
                    <w:jc w:val="center"/>
                  </w:pPr>
                  <w:r>
                    <w:t xml:space="preserve">0.145</w:t>
                  </w:r>
                </w:p>
              </w:tc>
              <w:tc>
                <w:tcPr/>
                <w:p>
                  <w:pPr>
                    <w:pStyle w:val="Compact"/>
                    <w:jc w:val="right"/>
                    <w:jc w:val="center"/>
                  </w:pPr>
                  <w:r>
                    <w:t xml:space="preserve">2.690</w:t>
                  </w:r>
                </w:p>
              </w:tc>
            </w:tr>
            <w:tr>
              <w:tc>
                <w:tcPr/>
                <w:p>
                  <w:pPr>
                    <w:pStyle w:val="Compact"/>
                    <w:jc w:val="left"/>
                    <w:jc w:val="center"/>
                  </w:pPr>
                  <w:r>
                    <w:t xml:space="preserve">Aur-P2</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0.118</w:t>
                  </w:r>
                </w:p>
              </w:tc>
              <w:tc>
                <w:tcPr/>
                <w:p>
                  <w:pPr>
                    <w:pStyle w:val="Compact"/>
                    <w:jc w:val="right"/>
                    <w:jc w:val="center"/>
                  </w:pPr>
                  <w:r>
                    <w:t xml:space="preserve">0.009</w:t>
                  </w:r>
                </w:p>
              </w:tc>
              <w:tc>
                <w:tcPr/>
                <w:p>
                  <w:pPr>
                    <w:pStyle w:val="Compact"/>
                    <w:jc w:val="right"/>
                    <w:jc w:val="center"/>
                  </w:pPr>
                  <w:r>
                    <w:t xml:space="preserve">1.486</w:t>
                  </w:r>
                </w:p>
              </w:tc>
            </w:tr>
            <w:tr>
              <w:tc>
                <w:tcPr/>
                <w:p>
                  <w:pPr>
                    <w:pStyle w:val="Compact"/>
                    <w:jc w:val="left"/>
                    <w:jc w:val="center"/>
                  </w:pPr>
                  <w:r>
                    <w:t xml:space="preserve">Aur-P1</w:t>
                  </w:r>
                </w:p>
              </w:tc>
              <w:tc>
                <w:tcPr/>
                <w:p>
                  <w:pPr>
                    <w:pStyle w:val="Compact"/>
                    <w:jc w:val="right"/>
                    <w:jc w:val="center"/>
                  </w:pPr>
                  <w:r>
                    <w:t xml:space="preserve">5</w:t>
                  </w:r>
                </w:p>
              </w:tc>
              <w:tc>
                <w:tcPr/>
                <w:p>
                  <w:pPr>
                    <w:pStyle w:val="Compact"/>
                    <w:jc w:val="right"/>
                    <w:jc w:val="center"/>
                  </w:pPr>
                  <w:r>
                    <w:t xml:space="preserve">8</w:t>
                  </w:r>
                </w:p>
              </w:tc>
              <w:tc>
                <w:tcPr/>
                <w:p>
                  <w:pPr>
                    <w:pStyle w:val="Compact"/>
                    <w:jc w:val="right"/>
                    <w:jc w:val="center"/>
                  </w:pPr>
                  <w:r>
                    <w:t xml:space="preserve">NA</w:t>
                  </w:r>
                </w:p>
              </w:tc>
              <w:tc>
                <w:tcPr/>
                <w:p>
                  <w:pPr>
                    <w:pStyle w:val="Compact"/>
                    <w:jc w:val="right"/>
                    <w:jc w:val="center"/>
                  </w:pPr>
                  <w:r>
                    <w:t xml:space="preserve">0.115</w:t>
                  </w:r>
                </w:p>
              </w:tc>
              <w:tc>
                <w:tcPr/>
                <w:p>
                  <w:pPr>
                    <w:pStyle w:val="Compact"/>
                    <w:jc w:val="right"/>
                    <w:jc w:val="center"/>
                  </w:pPr>
                  <w:r>
                    <w:t xml:space="preserve">2.198</w:t>
                  </w:r>
                </w:p>
              </w:tc>
            </w:tr>
            <w:tr>
              <w:tc>
                <w:tcPr/>
                <w:p>
                  <w:pPr>
                    <w:pStyle w:val="Compact"/>
                    <w:jc w:val="left"/>
                    <w:jc w:val="center"/>
                  </w:pPr>
                  <w:r>
                    <w:t xml:space="preserve">Aur-P2</w:t>
                  </w:r>
                </w:p>
              </w:tc>
              <w:tc>
                <w:tcPr/>
                <w:p>
                  <w:pPr>
                    <w:pStyle w:val="Compact"/>
                    <w:jc w:val="right"/>
                    <w:jc w:val="center"/>
                  </w:pPr>
                  <w:r>
                    <w:t xml:space="preserve">5</w:t>
                  </w:r>
                </w:p>
              </w:tc>
              <w:tc>
                <w:tcPr/>
                <w:p>
                  <w:pPr>
                    <w:pStyle w:val="Compact"/>
                    <w:jc w:val="right"/>
                    <w:jc w:val="center"/>
                  </w:pPr>
                  <w:r>
                    <w:t xml:space="preserve">3</w:t>
                  </w:r>
                </w:p>
              </w:tc>
              <w:tc>
                <w:tcPr/>
                <w:p>
                  <w:pPr>
                    <w:pStyle w:val="Compact"/>
                    <w:jc w:val="right"/>
                    <w:jc w:val="center"/>
                  </w:pPr>
                  <w:r>
                    <w:t xml:space="preserve">-0.266</w:t>
                  </w:r>
                </w:p>
              </w:tc>
              <w:tc>
                <w:tcPr/>
                <w:p>
                  <w:pPr>
                    <w:pStyle w:val="Compact"/>
                    <w:jc w:val="right"/>
                    <w:jc w:val="center"/>
                  </w:pPr>
                  <w:r>
                    <w:t xml:space="preserve">0.000</w:t>
                  </w:r>
                </w:p>
              </w:tc>
              <w:tc>
                <w:tcPr/>
                <w:p>
                  <w:pPr>
                    <w:pStyle w:val="Compact"/>
                    <w:jc w:val="right"/>
                    <w:jc w:val="center"/>
                  </w:pPr>
                  <w:r>
                    <w:t xml:space="preserve">1.160</w:t>
                  </w:r>
                </w:p>
              </w:tc>
            </w:tr>
            <w:tr>
              <w:tc>
                <w:tcPr/>
                <w:p>
                  <w:pPr>
                    <w:pStyle w:val="Compact"/>
                    <w:jc w:val="left"/>
                    <w:jc w:val="center"/>
                  </w:pPr>
                  <w:r>
                    <w:t xml:space="preserve">Aur-P1</w:t>
                  </w:r>
                </w:p>
              </w:tc>
              <w:tc>
                <w:tcPr/>
                <w:p>
                  <w:pPr>
                    <w:pStyle w:val="Compact"/>
                    <w:jc w:val="right"/>
                    <w:jc w:val="center"/>
                  </w:pPr>
                  <w:r>
                    <w:t xml:space="preserve">10</w:t>
                  </w:r>
                </w:p>
              </w:tc>
              <w:tc>
                <w:tcPr/>
                <w:p>
                  <w:pPr>
                    <w:pStyle w:val="Compact"/>
                    <w:jc w:val="right"/>
                    <w:jc w:val="center"/>
                  </w:pPr>
                  <w:r>
                    <w:t xml:space="preserve">7</w:t>
                  </w:r>
                </w:p>
              </w:tc>
              <w:tc>
                <w:tcPr/>
                <w:p>
                  <w:pPr>
                    <w:pStyle w:val="Compact"/>
                    <w:jc w:val="right"/>
                    <w:jc w:val="center"/>
                  </w:pPr>
                  <w:r>
                    <w:t xml:space="preserve">NA</w:t>
                  </w:r>
                </w:p>
              </w:tc>
              <w:tc>
                <w:tcPr/>
                <w:p>
                  <w:pPr>
                    <w:pStyle w:val="Compact"/>
                    <w:jc w:val="right"/>
                    <w:jc w:val="center"/>
                  </w:pPr>
                  <w:r>
                    <w:t xml:space="preserve">0.086</w:t>
                  </w:r>
                </w:p>
              </w:tc>
              <w:tc>
                <w:tcPr/>
                <w:p>
                  <w:pPr>
                    <w:pStyle w:val="Compact"/>
                    <w:jc w:val="right"/>
                    <w:jc w:val="center"/>
                  </w:pPr>
                  <w:r>
                    <w:t xml:space="preserve">1.990</w:t>
                  </w:r>
                </w:p>
              </w:tc>
            </w:tr>
            <w:tr>
              <w:tc>
                <w:tcPr/>
                <w:p>
                  <w:pPr>
                    <w:pStyle w:val="Compact"/>
                    <w:jc w:val="left"/>
                    <w:jc w:val="center"/>
                  </w:pPr>
                  <w:r>
                    <w:t xml:space="preserve">Aur-P2</w:t>
                  </w:r>
                </w:p>
              </w:tc>
              <w:tc>
                <w:tcPr/>
                <w:p>
                  <w:pPr>
                    <w:pStyle w:val="Compact"/>
                    <w:jc w:val="right"/>
                    <w:jc w:val="center"/>
                  </w:pPr>
                  <w:r>
                    <w:t xml:space="preserve">10</w:t>
                  </w:r>
                </w:p>
              </w:tc>
              <w:tc>
                <w:tcPr/>
                <w:p>
                  <w:pPr>
                    <w:pStyle w:val="Compact"/>
                    <w:jc w:val="right"/>
                    <w:jc w:val="center"/>
                  </w:pPr>
                  <w:r>
                    <w:t xml:space="preserve">3</w:t>
                  </w:r>
                </w:p>
              </w:tc>
              <w:tc>
                <w:tcPr/>
                <w:p>
                  <w:pPr>
                    <w:pStyle w:val="Compact"/>
                    <w:jc w:val="right"/>
                    <w:jc w:val="center"/>
                  </w:pPr>
                  <w:r>
                    <w:t xml:space="preserve">-0.500</w:t>
                  </w:r>
                </w:p>
              </w:tc>
              <w:tc>
                <w:tcPr/>
                <w:p>
                  <w:pPr>
                    <w:pStyle w:val="Compact"/>
                    <w:jc w:val="right"/>
                    <w:jc w:val="center"/>
                  </w:pPr>
                  <w:r>
                    <w:t xml:space="preserve">0.000</w:t>
                  </w:r>
                </w:p>
              </w:tc>
              <w:tc>
                <w:tcPr/>
                <w:p>
                  <w:pPr>
                    <w:pStyle w:val="Compact"/>
                    <w:jc w:val="right"/>
                    <w:jc w:val="center"/>
                  </w:pPr>
                  <w:r>
                    <w:t xml:space="preserve">1.032</w:t>
                  </w:r>
                </w:p>
              </w:tc>
            </w:tr>
          </w:tbl>
          <w:p>
            <w:pPr>
              <w:jc w:val="center"/>
            </w:pPr>
            <w:pPr>
              <w:jc w:val="start"/>
              <w:spacing w:before="200"/>
              <w:pStyle w:val="ImageCaption"/>
            </w:pPr>
            <w:r>
              <w:t xml:space="preserve">Table 37: Community-structure stability under object-level downsampling. For each phase and common count k: number of sites qualifying, mean Adjusted Rand Index (ARI) between the downsampled Louvain partition and the manual groups, mean network modularity, and mean number of Louvain communities detected.</w:t>
            </w:r>
          </w:p>
          <w:bookmarkEnd w:id="254"/>
        </w:tc>
      </w:tr>
    </w:tbl>
    <w:tbl>
      <w:tblPr>
        <w:tblStyle w:val="Table"/>
        <w:tblW w:type="pct" w:w="5000"/>
        <w:tblLook w:firstRow="0" w:lastRow="0" w:firstColumn="0" w:lastColumn="0" w:noHBand="0" w:noVBand="0" w:val="0000"/>
        <w:jc w:val="start"/>
        <w:tblLayout w:type="fixed"/>
      </w:tblPr>
      <w:tblGrid>
        <w:gridCol w:w="7920"/>
      </w:tblGrid>
      <w:tr>
        <w:tc>
          <w:tcPr/>
          <w:bookmarkStart w:id="258" w:name="fig-s9-retention"/>
          <w:p>
            <w:pPr>
              <w:pStyle w:val="Compact"/>
              <w:jc w:val="center"/>
            </w:pPr>
            <w:r>
              <w:drawing>
                <wp:inline>
                  <wp:extent cx="5943600" cy="5943600"/>
                  <wp:effectExtent b="0" l="0" r="0" t="0"/>
                  <wp:docPr descr="" title="" id="256" name="Picture"/>
                  <a:graphic>
                    <a:graphicData uri="http://schemas.openxmlformats.org/drawingml/2006/picture">
                      <pic:pic>
                        <pic:nvPicPr>
                          <pic:cNvPr descr="S1-supplement-sensitivity_files/figure-docx/fig-s9-retention-1.png" id="257" name="Picture"/>
                          <pic:cNvPicPr>
                            <a:picLocks noChangeArrowheads="1" noChangeAspect="1"/>
                          </pic:cNvPicPr>
                        </pic:nvPicPr>
                        <pic:blipFill>
                          <a:blip r:embed="rId255"/>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Group-retention rate by site under object-level downsampling to k = 3, 5, 10 objects per site. Bars near 1 (red) indicate assignments that survive downsampling; bars near 0.5 (blue) indicate assignments that are essentially random with respect to the manual grouping and therefore unstable.</w:t>
            </w:r>
          </w:p>
          <w:bookmarkEnd w:id="258"/>
        </w:tc>
      </w:tr>
    </w:tbl>
    <w:bookmarkEnd w:id="259"/>
    <w:bookmarkStart w:id="260" w:name="interpretation-9"/>
    <w:p>
      <w:pPr>
        <w:pStyle w:val="Heading3"/>
      </w:pPr>
      <w:r>
        <w:t xml:space="preserve">Interpretation</w:t>
      </w:r>
    </w:p>
    <w:p>
      <w:pPr>
        <w:pStyle w:val="FirstParagraph"/>
      </w:pPr>
      <w:r>
        <w:rPr>
          <w:bCs/>
          <w:b/>
        </w:rPr>
        <w:t xml:space="preserve">Question: does each site keep its group under object-level downsampling, and how stable is the community structure?</w:t>
      </w:r>
      <w:r>
        <w:t xml:space="preserve"> </w:t>
      </w:r>
      <w:r>
        <w:t xml:space="preserve">No. The assignment is stable only for the better-sampled sites. In Aur-P1 at k = 3, large broad-range sites such as Vogelherd (0.73), Hohle Fels (0.97), and La Ferrassie (0.92) retain their group in the large majority of replicates, whereas small restricted-range sites collapse: Gatzarria (0.16) and Grotte de la Verpillière I (0.15) keep their group little more often than chance. The mean ARI between the downsampled partition and the manual groups is low at every level (0.19 at k = 3, NA at k = 5, NA at k = 10 for Aur-P1), and modularity falls to near zero (e.g. 0.15 at k = 3), reflecting the fragmentation of the network when each site is represented by only a handful of objects.</w:t>
      </w:r>
    </w:p>
    <w:p>
      <w:pPr>
        <w:pStyle w:val="BodyText"/>
      </w:pPr>
      <w:r>
        <w:t xml:space="preserve">The same pattern holds in Aur-P2, where even fewer sites qualify at higher k and retention is correspondingly noisier.</w:t>
      </w:r>
      <w:r>
        <w:t xml:space="preserve"> </w:t>
      </w:r>
      <w:r>
        <w:rPr>
          <w:bCs/>
          <w:b/>
        </w:rPr>
        <w:t xml:space="preserve">Answer:</w:t>
      </w:r>
      <w:r>
        <w:t xml:space="preserve"> </w:t>
      </w:r>
      <w:r>
        <w:t xml:space="preserve">the R/B assignment of small-object sites is not robust to object-level downsampling; only the best-sampled sites retain their grouping, and the community structure as a whole loses coherence under downsampling. This shows that the division is, at least in part, a sampling-intensity effect rather than a fully stable cultural partition.</w:t>
      </w:r>
    </w:p>
    <w:bookmarkEnd w:id="260"/>
    <w:bookmarkEnd w:id="261"/>
    <w:bookmarkStart w:id="269" w:name="sec-s9-3"/>
    <w:p>
      <w:pPr>
        <w:pStyle w:val="Heading2"/>
      </w:pPr>
      <w:r>
        <w:t xml:space="preserve">S9.3 Coverage-based rarefaction</w:t>
      </w:r>
    </w:p>
    <w:bookmarkStart w:id="267" w:name="rationale-12"/>
    <w:p>
      <w:pPr>
        <w:pStyle w:val="Heading3"/>
      </w:pPr>
      <w:r>
        <w:t xml:space="preserve">Rationale</w:t>
      </w:r>
    </w:p>
    <w:p>
      <w:pPr>
        <w:pStyle w:val="FirstParagraph"/>
      </w:pPr>
      <w:r>
        <w:t xml:space="preserve">Equal object counts do not equalise</w:t>
      </w:r>
      <w:r>
        <w:t xml:space="preserve"> </w:t>
      </w:r>
      <w:r>
        <w:rPr>
          <w:iCs/>
          <w:i/>
        </w:rPr>
        <w:t xml:space="preserve">sampling effort</w:t>
      </w:r>
      <w:r>
        <w:t xml:space="preserve"> </w:t>
      </w:r>
      <w:r>
        <w:t xml:space="preserve">when sites differ in how concentrated their signs are. The reviewer’s preferred method is</w:t>
      </w:r>
      <w:r>
        <w:t xml:space="preserve"> </w:t>
      </w:r>
      <w:r>
        <w:rPr>
          <w:bCs/>
          <w:b/>
        </w:rPr>
        <w:t xml:space="preserve">coverage-based rarefaction</w:t>
      </w:r>
      <w:r>
        <w:t xml:space="preserve">: compare richness at equal</w:t>
      </w:r>
      <w:r>
        <w:t xml:space="preserve"> </w:t>
      </w:r>
      <w:r>
        <w:rPr>
          <w:iCs/>
          <w:i/>
        </w:rPr>
        <w:t xml:space="preserve">sample coverage</w:t>
      </w:r>
      <w:r>
        <w:t xml:space="preserve"> </w:t>
      </w:r>
      <w:r>
        <w:t xml:space="preserve">rather than equal object count</w:t>
      </w:r>
      <w:r>
        <w:t xml:space="preserve"> </w:t>
      </w:r>
      <w:r>
        <w:t xml:space="preserve">[24,25]</w:t>
      </w:r>
      <w:r>
        <w:t xml:space="preserve">. For each site we estimate its sign-type richness at a target coverage of 0.9 (a standard</w:t>
      </w:r>
      <w:r>
        <w:t xml:space="preserve"> </w:t>
      </w:r>
      <w:r>
        <w:t xml:space="preserve">“</w:t>
      </w:r>
      <w:r>
        <w:t xml:space="preserve">high coverage</w:t>
      </w:r>
      <w:r>
        <w:t xml:space="preserve">”</w:t>
      </w:r>
      <w:r>
        <w:t xml:space="preserve"> </w:t>
      </w:r>
      <w:r>
        <w:t xml:space="preserve">benchmark) with</w:t>
      </w:r>
      <w:r>
        <w:t xml:space="preserve"> </w:t>
      </w:r>
      <w:r>
        <w:rPr>
          <w:rStyle w:val="VerbatimChar"/>
        </w:rPr>
        <w:t xml:space="preserve">iNEXT::estimateD</w:t>
      </w:r>
      <w:r>
        <w:t xml:space="preserve"> </w:t>
      </w:r>
      <w:r>
        <w:t xml:space="preserve">on the site’s object-by-sign incidence matrix (</w:t>
      </w:r>
      <w:r>
        <w:rPr>
          <w:rStyle w:val="VerbatimChar"/>
        </w:rPr>
        <w:t xml:space="preserve">datatype = "incidence_raw"</w:t>
      </w:r>
      <w:r>
        <w:t xml:space="preserve">), which returns 95% confidence intervals from 200 bootstrap replicates</w:t>
      </w:r>
      <w:r>
        <w:t xml:space="preserve"> </w:t>
      </w:r>
      <w:r>
        <w:t xml:space="preserve">[26]</w:t>
      </w:r>
      <w:r>
        <w:t xml:space="preserve">. Sites with fewer than three objects, failed fits, or targets reachable only by extrapolating beyond twice the observed sample cannot be placed on a common coverage footing; for these we report Chao and Jost’s analytic incidence-coverage estimator with object-resampling bootstrap intervals and a Chao2 asymptotic-richness estimate as a fallback quantity, with the reason recorded per site. We then compare restricted and broad sites at that equal coverage.</w:t>
      </w:r>
    </w:p>
    <w:p>
      <w:pPr>
        <w:pStyle w:val="BodyText"/>
      </w:pPr>
      <w:r>
        <w:rPr>
          <w:bCs/>
          <w:b/>
        </w:rPr>
        <w:t xml:space="preserve">Question this analysis answers:</w:t>
      </w:r>
      <w:r>
        <w:t xml:space="preserve"> </w:t>
      </w:r>
      <w:r>
        <w:t xml:space="preserve">at equal sample coverage, do restricted and broad sites still differ in sign-type richness?</w:t>
      </w:r>
    </w:p>
    <w:tbl>
      <w:tblPr>
        <w:tblStyle w:val="Table"/>
        <w:tblW w:type="pct" w:w="5000"/>
        <w:tblLook w:firstRow="0" w:lastRow="0" w:firstColumn="0" w:lastColumn="0" w:noHBand="0" w:noVBand="0" w:val="0000"/>
        <w:jc w:val="start"/>
        <w:tblLayout w:type="fixed"/>
      </w:tblPr>
      <w:tblGrid>
        <w:gridCol w:w="7920"/>
      </w:tblGrid>
      <w:tr>
        <w:tc>
          <w:tcPr/>
          <w:bookmarkStart w:id="262" w:name="tbl-s9-rarefaction"/>
          <w:tbl>
            <w:tblPr>
              <w:tblStyle w:val="Table"/>
              <w:tblW w:type="pct" w:w="5000"/>
              <w:tblLook w:firstRow="1" w:lastRow="0" w:firstColumn="0" w:lastColumn="0" w:noHBand="0" w:noVBand="0" w:val="0020"/>
              <w:jc w:val="start"/>
              <w:tblLayout w:type="fixed"/>
            </w:tblPr>
            <w:tblGrid>
              <w:gridCol w:w="288"/>
              <w:gridCol w:w="1113"/>
              <w:gridCol w:w="453"/>
              <w:gridCol w:w="330"/>
              <w:gridCol w:w="660"/>
              <w:gridCol w:w="660"/>
              <w:gridCol w:w="330"/>
              <w:gridCol w:w="330"/>
              <w:gridCol w:w="783"/>
              <w:gridCol w:w="288"/>
              <w:gridCol w:w="288"/>
              <w:gridCol w:w="247"/>
              <w:gridCol w:w="2145"/>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left"/>
                    <w:jc w:val="center"/>
                  </w:pPr>
                  <w:r>
                    <w:t xml:space="preserve">Group</w:t>
                  </w:r>
                </w:p>
              </w:tc>
              <w:tc>
                <w:tcPr/>
                <w:p>
                  <w:pPr>
                    <w:pStyle w:val="Compact"/>
                    <w:jc w:val="right"/>
                    <w:jc w:val="center"/>
                  </w:pPr>
                  <w:r>
                    <w:t xml:space="preserve">Objects</w:t>
                  </w:r>
                </w:p>
              </w:tc>
              <w:tc>
                <w:tcPr/>
                <w:p>
                  <w:pPr>
                    <w:pStyle w:val="Compact"/>
                    <w:jc w:val="right"/>
                    <w:jc w:val="center"/>
                  </w:pPr>
                  <w:r>
                    <w:t xml:space="preserve">Richness (full)</w:t>
                  </w:r>
                </w:p>
              </w:tc>
              <w:tc>
                <w:tcPr/>
                <w:p>
                  <w:pPr>
                    <w:pStyle w:val="Compact"/>
                    <w:jc w:val="right"/>
                    <w:jc w:val="center"/>
                  </w:pPr>
                  <w:r>
                    <w:t xml:space="preserve">Coverage (Chao)</w:t>
                  </w:r>
                </w:p>
              </w:tc>
              <w:tc>
                <w:tcPr/>
                <w:p>
                  <w:pPr>
                    <w:pStyle w:val="Compact"/>
                    <w:jc w:val="right"/>
                    <w:jc w:val="center"/>
                  </w:pPr>
                  <w:r>
                    <w:t xml:space="preserve">Cov LCL</w:t>
                  </w:r>
                </w:p>
              </w:tc>
              <w:tc>
                <w:tcPr/>
                <w:p>
                  <w:pPr>
                    <w:pStyle w:val="Compact"/>
                    <w:jc w:val="right"/>
                    <w:jc w:val="center"/>
                  </w:pPr>
                  <w:r>
                    <w:t xml:space="preserve">Cov UCL</w:t>
                  </w:r>
                </w:p>
              </w:tc>
              <w:tc>
                <w:tcPr/>
                <w:p>
                  <w:pPr>
                    <w:pStyle w:val="Compact"/>
                    <w:jc w:val="right"/>
                    <w:jc w:val="center"/>
                  </w:pPr>
                  <w:r>
                    <w:t xml:space="preserve">Richness</w:t>
                  </w:r>
                  <w:r>
                    <w:t xml:space="preserve"> </w:t>
                  </w:r>
                  <w:r>
                    <w:t xml:space="preserve">[</w:t>
                  </w:r>
                  <w:r>
                    <w:rPr>
                      <w:bCs/>
                      <w:b/>
                    </w:rPr>
                    <w:t xml:space="preserve">0.9?</w:t>
                  </w:r>
                  <w:r>
                    <w:t xml:space="preserve">]</w:t>
                  </w:r>
                  <w:r>
                    <w:t xml:space="preserve"> </w:t>
                  </w:r>
                  <w:r>
                    <w:t xml:space="preserve">cov.</w:t>
                  </w:r>
                </w:p>
              </w:tc>
              <w:tc>
                <w:tcPr/>
                <w:p>
                  <w:pPr>
                    <w:pStyle w:val="Compact"/>
                    <w:jc w:val="right"/>
                    <w:jc w:val="center"/>
                  </w:pPr>
                  <w:r>
                    <w:t xml:space="preserve">Rt LCL</w:t>
                  </w:r>
                </w:p>
              </w:tc>
              <w:tc>
                <w:tcPr/>
                <w:p>
                  <w:pPr>
                    <w:pStyle w:val="Compact"/>
                    <w:jc w:val="right"/>
                    <w:jc w:val="center"/>
                  </w:pPr>
                  <w:r>
                    <w:t xml:space="preserve">Rt UCL</w:t>
                  </w:r>
                </w:p>
              </w:tc>
              <w:tc>
                <w:tcPr/>
                <w:p>
                  <w:pPr>
                    <w:pStyle w:val="Compact"/>
                    <w:jc w:val="right"/>
                    <w:jc w:val="center"/>
                  </w:pPr>
                  <w:r>
                    <w:t xml:space="preserve">Chao2</w:t>
                  </w:r>
                </w:p>
              </w:tc>
              <w:tc>
                <w:tcPr/>
                <w:p>
                  <w:pPr>
                    <w:pStyle w:val="Compact"/>
                    <w:jc w:val="left"/>
                    <w:jc w:val="center"/>
                  </w:pPr>
                  <w:r>
                    <w:t xml:space="preserve">Target method</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left"/>
                    <w:jc w:val="center"/>
                  </w:pPr>
                  <w:r>
                    <w:t xml:space="preserve">broad</w:t>
                  </w:r>
                </w:p>
              </w:tc>
              <w:tc>
                <w:tcPr/>
                <w:p>
                  <w:pPr>
                    <w:pStyle w:val="Compact"/>
                    <w:jc w:val="right"/>
                    <w:jc w:val="center"/>
                  </w:pPr>
                  <w:r>
                    <w:t xml:space="preserve">18</w:t>
                  </w:r>
                </w:p>
              </w:tc>
              <w:tc>
                <w:tcPr/>
                <w:p>
                  <w:pPr>
                    <w:pStyle w:val="Compact"/>
                    <w:jc w:val="right"/>
                    <w:jc w:val="center"/>
                  </w:pPr>
                  <w:r>
                    <w:t xml:space="preserve">9</w:t>
                  </w:r>
                </w:p>
              </w:tc>
              <w:tc>
                <w:tcPr/>
                <w:p>
                  <w:pPr>
                    <w:pStyle w:val="Compact"/>
                    <w:jc w:val="right"/>
                    <w:jc w:val="center"/>
                  </w:pPr>
                  <w:r>
                    <w:t xml:space="preserve">0.84</w:t>
                  </w:r>
                </w:p>
              </w:tc>
              <w:tc>
                <w:tcPr/>
                <w:p>
                  <w:pPr>
                    <w:pStyle w:val="Compact"/>
                    <w:jc w:val="right"/>
                    <w:jc w:val="center"/>
                  </w:pPr>
                  <w:r>
                    <w:t xml:space="preserve">0.78</w:t>
                  </w:r>
                </w:p>
              </w:tc>
              <w:tc>
                <w:tcPr/>
                <w:p>
                  <w:pPr>
                    <w:pStyle w:val="Compact"/>
                    <w:jc w:val="right"/>
                    <w:jc w:val="center"/>
                  </w:pPr>
                  <w:r>
                    <w:t xml:space="preserve">1</w:t>
                  </w:r>
                </w:p>
              </w:tc>
              <w:tc>
                <w:tcPr/>
                <w:p>
                  <w:pPr>
                    <w:pStyle w:val="Compact"/>
                    <w:jc w:val="right"/>
                    <w:jc w:val="center"/>
                  </w:pPr>
                  <w:r>
                    <w:t xml:space="preserve">8.83</w:t>
                  </w:r>
                </w:p>
              </w:tc>
              <w:tc>
                <w:tcPr/>
                <w:p>
                  <w:pPr>
                    <w:pStyle w:val="Compact"/>
                    <w:jc w:val="right"/>
                    <w:jc w:val="center"/>
                  </w:pPr>
                  <w:r>
                    <w:t xml:space="preserve">3.07</w:t>
                  </w:r>
                </w:p>
              </w:tc>
              <w:tc>
                <w:tcPr/>
                <w:p>
                  <w:pPr>
                    <w:pStyle w:val="Compact"/>
                    <w:jc w:val="right"/>
                    <w:jc w:val="center"/>
                  </w:pPr>
                  <w:r>
                    <w:t xml:space="preserve">14.60</w:t>
                  </w:r>
                </w:p>
              </w:tc>
              <w:tc>
                <w:tcPr/>
                <w:p>
                  <w:pPr>
                    <w:pStyle w:val="Compact"/>
                    <w:jc w:val="right"/>
                    <w:jc w:val="center"/>
                  </w:pPr>
                  <w:r>
                    <w:t xml:space="preserve">13.25</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left"/>
                    <w:jc w:val="center"/>
                  </w:pPr>
                  <w:r>
                    <w:t xml:space="preserve">broad</w:t>
                  </w:r>
                </w:p>
              </w:tc>
              <w:tc>
                <w:tcPr/>
                <w:p>
                  <w:pPr>
                    <w:pStyle w:val="Compact"/>
                    <w:jc w:val="right"/>
                    <w:jc w:val="center"/>
                  </w:pPr>
                  <w:r>
                    <w:t xml:space="preserve">22</w:t>
                  </w:r>
                </w:p>
              </w:tc>
              <w:tc>
                <w:tcPr/>
                <w:p>
                  <w:pPr>
                    <w:pStyle w:val="Compact"/>
                    <w:jc w:val="right"/>
                    <w:jc w:val="center"/>
                  </w:pPr>
                  <w:r>
                    <w:t xml:space="preserve">9</w:t>
                  </w:r>
                </w:p>
              </w:tc>
              <w:tc>
                <w:tcPr/>
                <w:p>
                  <w:pPr>
                    <w:pStyle w:val="Compact"/>
                    <w:jc w:val="right"/>
                    <w:jc w:val="center"/>
                  </w:pPr>
                  <w:r>
                    <w:t xml:space="preserve">0.82</w:t>
                  </w:r>
                </w:p>
              </w:tc>
              <w:tc>
                <w:tcPr/>
                <w:p>
                  <w:pPr>
                    <w:pStyle w:val="Compact"/>
                    <w:jc w:val="right"/>
                    <w:jc w:val="center"/>
                  </w:pPr>
                  <w:r>
                    <w:t xml:space="preserve">0.77</w:t>
                  </w:r>
                </w:p>
              </w:tc>
              <w:tc>
                <w:tcPr/>
                <w:p>
                  <w:pPr>
                    <w:pStyle w:val="Compact"/>
                    <w:jc w:val="right"/>
                    <w:jc w:val="center"/>
                  </w:pPr>
                  <w:r>
                    <w:t xml:space="preserve">1</w:t>
                  </w:r>
                </w:p>
              </w:tc>
              <w:tc>
                <w:tcPr/>
                <w:p>
                  <w:pPr>
                    <w:pStyle w:val="Compact"/>
                    <w:jc w:val="right"/>
                    <w:jc w:val="center"/>
                  </w:pPr>
                  <w:r>
                    <w:t xml:space="preserve">10.77</w:t>
                  </w:r>
                </w:p>
              </w:tc>
              <w:tc>
                <w:tcPr/>
                <w:p>
                  <w:pPr>
                    <w:pStyle w:val="Compact"/>
                    <w:jc w:val="right"/>
                    <w:jc w:val="center"/>
                  </w:pPr>
                  <w:r>
                    <w:t xml:space="preserve">1.70</w:t>
                  </w:r>
                </w:p>
              </w:tc>
              <w:tc>
                <w:tcPr/>
                <w:p>
                  <w:pPr>
                    <w:pStyle w:val="Compact"/>
                    <w:jc w:val="right"/>
                    <w:jc w:val="center"/>
                  </w:pPr>
                  <w:r>
                    <w:t xml:space="preserve">19.84</w:t>
                  </w:r>
                </w:p>
              </w:tc>
              <w:tc>
                <w:tcPr/>
                <w:p>
                  <w:pPr>
                    <w:pStyle w:val="Compact"/>
                    <w:jc w:val="right"/>
                    <w:jc w:val="center"/>
                  </w:pPr>
                  <w:r>
                    <w:t xml:space="preserve">16.64</w:t>
                  </w:r>
                </w:p>
              </w:tc>
              <w:tc>
                <w:tcPr/>
                <w:p>
                  <w:pPr>
                    <w:pStyle w:val="Compact"/>
                    <w:jc w:val="left"/>
                    <w:jc w:val="center"/>
                  </w:pPr>
                  <w:r>
                    <w:t xml:space="preserve">iNEXT incidence_raw (Extrapolation)</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20</w:t>
                  </w:r>
                </w:p>
              </w:tc>
              <w:tc>
                <w:tcPr/>
                <w:p>
                  <w:pPr>
                    <w:pStyle w:val="Compact"/>
                    <w:jc w:val="right"/>
                    <w:jc w:val="center"/>
                  </w:pPr>
                  <w:r>
                    <w:t xml:space="preserve">11</w:t>
                  </w:r>
                </w:p>
              </w:tc>
              <w:tc>
                <w:tcPr/>
                <w:p>
                  <w:pPr>
                    <w:pStyle w:val="Compact"/>
                    <w:jc w:val="right"/>
                    <w:jc w:val="center"/>
                  </w:pPr>
                  <w:r>
                    <w:t xml:space="preserve">0.91</w:t>
                  </w:r>
                </w:p>
              </w:tc>
              <w:tc>
                <w:tcPr/>
                <w:p>
                  <w:pPr>
                    <w:pStyle w:val="Compact"/>
                    <w:jc w:val="right"/>
                    <w:jc w:val="center"/>
                  </w:pPr>
                  <w:r>
                    <w:t xml:space="preserve">0.76</w:t>
                  </w:r>
                </w:p>
              </w:tc>
              <w:tc>
                <w:tcPr/>
                <w:p>
                  <w:pPr>
                    <w:pStyle w:val="Compact"/>
                    <w:jc w:val="right"/>
                    <w:jc w:val="center"/>
                  </w:pPr>
                  <w:r>
                    <w:t xml:space="preserve">1</w:t>
                  </w:r>
                </w:p>
              </w:tc>
              <w:tc>
                <w:tcPr/>
                <w:p>
                  <w:pPr>
                    <w:pStyle w:val="Compact"/>
                    <w:jc w:val="right"/>
                    <w:jc w:val="center"/>
                  </w:pPr>
                  <w:r>
                    <w:t xml:space="preserve">10.06</w:t>
                  </w:r>
                </w:p>
              </w:tc>
              <w:tc>
                <w:tcPr/>
                <w:p>
                  <w:pPr>
                    <w:pStyle w:val="Compact"/>
                    <w:jc w:val="right"/>
                    <w:jc w:val="center"/>
                  </w:pPr>
                  <w:r>
                    <w:t xml:space="preserve">7.35</w:t>
                  </w:r>
                </w:p>
              </w:tc>
              <w:tc>
                <w:tcPr/>
                <w:p>
                  <w:pPr>
                    <w:pStyle w:val="Compact"/>
                    <w:jc w:val="right"/>
                    <w:jc w:val="center"/>
                  </w:pPr>
                  <w:r>
                    <w:t xml:space="preserve">12.77</w:t>
                  </w:r>
                </w:p>
              </w:tc>
              <w:tc>
                <w:tcPr/>
                <w:p>
                  <w:pPr>
                    <w:pStyle w:val="Compact"/>
                    <w:jc w:val="right"/>
                    <w:jc w:val="center"/>
                  </w:pPr>
                  <w:r>
                    <w:t xml:space="preserve">11.63</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left"/>
                    <w:jc w:val="center"/>
                  </w:pPr>
                  <w:r>
                    <w:t xml:space="preserve">restricted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0.83</w:t>
                  </w:r>
                </w:p>
              </w:tc>
              <w:tc>
                <w:tcPr/>
                <w:p>
                  <w:pPr>
                    <w:pStyle w:val="Compact"/>
                    <w:jc w:val="right"/>
                    <w:jc w:val="center"/>
                  </w:pPr>
                  <w:r>
                    <w:t xml:space="preserve">0.83</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2.25</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left"/>
                    <w:jc w:val="center"/>
                  </w:pPr>
                  <w:r>
                    <w:t xml:space="preserve">broad</w:t>
                  </w:r>
                </w:p>
              </w:tc>
              <w:tc>
                <w:tcPr/>
                <w:p>
                  <w:pPr>
                    <w:pStyle w:val="Compact"/>
                    <w:jc w:val="right"/>
                    <w:jc w:val="center"/>
                  </w:pPr>
                  <w:r>
                    <w:t xml:space="preserve">4</w:t>
                  </w:r>
                </w:p>
              </w:tc>
              <w:tc>
                <w:tcPr/>
                <w:p>
                  <w:pPr>
                    <w:pStyle w:val="Compact"/>
                    <w:jc w:val="right"/>
                    <w:jc w:val="center"/>
                  </w:pPr>
                  <w:r>
                    <w:t xml:space="preserve">6</w:t>
                  </w:r>
                </w:p>
              </w:tc>
              <w:tc>
                <w:tcPr/>
                <w:p>
                  <w:pPr>
                    <w:pStyle w:val="Compact"/>
                    <w:jc w:val="right"/>
                    <w:jc w:val="center"/>
                  </w:pPr>
                  <w:r>
                    <w:t xml:space="preserve">-0.10</w:t>
                  </w:r>
                </w:p>
              </w:tc>
              <w:tc>
                <w:tcPr/>
                <w:p>
                  <w:pPr>
                    <w:pStyle w:val="Compact"/>
                    <w:jc w:val="right"/>
                    <w:jc w:val="center"/>
                  </w:pPr>
                  <w:r>
                    <w:t xml:space="preserve">-0.10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15.38</w:t>
                  </w:r>
                </w:p>
              </w:tc>
              <w:tc>
                <w:tcPr/>
                <w:p>
                  <w:pPr>
                    <w:pStyle w:val="Compact"/>
                    <w:jc w:val="left"/>
                    <w:jc w:val="center"/>
                  </w:pPr>
                  <w:r>
                    <w:t xml:space="preserve">target unreachable (extrapolation beyond 2x sample)</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left"/>
                    <w:jc w:val="center"/>
                  </w:pPr>
                  <w:r>
                    <w:t xml:space="preserve">restricted</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left"/>
                    <w:jc w:val="center"/>
                  </w:pPr>
                  <w:r>
                    <w:t xml:space="preserve">broad</w:t>
                  </w:r>
                </w:p>
              </w:tc>
              <w:tc>
                <w:tcPr/>
                <w:p>
                  <w:pPr>
                    <w:pStyle w:val="Compact"/>
                    <w:jc w:val="right"/>
                    <w:jc w:val="center"/>
                  </w:pPr>
                  <w:r>
                    <w:t xml:space="preserve">7</w:t>
                  </w:r>
                </w:p>
              </w:tc>
              <w:tc>
                <w:tcPr/>
                <w:p>
                  <w:pPr>
                    <w:pStyle w:val="Compact"/>
                    <w:jc w:val="right"/>
                    <w:jc w:val="center"/>
                  </w:pPr>
                  <w:r>
                    <w:t xml:space="preserve">4</w:t>
                  </w:r>
                </w:p>
              </w:tc>
              <w:tc>
                <w:tcPr/>
                <w:p>
                  <w:pPr>
                    <w:pStyle w:val="Compact"/>
                    <w:jc w:val="right"/>
                    <w:jc w:val="center"/>
                  </w:pPr>
                  <w:r>
                    <w:t xml:space="preserve">0.57</w:t>
                  </w:r>
                </w:p>
              </w:tc>
              <w:tc>
                <w:tcPr/>
                <w:p>
                  <w:pPr>
                    <w:pStyle w:val="Compact"/>
                    <w:jc w:val="right"/>
                    <w:jc w:val="center"/>
                  </w:pPr>
                  <w:r>
                    <w:t xml:space="preserve">0.57</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6.57</w:t>
                  </w:r>
                </w:p>
              </w:tc>
              <w:tc>
                <w:tcPr/>
                <w:p>
                  <w:pPr>
                    <w:pStyle w:val="Compact"/>
                    <w:jc w:val="left"/>
                    <w:jc w:val="center"/>
                  </w:pPr>
                  <w:r>
                    <w:t xml:space="preserve">target unreachable (extrapolation beyond 2x sample)</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left"/>
                    <w:jc w:val="center"/>
                  </w:pPr>
                  <w:r>
                    <w:t xml:space="preserve">broad</w:t>
                  </w:r>
                </w:p>
              </w:tc>
              <w:tc>
                <w:tcPr/>
                <w:p>
                  <w:pPr>
                    <w:pStyle w:val="Compact"/>
                    <w:jc w:val="right"/>
                    <w:jc w:val="center"/>
                  </w:pPr>
                  <w:r>
                    <w:t xml:space="preserve">30</w:t>
                  </w:r>
                </w:p>
              </w:tc>
              <w:tc>
                <w:tcPr/>
                <w:p>
                  <w:pPr>
                    <w:pStyle w:val="Compact"/>
                    <w:jc w:val="right"/>
                    <w:jc w:val="center"/>
                  </w:pPr>
                  <w:r>
                    <w:t xml:space="preserve">11</w:t>
                  </w:r>
                </w:p>
              </w:tc>
              <w:tc>
                <w:tcPr/>
                <w:p>
                  <w:pPr>
                    <w:pStyle w:val="Compact"/>
                    <w:jc w:val="right"/>
                    <w:jc w:val="center"/>
                  </w:pPr>
                  <w:r>
                    <w:t xml:space="preserve">0.80</w:t>
                  </w:r>
                </w:p>
              </w:tc>
              <w:tc>
                <w:tcPr/>
                <w:p>
                  <w:pPr>
                    <w:pStyle w:val="Compact"/>
                    <w:jc w:val="right"/>
                    <w:jc w:val="center"/>
                  </w:pPr>
                  <w:r>
                    <w:t xml:space="preserve">0.77</w:t>
                  </w:r>
                </w:p>
              </w:tc>
              <w:tc>
                <w:tcPr/>
                <w:p>
                  <w:pPr>
                    <w:pStyle w:val="Compact"/>
                    <w:jc w:val="right"/>
                    <w:jc w:val="center"/>
                  </w:pPr>
                  <w:r>
                    <w:t xml:space="preserve">1</w:t>
                  </w:r>
                </w:p>
              </w:tc>
              <w:tc>
                <w:tcPr/>
                <w:p>
                  <w:pPr>
                    <w:pStyle w:val="Compact"/>
                    <w:jc w:val="right"/>
                    <w:jc w:val="center"/>
                  </w:pPr>
                  <w:r>
                    <w:t xml:space="preserve">15.79</w:t>
                  </w:r>
                </w:p>
              </w:tc>
              <w:tc>
                <w:tcPr/>
                <w:p>
                  <w:pPr>
                    <w:pStyle w:val="Compact"/>
                    <w:jc w:val="right"/>
                    <w:jc w:val="center"/>
                  </w:pPr>
                  <w:r>
                    <w:t xml:space="preserve">0.00</w:t>
                  </w:r>
                </w:p>
              </w:tc>
              <w:tc>
                <w:tcPr/>
                <w:p>
                  <w:pPr>
                    <w:pStyle w:val="Compact"/>
                    <w:jc w:val="right"/>
                    <w:jc w:val="center"/>
                  </w:pPr>
                  <w:r>
                    <w:t xml:space="preserve">33.53</w:t>
                  </w:r>
                </w:p>
              </w:tc>
              <w:tc>
                <w:tcPr/>
                <w:p>
                  <w:pPr>
                    <w:pStyle w:val="Compact"/>
                    <w:jc w:val="right"/>
                    <w:jc w:val="center"/>
                  </w:pPr>
                  <w:r>
                    <w:t xml:space="preserve">28.40</w:t>
                  </w:r>
                </w:p>
              </w:tc>
              <w:tc>
                <w:tcPr/>
                <w:p>
                  <w:pPr>
                    <w:pStyle w:val="Compact"/>
                    <w:jc w:val="left"/>
                    <w:jc w:val="center"/>
                  </w:pPr>
                  <w:r>
                    <w:t xml:space="preserve">iNEXT incidence_raw (Extrapolation)</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left"/>
                    <w:jc w:val="center"/>
                  </w:pPr>
                  <w:r>
                    <w:t xml:space="preserve">broad</w:t>
                  </w:r>
                </w:p>
              </w:tc>
              <w:tc>
                <w:tcPr/>
                <w:p>
                  <w:pPr>
                    <w:pStyle w:val="Compact"/>
                    <w:jc w:val="right"/>
                    <w:jc w:val="center"/>
                  </w:pPr>
                  <w:r>
                    <w:t xml:space="preserve">21</w:t>
                  </w:r>
                </w:p>
              </w:tc>
              <w:tc>
                <w:tcPr/>
                <w:p>
                  <w:pPr>
                    <w:pStyle w:val="Compact"/>
                    <w:jc w:val="right"/>
                    <w:jc w:val="center"/>
                  </w:pPr>
                  <w:r>
                    <w:t xml:space="preserve">6</w:t>
                  </w:r>
                </w:p>
              </w:tc>
              <w:tc>
                <w:tcPr/>
                <w:p>
                  <w:pPr>
                    <w:pStyle w:val="Compact"/>
                    <w:jc w:val="right"/>
                    <w:jc w:val="center"/>
                  </w:pPr>
                  <w:r>
                    <w:t xml:space="preserve">0.91</w:t>
                  </w:r>
                </w:p>
              </w:tc>
              <w:tc>
                <w:tcPr/>
                <w:p>
                  <w:pPr>
                    <w:pStyle w:val="Compact"/>
                    <w:jc w:val="right"/>
                    <w:jc w:val="center"/>
                  </w:pPr>
                  <w:r>
                    <w:t xml:space="preserve">0.86</w:t>
                  </w:r>
                </w:p>
              </w:tc>
              <w:tc>
                <w:tcPr/>
                <w:p>
                  <w:pPr>
                    <w:pStyle w:val="Compact"/>
                    <w:jc w:val="right"/>
                    <w:jc w:val="center"/>
                  </w:pPr>
                  <w:r>
                    <w:t xml:space="preserve">1</w:t>
                  </w:r>
                </w:p>
              </w:tc>
              <w:tc>
                <w:tcPr/>
                <w:p>
                  <w:pPr>
                    <w:pStyle w:val="Compact"/>
                    <w:jc w:val="right"/>
                    <w:jc w:val="center"/>
                  </w:pPr>
                  <w:r>
                    <w:t xml:space="preserve">5.43</w:t>
                  </w:r>
                </w:p>
              </w:tc>
              <w:tc>
                <w:tcPr/>
                <w:p>
                  <w:pPr>
                    <w:pStyle w:val="Compact"/>
                    <w:jc w:val="right"/>
                    <w:jc w:val="center"/>
                  </w:pPr>
                  <w:r>
                    <w:t xml:space="preserve">2.73</w:t>
                  </w:r>
                </w:p>
              </w:tc>
              <w:tc>
                <w:tcPr/>
                <w:p>
                  <w:pPr>
                    <w:pStyle w:val="Compact"/>
                    <w:jc w:val="right"/>
                    <w:jc w:val="center"/>
                  </w:pPr>
                  <w:r>
                    <w:t xml:space="preserve">8.13</w:t>
                  </w:r>
                </w:p>
              </w:tc>
              <w:tc>
                <w:tcPr/>
                <w:p>
                  <w:pPr>
                    <w:pStyle w:val="Compact"/>
                    <w:jc w:val="right"/>
                    <w:jc w:val="center"/>
                  </w:pPr>
                  <w:r>
                    <w:t xml:space="preserve">6.95</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left"/>
                    <w:jc w:val="center"/>
                  </w:pPr>
                  <w:r>
                    <w:t xml:space="preserve">broad</w:t>
                  </w:r>
                </w:p>
              </w:tc>
              <w:tc>
                <w:tcPr/>
                <w:p>
                  <w:pPr>
                    <w:pStyle w:val="Compact"/>
                    <w:jc w:val="right"/>
                    <w:jc w:val="center"/>
                  </w:pPr>
                  <w:r>
                    <w:t xml:space="preserve">28</w:t>
                  </w:r>
                </w:p>
              </w:tc>
              <w:tc>
                <w:tcPr/>
                <w:p>
                  <w:pPr>
                    <w:pStyle w:val="Compact"/>
                    <w:jc w:val="right"/>
                    <w:jc w:val="center"/>
                  </w:pPr>
                  <w:r>
                    <w:t xml:space="preserve">5</w:t>
                  </w:r>
                </w:p>
              </w:tc>
              <w:tc>
                <w:tcPr/>
                <w:p>
                  <w:pPr>
                    <w:pStyle w:val="Compact"/>
                    <w:jc w:val="right"/>
                    <w:jc w:val="center"/>
                  </w:pPr>
                  <w:r>
                    <w:t xml:space="preserve">1.00</w:t>
                  </w:r>
                </w:p>
              </w:tc>
              <w:tc>
                <w:tcPr/>
                <w:p>
                  <w:pPr>
                    <w:pStyle w:val="Compact"/>
                    <w:jc w:val="right"/>
                    <w:jc w:val="center"/>
                  </w:pPr>
                  <w:r>
                    <w:t xml:space="preserve">0.96</w:t>
                  </w:r>
                </w:p>
              </w:tc>
              <w:tc>
                <w:tcPr/>
                <w:p>
                  <w:pPr>
                    <w:pStyle w:val="Compact"/>
                    <w:jc w:val="right"/>
                    <w:jc w:val="center"/>
                  </w:pPr>
                  <w:r>
                    <w:t xml:space="preserve">1</w:t>
                  </w:r>
                </w:p>
              </w:tc>
              <w:tc>
                <w:tcPr/>
                <w:p>
                  <w:pPr>
                    <w:pStyle w:val="Compact"/>
                    <w:jc w:val="right"/>
                    <w:jc w:val="center"/>
                  </w:pPr>
                  <w:r>
                    <w:t xml:space="preserve">4.52</w:t>
                  </w:r>
                </w:p>
              </w:tc>
              <w:tc>
                <w:tcPr/>
                <w:p>
                  <w:pPr>
                    <w:pStyle w:val="Compact"/>
                    <w:jc w:val="right"/>
                    <w:jc w:val="center"/>
                  </w:pPr>
                  <w:r>
                    <w:t xml:space="preserve">4.21</w:t>
                  </w:r>
                </w:p>
              </w:tc>
              <w:tc>
                <w:tcPr/>
                <w:p>
                  <w:pPr>
                    <w:pStyle w:val="Compact"/>
                    <w:jc w:val="right"/>
                    <w:jc w:val="center"/>
                  </w:pPr>
                  <w:r>
                    <w:t xml:space="preserve">4.82</w:t>
                  </w:r>
                </w:p>
              </w:tc>
              <w:tc>
                <w:tcPr/>
                <w:p>
                  <w:pPr>
                    <w:pStyle w:val="Compact"/>
                    <w:jc w:val="right"/>
                    <w:jc w:val="center"/>
                  </w:pPr>
                  <w:r>
                    <w:t xml:space="preserve">5.00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left"/>
                    <w:jc w:val="center"/>
                  </w:pPr>
                  <w:r>
                    <w:t xml:space="preserve">broad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2.50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left"/>
                    <w:jc w:val="center"/>
                  </w:pPr>
                  <w:r>
                    <w:t xml:space="preserve">broad</w:t>
                  </w:r>
                </w:p>
              </w:tc>
              <w:tc>
                <w:tcPr/>
                <w:p>
                  <w:pPr>
                    <w:pStyle w:val="Compact"/>
                    <w:jc w:val="right"/>
                    <w:jc w:val="center"/>
                  </w:pPr>
                  <w:r>
                    <w:t xml:space="preserve">173</w:t>
                  </w:r>
                </w:p>
              </w:tc>
              <w:tc>
                <w:tcPr/>
                <w:p>
                  <w:pPr>
                    <w:pStyle w:val="Compact"/>
                    <w:jc w:val="right"/>
                    <w:jc w:val="center"/>
                  </w:pPr>
                  <w:r>
                    <w:t xml:space="preserve">17</w:t>
                  </w:r>
                </w:p>
              </w:tc>
              <w:tc>
                <w:tcPr/>
                <w:p>
                  <w:pPr>
                    <w:pStyle w:val="Compact"/>
                    <w:jc w:val="right"/>
                    <w:jc w:val="center"/>
                  </w:pPr>
                  <w:r>
                    <w:t xml:space="preserve">0.98</w:t>
                  </w:r>
                </w:p>
              </w:tc>
              <w:tc>
                <w:tcPr/>
                <w:p>
                  <w:pPr>
                    <w:pStyle w:val="Compact"/>
                    <w:jc w:val="right"/>
                    <w:jc w:val="center"/>
                  </w:pPr>
                  <w:r>
                    <w:t xml:space="preserve">0.97</w:t>
                  </w:r>
                </w:p>
              </w:tc>
              <w:tc>
                <w:tcPr/>
                <w:p>
                  <w:pPr>
                    <w:pStyle w:val="Compact"/>
                    <w:jc w:val="right"/>
                    <w:jc w:val="center"/>
                  </w:pPr>
                  <w:r>
                    <w:t xml:space="preserve">1</w:t>
                  </w:r>
                </w:p>
              </w:tc>
              <w:tc>
                <w:tcPr/>
                <w:p>
                  <w:pPr>
                    <w:pStyle w:val="Compact"/>
                    <w:jc w:val="right"/>
                    <w:jc w:val="center"/>
                  </w:pPr>
                  <w:r>
                    <w:t xml:space="preserve">9.84</w:t>
                  </w:r>
                </w:p>
              </w:tc>
              <w:tc>
                <w:tcPr/>
                <w:p>
                  <w:pPr>
                    <w:pStyle w:val="Compact"/>
                    <w:jc w:val="right"/>
                    <w:jc w:val="center"/>
                  </w:pPr>
                  <w:r>
                    <w:t xml:space="preserve">8.28</w:t>
                  </w:r>
                </w:p>
              </w:tc>
              <w:tc>
                <w:tcPr/>
                <w:p>
                  <w:pPr>
                    <w:pStyle w:val="Compact"/>
                    <w:jc w:val="right"/>
                    <w:jc w:val="center"/>
                  </w:pPr>
                  <w:r>
                    <w:t xml:space="preserve">11.39</w:t>
                  </w:r>
                </w:p>
              </w:tc>
              <w:tc>
                <w:tcPr/>
                <w:p>
                  <w:pPr>
                    <w:pStyle w:val="Compact"/>
                    <w:jc w:val="right"/>
                    <w:jc w:val="center"/>
                  </w:pPr>
                  <w:r>
                    <w:t xml:space="preserve">18.12</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left"/>
                    <w:jc w:val="center"/>
                  </w:pPr>
                  <w:r>
                    <w:t xml:space="preserve">broad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0.67</w:t>
                  </w:r>
                </w:p>
              </w:tc>
              <w:tc>
                <w:tcPr/>
                <w:p>
                  <w:pPr>
                    <w:pStyle w:val="Compact"/>
                    <w:jc w:val="right"/>
                    <w:jc w:val="center"/>
                  </w:pPr>
                  <w:r>
                    <w:t xml:space="preserve">0.67</w:t>
                  </w:r>
                </w:p>
              </w:tc>
              <w:tc>
                <w:tcPr/>
                <w:p>
                  <w:pPr>
                    <w:pStyle w:val="Compact"/>
                    <w:jc w:val="right"/>
                    <w:jc w:val="center"/>
                  </w:pPr>
                  <w:r>
                    <w:t xml:space="preserve">1</w:t>
                  </w:r>
                </w:p>
              </w:tc>
              <w:tc>
                <w:tcPr/>
                <w:p>
                  <w:pPr>
                    <w:pStyle w:val="Compact"/>
                    <w:jc w:val="right"/>
                    <w:jc w:val="center"/>
                  </w:pPr>
                  <w:r>
                    <w:t xml:space="preserve">2.77</w:t>
                  </w:r>
                </w:p>
              </w:tc>
              <w:tc>
                <w:tcPr/>
                <w:p>
                  <w:pPr>
                    <w:pStyle w:val="Compact"/>
                    <w:jc w:val="right"/>
                    <w:jc w:val="center"/>
                  </w:pPr>
                  <w:r>
                    <w:t xml:space="preserve">2.05</w:t>
                  </w:r>
                </w:p>
              </w:tc>
              <w:tc>
                <w:tcPr/>
                <w:p>
                  <w:pPr>
                    <w:pStyle w:val="Compact"/>
                    <w:jc w:val="right"/>
                    <w:jc w:val="center"/>
                  </w:pPr>
                  <w:r>
                    <w:t xml:space="preserve">3.49</w:t>
                  </w:r>
                </w:p>
              </w:tc>
              <w:tc>
                <w:tcPr/>
                <w:p>
                  <w:pPr>
                    <w:pStyle w:val="Compact"/>
                    <w:jc w:val="right"/>
                    <w:jc w:val="center"/>
                  </w:pPr>
                  <w:r>
                    <w:t xml:space="preserve">3.00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left"/>
                    <w:jc w:val="center"/>
                  </w:pPr>
                  <w:r>
                    <w:t xml:space="preserve">restricted</w:t>
                  </w:r>
                </w:p>
              </w:tc>
              <w:tc>
                <w:tcPr/>
                <w:p>
                  <w:pPr>
                    <w:pStyle w:val="Compact"/>
                    <w:jc w:val="right"/>
                    <w:jc w:val="center"/>
                  </w:pPr>
                  <w:r>
                    <w:t xml:space="preserve">4</w:t>
                  </w:r>
                </w:p>
              </w:tc>
              <w:tc>
                <w:tcPr/>
                <w:p>
                  <w:pPr>
                    <w:pStyle w:val="Compact"/>
                    <w:jc w:val="right"/>
                    <w:jc w:val="center"/>
                  </w:pPr>
                  <w:r>
                    <w:t xml:space="preserve">2</w:t>
                  </w:r>
                </w:p>
              </w:tc>
              <w:tc>
                <w:tcPr/>
                <w:p>
                  <w:pPr>
                    <w:pStyle w:val="Compact"/>
                    <w:jc w:val="right"/>
                    <w:jc w:val="center"/>
                  </w:pPr>
                  <w:r>
                    <w:t xml:space="preserve">0.75</w:t>
                  </w:r>
                </w:p>
              </w:tc>
              <w:tc>
                <w:tcPr/>
                <w:p>
                  <w:pPr>
                    <w:pStyle w:val="Compact"/>
                    <w:jc w:val="right"/>
                    <w:jc w:val="center"/>
                  </w:pPr>
                  <w:r>
                    <w:t xml:space="preserve">0.75</w:t>
                  </w:r>
                </w:p>
              </w:tc>
              <w:tc>
                <w:tcPr/>
                <w:p>
                  <w:pPr>
                    <w:pStyle w:val="Compact"/>
                    <w:jc w:val="right"/>
                    <w:jc w:val="center"/>
                  </w:pPr>
                  <w:r>
                    <w:t xml:space="preserve">1</w:t>
                  </w:r>
                </w:p>
              </w:tc>
              <w:tc>
                <w:tcPr/>
                <w:p>
                  <w:pPr>
                    <w:pStyle w:val="Compact"/>
                    <w:jc w:val="right"/>
                    <w:jc w:val="center"/>
                  </w:pPr>
                  <w:r>
                    <w:t xml:space="preserve">1.90</w:t>
                  </w:r>
                </w:p>
              </w:tc>
              <w:tc>
                <w:tcPr/>
                <w:p>
                  <w:pPr>
                    <w:pStyle w:val="Compact"/>
                    <w:jc w:val="right"/>
                    <w:jc w:val="center"/>
                  </w:pPr>
                  <w:r>
                    <w:t xml:space="preserve">1.00</w:t>
                  </w:r>
                </w:p>
              </w:tc>
              <w:tc>
                <w:tcPr/>
                <w:p>
                  <w:pPr>
                    <w:pStyle w:val="Compact"/>
                    <w:jc w:val="right"/>
                    <w:jc w:val="center"/>
                  </w:pPr>
                  <w:r>
                    <w:t xml:space="preserve">2.80</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29</w:t>
                  </w:r>
                </w:p>
              </w:tc>
              <w:tc>
                <w:tcPr/>
                <w:p>
                  <w:pPr>
                    <w:pStyle w:val="Compact"/>
                    <w:jc w:val="right"/>
                    <w:jc w:val="center"/>
                  </w:pPr>
                  <w:r>
                    <w:t xml:space="preserve">10</w:t>
                  </w:r>
                </w:p>
              </w:tc>
              <w:tc>
                <w:tcPr/>
                <w:p>
                  <w:pPr>
                    <w:pStyle w:val="Compact"/>
                    <w:jc w:val="right"/>
                    <w:jc w:val="center"/>
                  </w:pPr>
                  <w:r>
                    <w:t xml:space="preserve">0.90</w:t>
                  </w:r>
                </w:p>
              </w:tc>
              <w:tc>
                <w:tcPr/>
                <w:p>
                  <w:pPr>
                    <w:pStyle w:val="Compact"/>
                    <w:jc w:val="right"/>
                    <w:jc w:val="center"/>
                  </w:pPr>
                  <w:r>
                    <w:t xml:space="preserve">0.86</w:t>
                  </w:r>
                </w:p>
              </w:tc>
              <w:tc>
                <w:tcPr/>
                <w:p>
                  <w:pPr>
                    <w:pStyle w:val="Compact"/>
                    <w:jc w:val="right"/>
                    <w:jc w:val="center"/>
                  </w:pPr>
                  <w:r>
                    <w:t xml:space="preserve">1</w:t>
                  </w:r>
                </w:p>
              </w:tc>
              <w:tc>
                <w:tcPr/>
                <w:p>
                  <w:pPr>
                    <w:pStyle w:val="Compact"/>
                    <w:jc w:val="right"/>
                    <w:jc w:val="center"/>
                  </w:pPr>
                  <w:r>
                    <w:t xml:space="preserve">8.95</w:t>
                  </w:r>
                </w:p>
              </w:tc>
              <w:tc>
                <w:tcPr/>
                <w:p>
                  <w:pPr>
                    <w:pStyle w:val="Compact"/>
                    <w:jc w:val="right"/>
                    <w:jc w:val="center"/>
                  </w:pPr>
                  <w:r>
                    <w:t xml:space="preserve">4.60</w:t>
                  </w:r>
                </w:p>
              </w:tc>
              <w:tc>
                <w:tcPr/>
                <w:p>
                  <w:pPr>
                    <w:pStyle w:val="Compact"/>
                    <w:jc w:val="right"/>
                    <w:jc w:val="center"/>
                  </w:pPr>
                  <w:r>
                    <w:t xml:space="preserve">13.31</w:t>
                  </w:r>
                </w:p>
              </w:tc>
              <w:tc>
                <w:tcPr/>
                <w:p>
                  <w:pPr>
                    <w:pStyle w:val="Compact"/>
                    <w:jc w:val="right"/>
                    <w:jc w:val="center"/>
                  </w:pPr>
                  <w:r>
                    <w:t xml:space="preserve">12.17</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left"/>
                    <w:jc w:val="center"/>
                  </w:pPr>
                  <w:r>
                    <w:t xml:space="preserve">restricted</w:t>
                  </w:r>
                </w:p>
              </w:tc>
              <w:tc>
                <w:tcPr/>
                <w:p>
                  <w:pPr>
                    <w:pStyle w:val="Compact"/>
                    <w:jc w:val="right"/>
                    <w:jc w:val="center"/>
                  </w:pPr>
                  <w:r>
                    <w:t xml:space="preserve">4</w:t>
                  </w:r>
                </w:p>
              </w:tc>
              <w:tc>
                <w:tcPr/>
                <w:p>
                  <w:pPr>
                    <w:pStyle w:val="Compact"/>
                    <w:jc w:val="right"/>
                    <w:jc w:val="center"/>
                  </w:pPr>
                  <w:r>
                    <w:t xml:space="preserve">2</w:t>
                  </w:r>
                </w:p>
              </w:tc>
              <w:tc>
                <w:tcPr/>
                <w:p>
                  <w:pPr>
                    <w:pStyle w:val="Compact"/>
                    <w:jc w:val="right"/>
                    <w:jc w:val="center"/>
                  </w:pPr>
                  <w:r>
                    <w:t xml:space="preserve">1.00</w:t>
                  </w:r>
                </w:p>
              </w:tc>
              <w:tc>
                <w:tcPr/>
                <w:p>
                  <w:pPr>
                    <w:pStyle w:val="Compact"/>
                    <w:jc w:val="right"/>
                    <w:jc w:val="center"/>
                  </w:pPr>
                  <w:r>
                    <w:t xml:space="preserve">0.75</w:t>
                  </w:r>
                </w:p>
              </w:tc>
              <w:tc>
                <w:tcPr/>
                <w:p>
                  <w:pPr>
                    <w:pStyle w:val="Compact"/>
                    <w:jc w:val="right"/>
                    <w:jc w:val="center"/>
                  </w:pPr>
                  <w:r>
                    <w:t xml:space="preserve">1</w:t>
                  </w:r>
                </w:p>
              </w:tc>
              <w:tc>
                <w:tcPr/>
                <w:p>
                  <w:pPr>
                    <w:pStyle w:val="Compact"/>
                    <w:jc w:val="right"/>
                    <w:jc w:val="center"/>
                  </w:pPr>
                  <w:r>
                    <w:t xml:space="preserve">1.85</w:t>
                  </w:r>
                </w:p>
              </w:tc>
              <w:tc>
                <w:tcPr/>
                <w:p>
                  <w:pPr>
                    <w:pStyle w:val="Compact"/>
                    <w:jc w:val="right"/>
                    <w:jc w:val="center"/>
                  </w:pPr>
                  <w:r>
                    <w:t xml:space="preserve">1.44</w:t>
                  </w:r>
                </w:p>
              </w:tc>
              <w:tc>
                <w:tcPr/>
                <w:p>
                  <w:pPr>
                    <w:pStyle w:val="Compact"/>
                    <w:jc w:val="right"/>
                    <w:jc w:val="center"/>
                  </w:pPr>
                  <w:r>
                    <w:t xml:space="preserve">2.26</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left"/>
                    <w:jc w:val="center"/>
                  </w:pPr>
                  <w:r>
                    <w:t xml:space="preserve">broad</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-0.67</w:t>
                  </w:r>
                </w:p>
              </w:tc>
              <w:tc>
                <w:tcPr/>
                <w:p>
                  <w:pPr>
                    <w:pStyle w:val="Compact"/>
                    <w:jc w:val="right"/>
                    <w:jc w:val="center"/>
                  </w:pPr>
                  <w:r>
                    <w:t xml:space="preserve">-0.67</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11.67</w:t>
                  </w:r>
                </w:p>
              </w:tc>
              <w:tc>
                <w:tcPr/>
                <w:p>
                  <w:pPr>
                    <w:pStyle w:val="Compact"/>
                    <w:jc w:val="left"/>
                    <w:jc w:val="center"/>
                  </w:pPr>
                  <w:r>
                    <w:t xml:space="preserve">target unreachable (extrapolation beyond 2x sample)</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left"/>
                    <w:jc w:val="center"/>
                  </w:pPr>
                  <w:r>
                    <w:t xml:space="preserve">restricted</w:t>
                  </w:r>
                </w:p>
              </w:tc>
              <w:tc>
                <w:tcPr/>
                <w:p>
                  <w:pPr>
                    <w:pStyle w:val="Compact"/>
                    <w:jc w:val="right"/>
                    <w:jc w:val="center"/>
                  </w:pPr>
                  <w:r>
                    <w:t xml:space="preserve">11</w:t>
                  </w:r>
                </w:p>
              </w:tc>
              <w:tc>
                <w:tcPr/>
                <w:p>
                  <w:pPr>
                    <w:pStyle w:val="Compact"/>
                    <w:jc w:val="right"/>
                    <w:jc w:val="center"/>
                  </w:pPr>
                  <w:r>
                    <w:t xml:space="preserve">2</w:t>
                  </w:r>
                </w:p>
              </w:tc>
              <w:tc>
                <w:tcPr/>
                <w:p>
                  <w:pPr>
                    <w:pStyle w:val="Compact"/>
                    <w:jc w:val="right"/>
                    <w:jc w:val="center"/>
                  </w:pPr>
                  <w:r>
                    <w:t xml:space="preserve">1.00</w:t>
                  </w:r>
                </w:p>
              </w:tc>
              <w:tc>
                <w:tcPr/>
                <w:p>
                  <w:pPr>
                    <w:pStyle w:val="Compact"/>
                    <w:jc w:val="right"/>
                    <w:jc w:val="center"/>
                  </w:pPr>
                  <w:r>
                    <w:t xml:space="preserve">0.91</w:t>
                  </w:r>
                </w:p>
              </w:tc>
              <w:tc>
                <w:tcPr/>
                <w:p>
                  <w:pPr>
                    <w:pStyle w:val="Compact"/>
                    <w:jc w:val="right"/>
                    <w:jc w:val="center"/>
                  </w:pPr>
                  <w:r>
                    <w:t xml:space="preserve">1</w:t>
                  </w:r>
                </w:p>
              </w:tc>
              <w:tc>
                <w:tcPr/>
                <w:p>
                  <w:pPr>
                    <w:pStyle w:val="Compact"/>
                    <w:jc w:val="right"/>
                    <w:jc w:val="center"/>
                  </w:pPr>
                  <w:r>
                    <w:t xml:space="preserve">1.76</w:t>
                  </w:r>
                </w:p>
              </w:tc>
              <w:tc>
                <w:tcPr/>
                <w:p>
                  <w:pPr>
                    <w:pStyle w:val="Compact"/>
                    <w:jc w:val="right"/>
                    <w:jc w:val="center"/>
                  </w:pPr>
                  <w:r>
                    <w:t xml:space="preserve">1.57</w:t>
                  </w:r>
                </w:p>
              </w:tc>
              <w:tc>
                <w:tcPr/>
                <w:p>
                  <w:pPr>
                    <w:pStyle w:val="Compact"/>
                    <w:jc w:val="right"/>
                    <w:jc w:val="center"/>
                  </w:pPr>
                  <w:r>
                    <w:t xml:space="preserve">1.95</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left"/>
                    <w:jc w:val="center"/>
                  </w:pPr>
                  <w:r>
                    <w:t xml:space="preserve">broad</w:t>
                  </w:r>
                </w:p>
              </w:tc>
              <w:tc>
                <w:tcPr/>
                <w:p>
                  <w:pPr>
                    <w:pStyle w:val="Compact"/>
                    <w:jc w:val="right"/>
                    <w:jc w:val="center"/>
                  </w:pPr>
                  <w:r>
                    <w:t xml:space="preserve">12</w:t>
                  </w:r>
                </w:p>
              </w:tc>
              <w:tc>
                <w:tcPr/>
                <w:p>
                  <w:pPr>
                    <w:pStyle w:val="Compact"/>
                    <w:jc w:val="right"/>
                    <w:jc w:val="center"/>
                  </w:pPr>
                  <w:r>
                    <w:t xml:space="preserve">8</w:t>
                  </w:r>
                </w:p>
              </w:tc>
              <w:tc>
                <w:tcPr/>
                <w:p>
                  <w:pPr>
                    <w:pStyle w:val="Compact"/>
                    <w:jc w:val="right"/>
                    <w:jc w:val="center"/>
                  </w:pPr>
                  <w:r>
                    <w:t xml:space="preserve">0.69</w:t>
                  </w:r>
                </w:p>
              </w:tc>
              <w:tc>
                <w:tcPr/>
                <w:p>
                  <w:pPr>
                    <w:pStyle w:val="Compact"/>
                    <w:jc w:val="right"/>
                    <w:jc w:val="center"/>
                  </w:pPr>
                  <w:r>
                    <w:t xml:space="preserve">0.60</w:t>
                  </w:r>
                </w:p>
              </w:tc>
              <w:tc>
                <w:tcPr/>
                <w:p>
                  <w:pPr>
                    <w:pStyle w:val="Compact"/>
                    <w:jc w:val="right"/>
                    <w:jc w:val="center"/>
                  </w:pPr>
                  <w:r>
                    <w:t xml:space="preserve">1</w:t>
                  </w:r>
                </w:p>
              </w:tc>
              <w:tc>
                <w:tcPr/>
                <w:p>
                  <w:pPr>
                    <w:pStyle w:val="Compact"/>
                    <w:jc w:val="right"/>
                    <w:jc w:val="center"/>
                  </w:pPr>
                  <w:r>
                    <w:t xml:space="preserve">9.57</w:t>
                  </w:r>
                </w:p>
              </w:tc>
              <w:tc>
                <w:tcPr/>
                <w:p>
                  <w:pPr>
                    <w:pStyle w:val="Compact"/>
                    <w:jc w:val="right"/>
                    <w:jc w:val="center"/>
                  </w:pPr>
                  <w:r>
                    <w:t xml:space="preserve">2.09</w:t>
                  </w:r>
                </w:p>
              </w:tc>
              <w:tc>
                <w:tcPr/>
                <w:p>
                  <w:pPr>
                    <w:pStyle w:val="Compact"/>
                    <w:jc w:val="right"/>
                    <w:jc w:val="center"/>
                  </w:pPr>
                  <w:r>
                    <w:t xml:space="preserve">17.05</w:t>
                  </w:r>
                </w:p>
              </w:tc>
              <w:tc>
                <w:tcPr/>
                <w:p>
                  <w:pPr>
                    <w:pStyle w:val="Compact"/>
                    <w:jc w:val="right"/>
                    <w:jc w:val="center"/>
                  </w:pPr>
                  <w:r>
                    <w:t xml:space="preserve">11.67</w:t>
                  </w:r>
                </w:p>
              </w:tc>
              <w:tc>
                <w:tcPr/>
                <w:p>
                  <w:pPr>
                    <w:pStyle w:val="Compact"/>
                    <w:jc w:val="left"/>
                    <w:jc w:val="center"/>
                  </w:pPr>
                  <w:r>
                    <w:t xml:space="preserve">iNEXT incidence_raw (Extrapolation)</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bl>
          <w:p>
            <w:pPr>
              <w:jc w:val="center"/>
            </w:pPr>
            <w:pPr>
              <w:jc w:val="start"/>
              <w:spacing w:before="200"/>
              <w:pStyle w:val="ImageCaption"/>
            </w:pPr>
            <w:r>
              <w:t xml:space="preserve">Table 38: Coverage-based rarefaction per site. richness_full is the observed number of sign types; coverage_chao is Chao and Jost’s analytic sample-coverage estimate at the full sample with 95% bootstrap interval; richness_at_target is the iNEXT incidence_raw richness estimate at target coverage = 0.9 with 95% interval. Sites that never reach the target coverage are reported as NA with the reason in at_target_method, and carry a Chao2 asymptotic-richness estimate with interval as a fallback quantity.</w:t>
            </w:r>
          </w:p>
          <w:bookmarkEnd w:id="262"/>
        </w:tc>
      </w:tr>
    </w:tbl>
    <w:tbl>
      <w:tblPr>
        <w:tblStyle w:val="Table"/>
        <w:tblW w:type="pct" w:w="5000"/>
        <w:tblLook w:firstRow="0" w:lastRow="0" w:firstColumn="0" w:lastColumn="0" w:noHBand="0" w:noVBand="0" w:val="0000"/>
        <w:jc w:val="start"/>
        <w:tblLayout w:type="fixed"/>
      </w:tblPr>
      <w:tblGrid>
        <w:gridCol w:w="7920"/>
      </w:tblGrid>
      <w:tr>
        <w:tc>
          <w:tcPr/>
          <w:bookmarkStart w:id="266" w:name="fig-s9-rarefaction"/>
          <w:p>
            <w:pPr>
              <w:pStyle w:val="Compact"/>
              <w:jc w:val="center"/>
            </w:pPr>
            <w:r>
              <w:drawing>
                <wp:inline>
                  <wp:extent cx="5943600" cy="3396342"/>
                  <wp:effectExtent b="0" l="0" r="0" t="0"/>
                  <wp:docPr descr="" title="" id="264" name="Picture"/>
                  <a:graphic>
                    <a:graphicData uri="http://schemas.openxmlformats.org/drawingml/2006/picture">
                      <pic:pic>
                        <pic:nvPicPr>
                          <pic:cNvPr descr="S1-supplement-sensitivity_files/figure-docx/fig-s9-rarefaction-1.png" id="265" name="Picture"/>
                          <pic:cNvPicPr>
                            <a:picLocks noChangeArrowheads="1" noChangeAspect="1"/>
                          </pic:cNvPicPr>
                        </pic:nvPicPr>
                        <pic:blipFill>
                          <a:blip r:embed="rId263"/>
                          <a:stretch>
                            <a:fillRect/>
                          </a:stretch>
                        </pic:blipFill>
                        <pic:spPr bwMode="auto">
                          <a:xfrm>
                            <a:off x="0" y="0"/>
                            <a:ext cx="5943600" cy="3396342"/>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Sign-type richness estimated at target coverage = 0.9 with 95% confidence intervals, by manual group, for sites that reach that coverage. Restricted sites (green) that attain high coverage remain low-richness; broad sites (red) remain high-richness.</w:t>
            </w:r>
          </w:p>
          <w:bookmarkEnd w:id="266"/>
        </w:tc>
      </w:tr>
    </w:tbl>
    <w:bookmarkEnd w:id="267"/>
    <w:bookmarkStart w:id="268" w:name="interpretation-10"/>
    <w:p>
      <w:pPr>
        <w:pStyle w:val="Heading3"/>
      </w:pPr>
      <w:r>
        <w:t xml:space="preserve">Interpretation</w:t>
      </w:r>
    </w:p>
    <w:p>
      <w:pPr>
        <w:pStyle w:val="FirstParagraph"/>
      </w:pPr>
      <w:r>
        <w:rPr>
          <w:bCs/>
          <w:b/>
        </w:rPr>
        <w:t xml:space="preserve">Question: at equal sample coverage, do restricted and broad sites still differ in sign-type richness?</w:t>
      </w:r>
      <w:r>
        <w:t xml:space="preserve"> </w:t>
      </w:r>
      <w:r>
        <w:t xml:space="preserve">Only a subset of sites can be assessed. In Aur-P1, 11 of 20 sites reach coverage 0.9; in Aur-P2 only 4 of 9 do. Among the Aur-P1 sites that do reach the target, restricted sites remain low-richness (mean 1.67 sign types) while broad sites remain high-richness (mean 9.32), a difference that persists at equal coverage (Wilcoxon p = 0.006). For Aur-P2 only 4 of 9 sites reach the target (2 broad, 2 restricted), too few for a reliable group comparison (Wilcoxon p = 0.333).</w:t>
      </w:r>
    </w:p>
    <w:p>
      <w:pPr>
        <w:pStyle w:val="BodyText"/>
      </w:pPr>
      <w:r>
        <w:rPr>
          <w:bCs/>
          <w:b/>
        </w:rPr>
        <w:t xml:space="preserve">Answer:</w:t>
      </w:r>
      <w:r>
        <w:t xml:space="preserve"> </w:t>
      </w:r>
      <w:r>
        <w:t xml:space="preserve">at equal coverage the broad/restricted richness contrast is preserved</w:t>
      </w:r>
      <w:r>
        <w:t xml:space="preserve"> </w:t>
      </w:r>
      <w:r>
        <w:rPr>
          <w:iCs/>
          <w:i/>
        </w:rPr>
        <w:t xml:space="preserve">among the sites that can be evaluated</w:t>
      </w:r>
      <w:r>
        <w:t xml:space="preserve"> </w:t>
      </w:r>
      <w:r>
        <w:t xml:space="preserve">— it is not removed by standardising on completeness — but the majority of the smallest sites never attain the target coverage and therefore cannot be placed on a common coverage footing at all. Coverage-based rarefaction is consequently unreliable for the smallest assemblages: it can compare well-sampled sites, but it cannot rescue the assignment of sites with only one or two objects, for which the table reports Chao coverage and Chao2 fallback quantities instead. This is the same limitation encountered in S9.2, approached from the richness axis.</w:t>
      </w:r>
    </w:p>
    <w:bookmarkEnd w:id="268"/>
    <w:bookmarkEnd w:id="269"/>
    <w:bookmarkStart w:id="273" w:name="sec-s9-4"/>
    <w:p>
      <w:pPr>
        <w:pStyle w:val="Heading2"/>
      </w:pPr>
      <w:r>
        <w:t xml:space="preserve">S9.4 Negative-binomial regression with object-count covariate</w:t>
      </w:r>
    </w:p>
    <w:bookmarkStart w:id="271" w:name="rationale-13"/>
    <w:p>
      <w:pPr>
        <w:pStyle w:val="Heading3"/>
      </w:pPr>
      <w:r>
        <w:t xml:space="preserve">Rationale</w:t>
      </w:r>
    </w:p>
    <w:p>
      <w:pPr>
        <w:pStyle w:val="FirstParagraph"/>
      </w:pPr>
      <w:r>
        <w:t xml:space="preserve">The two resampling approaches above ask whether the</w:t>
      </w:r>
      <w:r>
        <w:t xml:space="preserve"> </w:t>
      </w:r>
      <w:r>
        <w:rPr>
          <w:iCs/>
          <w:i/>
        </w:rPr>
        <w:t xml:space="preserve">partition</w:t>
      </w:r>
      <w:r>
        <w:t xml:space="preserve"> </w:t>
      </w:r>
      <w:r>
        <w:t xml:space="preserve">and the</w:t>
      </w:r>
      <w:r>
        <w:t xml:space="preserve"> </w:t>
      </w:r>
      <w:r>
        <w:rPr>
          <w:iCs/>
          <w:i/>
        </w:rPr>
        <w:t xml:space="preserve">richness</w:t>
      </w:r>
      <w:r>
        <w:t xml:space="preserve"> </w:t>
      </w:r>
      <w:r>
        <w:t xml:space="preserve">survive downsampling. We also ask whether group predicts sign-type richness once sampling effort is held constant. Entering</w:t>
      </w:r>
      <w:r>
        <w:t xml:space="preserve"> </w:t>
      </w:r>
      <w:r>
        <w:rPr>
          <w:rStyle w:val="VerbatimChar"/>
        </w:rPr>
        <w:t xml:space="preserve">log(object count)</w:t>
      </w:r>
      <w:r>
        <w:t xml:space="preserve"> </w:t>
      </w:r>
      <w:r>
        <w:t xml:space="preserve">as an</w:t>
      </w:r>
      <w:r>
        <w:t xml:space="preserve"> </w:t>
      </w:r>
      <w:r>
        <w:rPr>
          <w:bCs/>
          <w:b/>
        </w:rPr>
        <w:t xml:space="preserve">offset</w:t>
      </w:r>
      <w:r>
        <w:t xml:space="preserve"> </w:t>
      </w:r>
      <w:r>
        <w:t xml:space="preserve">(the exposure term) fixes the richness-effort exponent at 1, which assumes sign-type richness grows in proportion to the number of objects; richness instead saturates with effort</w:t>
      </w:r>
      <w:r>
        <w:t xml:space="preserve"> </w:t>
      </w:r>
      <w:r>
        <w:t xml:space="preserve">[25]</w:t>
      </w:r>
      <w:r>
        <w:t xml:space="preserve">, so under an offset a site with 1 object and 1 sign type has a</w:t>
      </w:r>
      <w:r>
        <w:t xml:space="preserve"> </w:t>
      </w:r>
      <w:r>
        <w:t xml:space="preserve">“</w:t>
      </w:r>
      <w:r>
        <w:t xml:space="preserve">rate</w:t>
      </w:r>
      <w:r>
        <w:t xml:space="preserve">”</w:t>
      </w:r>
      <w:r>
        <w:t xml:space="preserve"> </w:t>
      </w:r>
      <w:r>
        <w:t xml:space="preserve">of 1.0 while Vogelherd (173 objects, 17 types) has a rate of 0.1, biasing the contrast against the large broad-group sites. We therefore fit two negative-binomial regressions</w:t>
      </w:r>
      <w:r>
        <w:t xml:space="preserve"> </w:t>
      </w:r>
      <w:r>
        <w:t xml:space="preserve">[27]</w:t>
      </w:r>
      <w:r>
        <w:t xml:space="preserve"> </w:t>
      </w:r>
      <w:r>
        <w:t xml:space="preserve">of per-site sign-type richness with the manual group and phase as predictors: (i) the offset specification, and (ii) a free-slope specification with</w:t>
      </w:r>
      <w:r>
        <w:t xml:space="preserve"> </w:t>
      </w:r>
      <w:r>
        <w:rPr>
          <w:rStyle w:val="VerbatimChar"/>
        </w:rPr>
        <w:t xml:space="preserve">log(object count)</w:t>
      </w:r>
      <w:r>
        <w:t xml:space="preserve"> </w:t>
      </w:r>
      <w:r>
        <w:t xml:space="preserve">as a covariate, which estimates the exponent with its interval:</w:t>
      </w:r>
    </w:p>
    <w:p>
      <w:pPr>
        <w:pStyle w:val="BodyText"/>
      </w:pPr>
      <m:oMathPara>
        <m:oMathParaPr>
          <m:jc m:val="center"/>
        </m:oMathParaPr>
        <m:oMath>
          <m:sSub>
            <m:e>
              <m:r>
                <m:rPr>
                  <m:nor/>
                  <m:sty m:val="p"/>
                </m:rPr>
                <m:t>richness</m:t>
              </m:r>
            </m:e>
            <m:sub>
              <m:r>
                <m:t>i</m:t>
              </m:r>
            </m:sub>
          </m:sSub>
          <m:r>
            <m:rPr>
              <m:sty m:val="p"/>
            </m:rPr>
            <m:t>∼</m:t>
          </m:r>
          <m:r>
            <m:rPr>
              <m:nor/>
              <m:sty m:val="p"/>
            </m:rPr>
            <m:t>NegativeBinomial</m:t>
          </m:r>
          <m:d>
            <m:dPr>
              <m:begChr m:val="("/>
              <m:endChr m:val=")"/>
              <m:sepChr m:val=""/>
              <m:grow/>
            </m:dPr>
            <m:e>
              <m:r>
                <m:rPr>
                  <m:sty m:val="p"/>
                </m:rPr>
                <m:t>exp</m:t>
              </m:r>
              <m:d>
                <m:dPr>
                  <m:begChr m:val="("/>
                  <m:endChr m:val=")"/>
                  <m:sepChr m:val=""/>
                  <m:grow/>
                </m:dPr>
                <m:e>
                  <m:sSub>
                    <m:e>
                      <m:r>
                        <m:t>β</m:t>
                      </m:r>
                    </m:e>
                    <m:sub>
                      <m:r>
                        <m:t>0</m:t>
                      </m:r>
                    </m:sub>
                  </m:sSub>
                  <m:r>
                    <m:rPr>
                      <m:sty m:val="p"/>
                    </m:rPr>
                    <m:t>+</m:t>
                  </m:r>
                  <m:sSub>
                    <m:e>
                      <m:r>
                        <m:t>β</m:t>
                      </m:r>
                    </m:e>
                    <m:sub>
                      <m:r>
                        <m:t>1</m:t>
                      </m:r>
                    </m:sub>
                  </m:sSub>
                  <m:sSub>
                    <m:e>
                      <m:r>
                        <m:rPr>
                          <m:nor/>
                          <m:sty m:val="p"/>
                        </m:rPr>
                        <m:t>group</m:t>
                      </m:r>
                    </m:e>
                    <m:sub>
                      <m:r>
                        <m:t>i</m:t>
                      </m:r>
                    </m:sub>
                  </m:sSub>
                  <m:r>
                    <m:rPr>
                      <m:sty m:val="p"/>
                    </m:rPr>
                    <m:t>+</m:t>
                  </m:r>
                  <m:sSub>
                    <m:e>
                      <m:r>
                        <m:t>β</m:t>
                      </m:r>
                    </m:e>
                    <m:sub>
                      <m:r>
                        <m:t>2</m:t>
                      </m:r>
                    </m:sub>
                  </m:sSub>
                  <m:sSub>
                    <m:e>
                      <m:r>
                        <m:rPr>
                          <m:nor/>
                          <m:sty m:val="p"/>
                        </m:rPr>
                        <m:t>phase</m:t>
                      </m:r>
                    </m:e>
                    <m:sub>
                      <m:r>
                        <m:t>i</m:t>
                      </m:r>
                    </m:sub>
                  </m:sSub>
                  <m:r>
                    <m:rPr>
                      <m:sty m:val="p"/>
                    </m:rPr>
                    <m:t>+</m:t>
                  </m:r>
                  <m:sSub>
                    <m:e>
                      <m:r>
                        <m:t>β</m:t>
                      </m:r>
                    </m:e>
                    <m:sub>
                      <m:r>
                        <m:t>3</m:t>
                      </m:r>
                    </m:sub>
                  </m:sSub>
                  <m:r>
                    <m:rPr>
                      <m:sty m:val="p"/>
                    </m:rPr>
                    <m:t>log</m:t>
                  </m:r>
                  <m:d>
                    <m:dPr>
                      <m:begChr m:val="("/>
                      <m:endChr m:val=")"/>
                      <m:sepChr m:val=""/>
                      <m:grow/>
                    </m:dPr>
                    <m:e>
                      <m:sSub>
                        <m:e>
                          <m:r>
                            <m:rPr>
                              <m:nor/>
                              <m:sty m:val="p"/>
                            </m:rPr>
                            <m:t>objects</m:t>
                          </m:r>
                        </m:e>
                        <m:sub>
                          <m:r>
                            <m:t>i</m:t>
                          </m:r>
                        </m:sub>
                      </m:sSub>
                    </m:e>
                  </m:d>
                </m:e>
              </m:d>
            </m:e>
          </m:d>
          <m:r>
            <m:rPr>
              <m:sty m:val="p"/>
            </m:rPr>
            <m:t>.</m:t>
          </m:r>
        </m:oMath>
      </m:oMathPara>
    </w:p>
    <w:p>
      <w:pPr>
        <w:pStyle w:val="FirstParagraph"/>
      </w:pPr>
      <w:r>
        <w:rPr>
          <w:bCs/>
          <w:b/>
        </w:rPr>
        <w:t xml:space="preserve">Question this analysis answers:</w:t>
      </w:r>
      <w:r>
        <w:t xml:space="preserve"> </w:t>
      </w:r>
      <w:r>
        <w:t xml:space="preserve">does the group effect on sign-type richness survive after accounting for sampling effort (object count)?</w:t>
      </w:r>
    </w:p>
    <w:tbl>
      <w:tblPr>
        <w:tblStyle w:val="Table"/>
        <w:tblW w:type="pct" w:w="5000"/>
        <w:tblLook w:firstRow="0" w:lastRow="0" w:firstColumn="0" w:lastColumn="0" w:noHBand="0" w:noVBand="0" w:val="0000"/>
        <w:jc w:val="start"/>
        <w:tblLayout w:type="fixed"/>
      </w:tblPr>
      <w:tblGrid>
        <w:gridCol w:w="7920"/>
      </w:tblGrid>
      <w:tr>
        <w:tc>
          <w:tcPr/>
          <w:bookmarkStart w:id="270" w:name="tbl-s9-mixed"/>
          <w:tbl>
            <w:tblPr>
              <w:tblStyle w:val="Table"/>
              <w:tblW w:type="pct" w:w="5000"/>
              <w:tblLook w:firstRow="1" w:lastRow="0" w:firstColumn="0" w:lastColumn="0" w:noHBand="0" w:noVBand="0" w:val="0020"/>
              <w:jc w:val="start"/>
              <w:tblLayout w:type="fixed"/>
            </w:tblPr>
            <w:tblGrid>
              <w:gridCol w:w="2554"/>
              <w:gridCol w:w="1149"/>
              <w:gridCol w:w="1277"/>
              <w:gridCol w:w="1405"/>
              <w:gridCol w:w="1532"/>
            </w:tblGrid>
            <w:tr>
              <w:trPr>
                <w:tblHeader w:val="true"/>
              </w:trPr>
              <w:tc>
                <w:tcPr/>
                <w:p>
                  <w:pPr>
                    <w:pStyle w:val="Compact"/>
                    <w:jc w:val="left"/>
                    <w:jc w:val="center"/>
                  </w:pPr>
                  <w:r>
                    <w:t xml:space="preserve">Term</w:t>
                  </w:r>
                </w:p>
              </w:tc>
              <w:tc>
                <w:tcPr/>
                <w:p>
                  <w:pPr>
                    <w:pStyle w:val="Compact"/>
                    <w:jc w:val="right"/>
                    <w:jc w:val="center"/>
                  </w:pPr>
                  <w:r>
                    <w:t xml:space="preserve">log-rate (offset)</w:t>
                  </w:r>
                </w:p>
              </w:tc>
              <w:tc>
                <w:tcPr/>
                <w:p>
                  <w:pPr>
                    <w:pStyle w:val="Compact"/>
                    <w:jc w:val="right"/>
                    <w:jc w:val="center"/>
                  </w:pPr>
                  <w:r>
                    <w:t xml:space="preserve">rate ratio (offset)</w:t>
                  </w:r>
                </w:p>
              </w:tc>
              <w:tc>
                <w:tcPr/>
                <w:p>
                  <w:pPr>
                    <w:pStyle w:val="Compact"/>
                    <w:jc w:val="right"/>
                    <w:jc w:val="center"/>
                  </w:pPr>
                  <w:r>
                    <w:t xml:space="preserve">log-rate (free slope)</w:t>
                  </w:r>
                </w:p>
              </w:tc>
              <w:tc>
                <w:tcPr/>
                <w:p>
                  <w:pPr>
                    <w:pStyle w:val="Compact"/>
                    <w:jc w:val="right"/>
                    <w:jc w:val="center"/>
                  </w:pPr>
                  <w:r>
                    <w:t xml:space="preserve">rate ratio (free slope)</w:t>
                  </w:r>
                </w:p>
              </w:tc>
            </w:tr>
            <w:tr>
              <w:tc>
                <w:tcPr/>
                <w:p>
                  <w:pPr>
                    <w:pStyle w:val="Compact"/>
                    <w:jc w:val="left"/>
                    <w:jc w:val="center"/>
                  </w:pPr>
                  <w:r>
                    <w:t xml:space="preserve">Intercept</w:t>
                  </w:r>
                </w:p>
              </w:tc>
              <w:tc>
                <w:tcPr/>
                <w:p>
                  <w:pPr>
                    <w:pStyle w:val="Compact"/>
                    <w:jc w:val="right"/>
                    <w:jc w:val="center"/>
                  </w:pPr>
                  <w:r>
                    <w:t xml:space="preserve">-0.455</w:t>
                  </w:r>
                </w:p>
              </w:tc>
              <w:tc>
                <w:tcPr/>
                <w:p>
                  <w:pPr>
                    <w:pStyle w:val="Compact"/>
                    <w:jc w:val="right"/>
                    <w:jc w:val="center"/>
                  </w:pPr>
                  <w:r>
                    <w:t xml:space="preserve">0.635</w:t>
                  </w:r>
                </w:p>
              </w:tc>
              <w:tc>
                <w:tcPr/>
                <w:p>
                  <w:pPr>
                    <w:pStyle w:val="Compact"/>
                    <w:jc w:val="right"/>
                    <w:jc w:val="center"/>
                  </w:pPr>
                  <w:r>
                    <w:t xml:space="preserve">0.085</w:t>
                  </w:r>
                </w:p>
              </w:tc>
              <w:tc>
                <w:tcPr/>
                <w:p>
                  <w:pPr>
                    <w:pStyle w:val="Compact"/>
                    <w:jc w:val="right"/>
                    <w:jc w:val="center"/>
                  </w:pPr>
                  <w:r>
                    <w:t xml:space="preserve">1.089</w:t>
                  </w:r>
                </w:p>
              </w:tc>
            </w:tr>
            <w:tr>
              <w:tc>
                <w:tcPr/>
                <w:p>
                  <w:pPr>
                    <w:pStyle w:val="Compact"/>
                    <w:jc w:val="left"/>
                    <w:jc w:val="center"/>
                  </w:pPr>
                  <w:r>
                    <w:t xml:space="preserve">Group (broad vs restricted)</w:t>
                  </w:r>
                </w:p>
              </w:tc>
              <w:tc>
                <w:tcPr/>
                <w:p>
                  <w:pPr>
                    <w:pStyle w:val="Compact"/>
                    <w:jc w:val="right"/>
                    <w:jc w:val="center"/>
                  </w:pPr>
                  <w:r>
                    <w:t xml:space="preserve">-0.329</w:t>
                  </w:r>
                </w:p>
              </w:tc>
              <w:tc>
                <w:tcPr/>
                <w:p>
                  <w:pPr>
                    <w:pStyle w:val="Compact"/>
                    <w:jc w:val="right"/>
                    <w:jc w:val="center"/>
                  </w:pPr>
                  <w:r>
                    <w:t xml:space="preserve">0.720</w:t>
                  </w:r>
                </w:p>
              </w:tc>
              <w:tc>
                <w:tcPr/>
                <w:p>
                  <w:pPr>
                    <w:pStyle w:val="Compact"/>
                    <w:jc w:val="right"/>
                    <w:jc w:val="center"/>
                  </w:pPr>
                  <w:r>
                    <w:t xml:space="preserve">0.838</w:t>
                  </w:r>
                </w:p>
              </w:tc>
              <w:tc>
                <w:tcPr/>
                <w:p>
                  <w:pPr>
                    <w:pStyle w:val="Compact"/>
                    <w:jc w:val="right"/>
                    <w:jc w:val="center"/>
                  </w:pPr>
                  <w:r>
                    <w:t xml:space="preserve">2.311</w:t>
                  </w:r>
                </w:p>
              </w:tc>
            </w:tr>
            <w:tr>
              <w:tc>
                <w:tcPr/>
                <w:p>
                  <w:pPr>
                    <w:pStyle w:val="Compact"/>
                    <w:jc w:val="left"/>
                    <w:jc w:val="center"/>
                  </w:pPr>
                  <w:r>
                    <w:t xml:space="preserve">Phase (Aur-P2 vs Aur-P1)</w:t>
                  </w:r>
                </w:p>
              </w:tc>
              <w:tc>
                <w:tcPr/>
                <w:p>
                  <w:pPr>
                    <w:pStyle w:val="Compact"/>
                    <w:jc w:val="right"/>
                    <w:jc w:val="center"/>
                  </w:pPr>
                  <w:r>
                    <w:t xml:space="preserve">0.238</w:t>
                  </w:r>
                </w:p>
              </w:tc>
              <w:tc>
                <w:tcPr/>
                <w:p>
                  <w:pPr>
                    <w:pStyle w:val="Compact"/>
                    <w:jc w:val="right"/>
                    <w:jc w:val="center"/>
                  </w:pPr>
                  <w:r>
                    <w:t xml:space="preserve">1.269</w:t>
                  </w:r>
                </w:p>
              </w:tc>
              <w:tc>
                <w:tcPr/>
                <w:p>
                  <w:pPr>
                    <w:pStyle w:val="Compact"/>
                    <w:jc w:val="right"/>
                    <w:jc w:val="center"/>
                  </w:pPr>
                  <w:r>
                    <w:t xml:space="preserve">0.130</w:t>
                  </w:r>
                </w:p>
              </w:tc>
              <w:tc>
                <w:tcPr/>
                <w:p>
                  <w:pPr>
                    <w:pStyle w:val="Compact"/>
                    <w:jc w:val="right"/>
                    <w:jc w:val="center"/>
                  </w:pPr>
                  <w:r>
                    <w:t xml:space="preserve">1.139</w:t>
                  </w:r>
                </w:p>
              </w:tc>
            </w:tr>
            <w:tr>
              <w:tc>
                <w:tcPr/>
                <w:p>
                  <w:pPr>
                    <w:pStyle w:val="Compact"/>
                    <w:jc w:val="left"/>
                    <w:jc w:val="center"/>
                  </w:pPr>
                  <w:r>
                    <w:t xml:space="preserve">log(objects) exponent (free-slope only)</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0.377</w:t>
                  </w:r>
                </w:p>
              </w:tc>
              <w:tc>
                <w:tcPr/>
                <w:p>
                  <w:pPr>
                    <w:pStyle w:val="Compact"/>
                    <w:jc w:val="right"/>
                    <w:jc w:val="center"/>
                  </w:pPr>
                  <w:r>
                    <w:t xml:space="preserve">1.459</w:t>
                  </w:r>
                </w:p>
              </w:tc>
            </w:tr>
          </w:tbl>
          <w:p>
            <w:pPr>
              <w:jc w:val="center"/>
            </w:pPr>
            <w:pPr>
              <w:jc w:val="start"/>
              <w:spacing w:before="200"/>
              <w:pStyle w:val="ImageCaption"/>
            </w:pPr>
            <w:r>
              <w:t xml:space="preserve">Table 39: Negative-binomial regressions of per-site sign-type richness: offset specification (richness-effort exponent fixed at 1) versus free-slope specification (exponent estimated). A non-significant group coefficient under the offset does not by itself show the richness gap is explained by object count, because the fixed exponent mis-specifies the saturating richness-effort relationship.</w:t>
            </w:r>
          </w:p>
          <w:bookmarkEnd w:id="270"/>
        </w:tc>
      </w:tr>
    </w:tbl>
    <w:bookmarkEnd w:id="271"/>
    <w:bookmarkStart w:id="272" w:name="interpretation-11"/>
    <w:p>
      <w:pPr>
        <w:pStyle w:val="Heading3"/>
      </w:pPr>
      <w:r>
        <w:t xml:space="preserve">Interpretation</w:t>
      </w:r>
    </w:p>
    <w:p>
      <w:pPr>
        <w:pStyle w:val="FirstParagraph"/>
      </w:pPr>
      <w:r>
        <w:rPr>
          <w:bCs/>
          <w:b/>
        </w:rPr>
        <w:t xml:space="preserve">Question: does the group effect on sign-type richness survive after accounting for sampling effort?</w:t>
      </w:r>
      <w:r>
        <w:t xml:space="preserve"> </w:t>
      </w:r>
      <w:r>
        <w:t xml:space="preserve">The answer depends on the specification, which is itself the finding. Under the offset specification the group coefficient is -0.329 (rate ratio 0.72, p = 0.292), i.e. non-significant and even slightly</w:t>
      </w:r>
      <w:r>
        <w:t xml:space="preserve"> </w:t>
      </w:r>
      <w:r>
        <w:rPr>
          <w:iCs/>
          <w:i/>
        </w:rPr>
        <w:t xml:space="preserve">negative</w:t>
      </w:r>
      <w:r>
        <w:t xml:space="preserve">. Under the free-slope specification the estimated richness-effort exponent is 0.377 (95% CI 0.228–0.528), which excludes 1: richness saturates with object count, so the offset’s proportionality assumption is rejected on these data and its rate ratio is biased against the large broad-group sites. With the exponent freed, broad-range sites are richer than restricted-range sites at equal object count (rate ratio 2.311, p = 0.003). This reversal shows the offset-based</w:t>
      </w:r>
      <w:r>
        <w:t xml:space="preserve"> </w:t>
      </w:r>
      <w:r>
        <w:t xml:space="preserve">“</w:t>
      </w:r>
      <w:r>
        <w:t xml:space="preserve">sampling-effort artefact</w:t>
      </w:r>
      <w:r>
        <w:t xml:space="preserve">”</w:t>
      </w:r>
      <w:r>
        <w:t xml:space="preserve"> </w:t>
      </w:r>
      <w:r>
        <w:t xml:space="preserve">reading was a property of the mis-specified model, not of the data, and it agrees with S9.3, where the contrast persists among the sites assessable at equal coverage.</w:t>
      </w:r>
      <w:r>
        <w:t xml:space="preserve"> </w:t>
      </w:r>
      <w:r>
        <w:rPr>
          <w:bCs/>
          <w:b/>
        </w:rPr>
        <w:t xml:space="preserve">Caveat:</w:t>
      </w:r>
      <w:r>
        <w:t xml:space="preserve"> </w:t>
      </w:r>
      <w:r>
        <w:t xml:space="preserve">the free-slope fit has three predictors on 29 site-phase units with group strongly collinear with object count, and the dispersion fit reached its iteration limit, so its intervals are approximate; it is reported as a corrected specification, not a precise effect estimate.</w:t>
      </w:r>
      <w:r>
        <w:t xml:space="preserve"> </w:t>
      </w:r>
      <w:r>
        <w:rPr>
          <w:bCs/>
          <w:b/>
        </w:rPr>
        <w:t xml:space="preserve">Answer:</w:t>
      </w:r>
      <w:r>
        <w:t xml:space="preserve"> </w:t>
      </w:r>
      <w:r>
        <w:t xml:space="preserve">the raw richness gap is not distinguishable from a genuine group difference once saturating sampling effort is accounted for; a non-significant offset coefficient cannot be read as positive evidence that effort explains the gap.</w:t>
      </w:r>
    </w:p>
    <w:bookmarkEnd w:id="272"/>
    <w:bookmarkEnd w:id="273"/>
    <w:bookmarkStart w:id="281" w:name="sec-s9-5"/>
    <w:p>
      <w:pPr>
        <w:pStyle w:val="Heading2"/>
      </w:pPr>
      <w:r>
        <w:t xml:space="preserve">S9.5 Equal-effort pool comparison (iNEXT)</w:t>
      </w:r>
    </w:p>
    <w:bookmarkStart w:id="279" w:name="rationale-14"/>
    <w:p>
      <w:pPr>
        <w:pStyle w:val="Heading3"/>
      </w:pPr>
      <w:r>
        <w:t xml:space="preserve">Rationale</w:t>
      </w:r>
    </w:p>
    <w:p>
      <w:pPr>
        <w:pStyle w:val="FirstParagraph"/>
      </w:pPr>
      <w:r>
        <w:t xml:space="preserve">The Conclusion states that the sign-type pool contracts from Aur-P1 (26 types) to Aur-P2 (15 types), consistent with cultural drift in small populations. This raw count compares pools sampled with very different effort: 346 objects at 20 sites in Aur-P1 versus 63 objects at 9 sites in Aur-P2. It is also confounded with object classes that occur only in Aur-P1, such as limestone blocs, tubes and figurine classes that carry the most frequent Aur-P1-only sign types (vulva, zoomorph, cupule). A smaller pool in Aur-P2 is therefore expected from fewer objects alone, without any phase-level change in cultural repertoire.</w:t>
      </w:r>
    </w:p>
    <w:p>
      <w:pPr>
        <w:pStyle w:val="BodyText"/>
      </w:pPr>
      <w:r>
        <w:t xml:space="preserve">We test the contraction at equal effort with incidence-based rarefaction and extrapolation using</w:t>
      </w:r>
      <w:r>
        <w:t xml:space="preserve"> </w:t>
      </w:r>
      <w:r>
        <w:rPr>
          <w:rStyle w:val="VerbatimChar"/>
        </w:rPr>
        <w:t xml:space="preserve">iNEXT</w:t>
      </w:r>
      <w:r>
        <w:t xml:space="preserve"> </w:t>
      </w:r>
      <w:r>
        <w:t xml:space="preserve">[24,26]</w:t>
      </w:r>
      <w:r>
        <w:t xml:space="preserve">. Each mobile object is a sampling unit and each geometric sign type is a species. For each phase the incidence frequency of a sign type is the number of objects that carry it.</w:t>
      </w:r>
      <w:r>
        <w:t xml:space="preserve"> </w:t>
      </w:r>
      <w:r>
        <w:rPr>
          <w:rStyle w:val="VerbatimChar"/>
        </w:rPr>
        <w:t xml:space="preserve">iNEXT</w:t>
      </w:r>
      <w:r>
        <w:t xml:space="preserve"> </w:t>
      </w:r>
      <w:r>
        <w:t xml:space="preserve">with</w:t>
      </w:r>
      <w:r>
        <w:t xml:space="preserve"> </w:t>
      </w:r>
      <w:r>
        <w:rPr>
          <w:rStyle w:val="VerbatimChar"/>
        </w:rPr>
        <w:t xml:space="preserve">datatype = "incidence_freq"</w:t>
      </w:r>
      <w:r>
        <w:t xml:space="preserve"> </w:t>
      </w:r>
      <w:r>
        <w:t xml:space="preserve">standardises richness by sample completeness and returns 95% confidence intervals from 200 bootstrap replicates. We report two comparisons: (a) all object types and (b) restricted to object types present in both phases, which removes the class confound as a check.</w:t>
      </w:r>
    </w:p>
    <w:p>
      <w:pPr>
        <w:pStyle w:val="BodyText"/>
      </w:pPr>
      <w:r>
        <w:rPr>
          <w:bCs/>
          <w:b/>
        </w:rPr>
        <w:t xml:space="preserve">Question this analysis answers:</w:t>
      </w:r>
      <w:r>
        <w:t xml:space="preserve"> </w:t>
      </w:r>
      <w:r>
        <w:t xml:space="preserve">at equal object count or equal coverage, does the Aur-P1 pool remain larger than the Aur-P2 pool, or is the raw 26 vs 15 difference not distinguishable from sampling variation?</w:t>
      </w:r>
    </w:p>
    <w:tbl>
      <w:tblPr>
        <w:tblStyle w:val="Table"/>
        <w:tblW w:type="pct" w:w="5000"/>
        <w:tblLook w:firstRow="0" w:lastRow="0" w:firstColumn="0" w:lastColumn="0" w:noHBand="0" w:noVBand="0" w:val="0000"/>
        <w:jc w:val="start"/>
        <w:tblLayout w:type="fixed"/>
      </w:tblPr>
      <w:tblGrid>
        <w:gridCol w:w="7920"/>
      </w:tblGrid>
      <w:tr>
        <w:tc>
          <w:tcPr/>
          <w:bookmarkStart w:id="274" w:name="tbl-s9-pool-inext"/>
          <w:tbl>
            <w:tblPr>
              <w:tblStyle w:val="Table"/>
              <w:tblW w:type="pct" w:w="5000"/>
              <w:tblLook w:firstRow="1" w:lastRow="0" w:firstColumn="0" w:lastColumn="0" w:noHBand="0" w:noVBand="0" w:val="0020"/>
              <w:jc w:val="start"/>
              <w:tblLayout w:type="fixed"/>
            </w:tblPr>
            <w:tblGrid>
              <w:gridCol w:w="1952"/>
              <w:gridCol w:w="759"/>
              <w:gridCol w:w="1301"/>
              <w:gridCol w:w="1518"/>
              <w:gridCol w:w="542"/>
              <w:gridCol w:w="542"/>
              <w:gridCol w:w="1301"/>
            </w:tblGrid>
            <w:tr>
              <w:trPr>
                <w:tblHeader w:val="true"/>
              </w:trPr>
              <w:tc>
                <w:tcPr/>
                <w:p>
                  <w:pPr>
                    <w:pStyle w:val="Compact"/>
                    <w:jc w:val="left"/>
                    <w:jc w:val="center"/>
                  </w:pPr>
                  <w:r>
                    <w:t xml:space="preserve">Object-type set</w:t>
                  </w:r>
                </w:p>
              </w:tc>
              <w:tc>
                <w:tcPr/>
                <w:p>
                  <w:pPr>
                    <w:pStyle w:val="Compact"/>
                    <w:jc w:val="left"/>
                    <w:jc w:val="center"/>
                  </w:pPr>
                  <w:r>
                    <w:t xml:space="preserve">Phase</w:t>
                  </w:r>
                </w:p>
              </w:tc>
              <w:tc>
                <w:tcPr/>
                <w:p>
                  <w:pPr>
                    <w:pStyle w:val="Compact"/>
                    <w:jc w:val="right"/>
                    <w:jc w:val="center"/>
                  </w:pPr>
                  <w:r>
                    <w:t xml:space="preserve">m (objects)</w:t>
                  </w:r>
                </w:p>
              </w:tc>
              <w:tc>
                <w:tcPr/>
                <w:p>
                  <w:pPr>
                    <w:pStyle w:val="Compact"/>
                    <w:jc w:val="right"/>
                    <w:jc w:val="center"/>
                  </w:pPr>
                  <w:r>
                    <w:t xml:space="preserve">Richness (qD)</w:t>
                  </w:r>
                </w:p>
              </w:tc>
              <w:tc>
                <w:tcPr/>
                <w:p>
                  <w:pPr>
                    <w:pStyle w:val="Compact"/>
                    <w:jc w:val="right"/>
                    <w:jc w:val="center"/>
                  </w:pPr>
                  <w:r>
                    <w:t xml:space="preserve">LCL</w:t>
                  </w:r>
                </w:p>
              </w:tc>
              <w:tc>
                <w:tcPr/>
                <w:p>
                  <w:pPr>
                    <w:pStyle w:val="Compact"/>
                    <w:jc w:val="right"/>
                    <w:jc w:val="center"/>
                  </w:pPr>
                  <w:r>
                    <w:t xml:space="preserve">UCL</w:t>
                  </w:r>
                </w:p>
              </w:tc>
              <w:tc>
                <w:tcPr/>
                <w:p>
                  <w:pPr>
                    <w:pStyle w:val="Compact"/>
                    <w:jc w:val="left"/>
                    <w:jc w:val="center"/>
                  </w:pPr>
                  <w:r>
                    <w:t xml:space="preserve">Method</w:t>
                  </w:r>
                </w:p>
              </w:tc>
            </w:tr>
            <w:tr>
              <w:tc>
                <w:tcPr/>
                <w:p>
                  <w:pPr>
                    <w:pStyle w:val="Compact"/>
                    <w:jc w:val="left"/>
                    <w:jc w:val="center"/>
                  </w:pPr>
                  <w:r>
                    <w:t xml:space="preserve">all types</w:t>
                  </w:r>
                </w:p>
              </w:tc>
              <w:tc>
                <w:tcPr/>
                <w:p>
                  <w:pPr>
                    <w:pStyle w:val="Compact"/>
                    <w:jc w:val="left"/>
                    <w:jc w:val="center"/>
                  </w:pPr>
                  <w:r>
                    <w:t xml:space="preserve">Aur-P1</w:t>
                  </w:r>
                </w:p>
              </w:tc>
              <w:tc>
                <w:tcPr/>
                <w:p>
                  <w:pPr>
                    <w:pStyle w:val="Compact"/>
                    <w:jc w:val="right"/>
                    <w:jc w:val="center"/>
                  </w:pPr>
                  <w:r>
                    <w:t xml:space="preserve">63</w:t>
                  </w:r>
                </w:p>
              </w:tc>
              <w:tc>
                <w:tcPr/>
                <w:p>
                  <w:pPr>
                    <w:pStyle w:val="Compact"/>
                    <w:jc w:val="right"/>
                    <w:jc w:val="center"/>
                  </w:pPr>
                  <w:r>
                    <w:t xml:space="preserve">16.9</w:t>
                  </w:r>
                </w:p>
              </w:tc>
              <w:tc>
                <w:tcPr/>
                <w:p>
                  <w:pPr>
                    <w:pStyle w:val="Compact"/>
                    <w:jc w:val="right"/>
                    <w:jc w:val="center"/>
                  </w:pPr>
                  <w:r>
                    <w:t xml:space="preserve">15.5</w:t>
                  </w:r>
                </w:p>
              </w:tc>
              <w:tc>
                <w:tcPr/>
                <w:p>
                  <w:pPr>
                    <w:pStyle w:val="Compact"/>
                    <w:jc w:val="right"/>
                    <w:jc w:val="center"/>
                  </w:pPr>
                  <w:r>
                    <w:t xml:space="preserve">18.3</w:t>
                  </w:r>
                </w:p>
              </w:tc>
              <w:tc>
                <w:tcPr/>
                <w:p>
                  <w:pPr>
                    <w:pStyle w:val="Compact"/>
                    <w:jc w:val="left"/>
                    <w:jc w:val="center"/>
                  </w:pPr>
                  <w:r>
                    <w:t xml:space="preserve">Rarefaction</w:t>
                  </w:r>
                </w:p>
              </w:tc>
            </w:tr>
            <w:tr>
              <w:tc>
                <w:tcPr/>
                <w:p>
                  <w:pPr>
                    <w:pStyle w:val="Compact"/>
                    <w:jc w:val="left"/>
                    <w:jc w:val="center"/>
                  </w:pPr>
                  <w:r>
                    <w:t xml:space="preserve">all types</w:t>
                  </w:r>
                </w:p>
              </w:tc>
              <w:tc>
                <w:tcPr/>
                <w:p>
                  <w:pPr>
                    <w:pStyle w:val="Compact"/>
                    <w:jc w:val="left"/>
                    <w:jc w:val="center"/>
                  </w:pPr>
                  <w:r>
                    <w:t xml:space="preserve">Aur-P1</w:t>
                  </w:r>
                </w:p>
              </w:tc>
              <w:tc>
                <w:tcPr/>
                <w:p>
                  <w:pPr>
                    <w:pStyle w:val="Compact"/>
                    <w:jc w:val="right"/>
                    <w:jc w:val="center"/>
                  </w:pPr>
                  <w:r>
                    <w:t xml:space="preserve">346</w:t>
                  </w:r>
                </w:p>
              </w:tc>
              <w:tc>
                <w:tcPr/>
                <w:p>
                  <w:pPr>
                    <w:pStyle w:val="Compact"/>
                    <w:jc w:val="right"/>
                    <w:jc w:val="center"/>
                  </w:pPr>
                  <w:r>
                    <w:t xml:space="preserve">26.0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all types</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11.5</w:t>
                  </w:r>
                </w:p>
              </w:tc>
              <w:tc>
                <w:tcPr/>
                <w:p>
                  <w:pPr>
                    <w:pStyle w:val="Compact"/>
                    <w:jc w:val="right"/>
                    <w:jc w:val="center"/>
                  </w:pPr>
                  <w:r>
                    <w:t xml:space="preserve">18.5</w:t>
                  </w:r>
                </w:p>
              </w:tc>
              <w:tc>
                <w:tcPr/>
                <w:p>
                  <w:pPr>
                    <w:pStyle w:val="Compact"/>
                    <w:jc w:val="left"/>
                    <w:jc w:val="center"/>
                  </w:pPr>
                  <w:r>
                    <w:t xml:space="preserve">Observed</w:t>
                  </w:r>
                </w:p>
              </w:tc>
            </w:tr>
            <w:tr>
              <w:tc>
                <w:tcPr/>
                <w:p>
                  <w:pPr>
                    <w:pStyle w:val="Compact"/>
                    <w:jc w:val="left"/>
                    <w:jc w:val="center"/>
                  </w:pPr>
                  <w:r>
                    <w:t xml:space="preserve">all types</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Aur-P1</w:t>
                  </w:r>
                </w:p>
              </w:tc>
              <w:tc>
                <w:tcPr/>
                <w:p>
                  <w:pPr>
                    <w:pStyle w:val="Compact"/>
                    <w:jc w:val="right"/>
                    <w:jc w:val="center"/>
                  </w:pPr>
                  <w:r>
                    <w:t xml:space="preserve">63</w:t>
                  </w:r>
                </w:p>
              </w:tc>
              <w:tc>
                <w:tcPr/>
                <w:p>
                  <w:pPr>
                    <w:pStyle w:val="Compact"/>
                    <w:jc w:val="right"/>
                    <w:jc w:val="center"/>
                  </w:pPr>
                  <w:r>
                    <w:t xml:space="preserve">15.4</w:t>
                  </w:r>
                </w:p>
              </w:tc>
              <w:tc>
                <w:tcPr/>
                <w:p>
                  <w:pPr>
                    <w:pStyle w:val="Compact"/>
                    <w:jc w:val="right"/>
                    <w:jc w:val="center"/>
                  </w:pPr>
                  <w:r>
                    <w:t xml:space="preserve">13.6</w:t>
                  </w:r>
                </w:p>
              </w:tc>
              <w:tc>
                <w:tcPr/>
                <w:p>
                  <w:pPr>
                    <w:pStyle w:val="Compact"/>
                    <w:jc w:val="right"/>
                    <w:jc w:val="center"/>
                  </w:pPr>
                  <w:r>
                    <w:t xml:space="preserve">17.1</w:t>
                  </w:r>
                </w:p>
              </w:tc>
              <w:tc>
                <w:tcPr/>
                <w:p>
                  <w:pPr>
                    <w:pStyle w:val="Compact"/>
                    <w:jc w:val="left"/>
                    <w:jc w:val="center"/>
                  </w:pPr>
                  <w:r>
                    <w:t xml:space="preserve">Rarefaction</w:t>
                  </w:r>
                </w:p>
              </w:tc>
            </w:tr>
            <w:tr>
              <w:tc>
                <w:tcPr/>
                <w:p>
                  <w:pPr>
                    <w:pStyle w:val="Compact"/>
                    <w:jc w:val="left"/>
                    <w:jc w:val="center"/>
                  </w:pPr>
                  <w:r>
                    <w:t xml:space="preserve">shared types only</w:t>
                  </w:r>
                </w:p>
              </w:tc>
              <w:tc>
                <w:tcPr/>
                <w:p>
                  <w:pPr>
                    <w:pStyle w:val="Compact"/>
                    <w:jc w:val="left"/>
                    <w:jc w:val="center"/>
                  </w:pPr>
                  <w:r>
                    <w:t xml:space="preserve">Aur-P1</w:t>
                  </w:r>
                </w:p>
              </w:tc>
              <w:tc>
                <w:tcPr/>
                <w:p>
                  <w:pPr>
                    <w:pStyle w:val="Compact"/>
                    <w:jc w:val="right"/>
                    <w:jc w:val="center"/>
                  </w:pPr>
                  <w:r>
                    <w:t xml:space="preserve">220</w:t>
                  </w:r>
                </w:p>
              </w:tc>
              <w:tc>
                <w:tcPr/>
                <w:p>
                  <w:pPr>
                    <w:pStyle w:val="Compact"/>
                    <w:jc w:val="right"/>
                    <w:jc w:val="center"/>
                  </w:pPr>
                  <w:r>
                    <w:t xml:space="preserve">22.0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11.3</w:t>
                  </w:r>
                </w:p>
              </w:tc>
              <w:tc>
                <w:tcPr/>
                <w:p>
                  <w:pPr>
                    <w:pStyle w:val="Compact"/>
                    <w:jc w:val="right"/>
                    <w:jc w:val="center"/>
                  </w:pPr>
                  <w:r>
                    <w:t xml:space="preserve">18.7</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bl>
          <w:p>
            <w:pPr>
              <w:jc w:val="center"/>
            </w:pPr>
            <w:pPr>
              <w:jc w:val="start"/>
              <w:spacing w:before="200"/>
              <w:pStyle w:val="ImageCaption"/>
            </w:pPr>
            <w:r>
              <w:t xml:space="preserve">Table 40: Equal-effort sign-type pool comparison with iNEXT (incidence_freq, q = 0, 200 bootstraps). Observed pools are 26 types (Aur-P1, 346 objects) and 15 types (Aur-P2, 63 objects). Rarefied Aur-P1 to 63 objects and extrapolated Aur-P2 are shown with 95% confidence intervals; a second set restricts to object types present in both phases (shared types only).</w:t>
            </w:r>
          </w:p>
          <w:bookmarkEnd w:id="274"/>
        </w:tc>
      </w:tr>
    </w:tbl>
    <w:tbl>
      <w:tblPr>
        <w:tblStyle w:val="Table"/>
        <w:tblW w:type="pct" w:w="5000"/>
        <w:tblLook w:firstRow="0" w:lastRow="0" w:firstColumn="0" w:lastColumn="0" w:noHBand="0" w:noVBand="0" w:val="0000"/>
        <w:jc w:val="start"/>
        <w:tblLayout w:type="fixed"/>
      </w:tblPr>
      <w:tblGrid>
        <w:gridCol w:w="7920"/>
      </w:tblGrid>
      <w:tr>
        <w:tc>
          <w:tcPr/>
          <w:bookmarkStart w:id="278" w:name="fig-s9-pool-inext"/>
          <w:p>
            <w:pPr>
              <w:pStyle w:val="Compact"/>
              <w:jc w:val="center"/>
            </w:pPr>
            <w:r>
              <w:drawing>
                <wp:inline>
                  <wp:extent cx="5943600" cy="3566160"/>
                  <wp:effectExtent b="0" l="0" r="0" t="0"/>
                  <wp:docPr descr="" title="" id="276" name="Picture"/>
                  <a:graphic>
                    <a:graphicData uri="http://schemas.openxmlformats.org/drawingml/2006/picture">
                      <pic:pic>
                        <pic:nvPicPr>
                          <pic:cNvPr descr="S1-supplement-sensitivity_files/figure-docx/fig-s9-pool-inext-1.png" id="277" name="Picture"/>
                          <pic:cNvPicPr>
                            <a:picLocks noChangeArrowheads="1" noChangeAspect="1"/>
                          </pic:cNvPicPr>
                        </pic:nvPicPr>
                        <pic:blipFill>
                          <a:blip r:embed="rId275"/>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iNEXT rarefaction/extrapolation curves for sign-type richness (Hill number q = 0) by phase. Solid segment is rarefaction, dashed is extrapolation; shading is 95% confidence band (200 bootstraps). Vertical line marks 63 objects (Aur-P2 sample size) where Aur-P1 is rarefied. All types (left) and shared types only (right) are shown.</w:t>
            </w:r>
          </w:p>
          <w:bookmarkEnd w:id="278"/>
        </w:tc>
      </w:tr>
    </w:tbl>
    <w:bookmarkEnd w:id="279"/>
    <w:bookmarkStart w:id="280" w:name="interpretation-12"/>
    <w:p>
      <w:pPr>
        <w:pStyle w:val="Heading3"/>
      </w:pPr>
      <w:r>
        <w:t xml:space="preserve">Interpretation</w:t>
      </w:r>
    </w:p>
    <w:p>
      <w:pPr>
        <w:pStyle w:val="FirstParagraph"/>
      </w:pPr>
      <w:r>
        <w:rPr>
          <w:bCs/>
          <w:b/>
        </w:rPr>
        <w:t xml:space="preserve">Question: does the raw 26 vs 15 pool contraction survive equal effort?</w:t>
      </w:r>
      <w:r>
        <w:t xml:space="preserve"> </w:t>
      </w:r>
      <w:r>
        <w:t xml:space="preserve">No. When Aur-P1 is rarefied to 63 objects, its expected richness drops into the range 16.9 types (95% CI 15.5–18.3), which overlaps the Aur-P2 observed pool of 15 types. The Aur-P2 95% interval extended to the same effort likewise overlaps. This reproduces the reviewer’s direct resampling of 63 objects from the 346 Aur-P1 objects (expected 16.7, interval 13–20). The phase coefficient in S9.4 at equal object count is also non-significant (rate ratio 1.27, p = 0.462 in the reviewer’s re-run).</w:t>
      </w:r>
    </w:p>
    <w:p>
      <w:pPr>
        <w:pStyle w:val="BodyText"/>
      </w:pPr>
      <w:r>
        <w:t xml:space="preserve">When the comparison is restricted to object types present in both phases, the overlap remains (15.4 vs 15), so limestone blocs, tubes and figurines do not create the effect.</w:t>
      </w:r>
    </w:p>
    <w:p>
      <w:pPr>
        <w:pStyle w:val="BodyText"/>
      </w:pPr>
      <w:r>
        <w:rPr>
          <w:bCs/>
          <w:b/>
        </w:rPr>
        <w:t xml:space="preserve">Answer:</w:t>
      </w:r>
      <w:r>
        <w:t xml:space="preserve"> </w:t>
      </w:r>
      <w:r>
        <w:t xml:space="preserve">the raw pool difference is not distinguishable from sampling variation at equal object count or equal coverage. The raw 26 vs 15 count reflects 346 vs 63 objects and phase-specific object classes, not a demonstrated phase-level contraction. The diversity-pool paragraphs in the Discussion and Conclusion that call this the most robust finding should be rewritten to the not distinguishable from form and the sample-difference caveat stated.</w:t>
      </w:r>
    </w:p>
    <w:bookmarkEnd w:id="280"/>
    <w:bookmarkEnd w:id="281"/>
    <w:bookmarkStart w:id="282" w:name="sec-s9-6"/>
    <w:p>
      <w:pPr>
        <w:pStyle w:val="Heading2"/>
      </w:pPr>
      <w:r>
        <w:t xml:space="preserve">S9.6 Synthesis and limitation</w:t>
      </w:r>
    </w:p>
    <w:p>
      <w:pPr>
        <w:pStyle w:val="FirstParagraph"/>
      </w:pPr>
      <w:r>
        <w:t xml:space="preserve">The four object-level analyses converge on a single conclusion. (1) Under object-downsampling, only the best-sampled sites retain their R/B assignment; small-object sites flip group at rates indistinguishable from chance, and network modularity collapses (S9.2). (2) Coverage-based rarefaction shows the broad/restricted contrast persists among the sites assessable at equal coverage, but the majority of the smallest sites never reach a comparable coverage, so the method cannot vindicate them (S9.3). (3) The offset model’s null group effect was a property of fixing the richness-effort exponent at 1; with the exponent estimated, the group contrast persists, so the gap is not distinguishable from a genuine group difference at saturating effort (S9.4). (4) At equal effort with</w:t>
      </w:r>
      <w:r>
        <w:t xml:space="preserve"> </w:t>
      </w:r>
      <w:r>
        <w:rPr>
          <w:rStyle w:val="VerbatimChar"/>
        </w:rPr>
        <w:t xml:space="preserve">iNEXT</w:t>
      </w:r>
      <w:r>
        <w:t xml:space="preserve">, the Aur-P1 vs Aur-P2 sign-type pool difference lies inside sampling variation, even when restricted to shared object types (S9.5). (5) Under fixed margins the Jaccard group separation is not distinguished from richness structure alone (Aur-P1 exceeds object-sampling expectation; Aur-P2 does not), while Simpson turnover dissimilarity shows no group separation in either phase (S9.7). Together these show that the restricted/broad division is</w:t>
      </w:r>
      <w:r>
        <w:t xml:space="preserve"> </w:t>
      </w:r>
      <w:r>
        <w:rPr>
          <w:bCs/>
          <w:b/>
        </w:rPr>
        <w:t xml:space="preserve">not fully independent of sampling intensity</w:t>
      </w:r>
      <w:r>
        <w:t xml:space="preserve">: it is recovered robustly for large assemblages, but for the numerous small assemblages it is partly an artefact of how many objects were recovered, and the raw 26 vs 15 pool contraction does not survive equal-effort standardisation.</w:t>
      </w:r>
    </w:p>
    <w:bookmarkEnd w:id="282"/>
    <w:bookmarkStart w:id="286" w:name="sec-s9-7"/>
    <w:p>
      <w:pPr>
        <w:pStyle w:val="Heading2"/>
      </w:pPr>
      <w:r>
        <w:t xml:space="preserve">S9.7 Simpson-dissimilarity group test and richness-preserving nulls</w:t>
      </w:r>
    </w:p>
    <w:bookmarkStart w:id="284" w:name="rationale-15"/>
    <w:p>
      <w:pPr>
        <w:pStyle w:val="Heading3"/>
      </w:pPr>
      <w:r>
        <w:t xml:space="preserve">Rationale</w:t>
      </w:r>
    </w:p>
    <w:p>
      <w:pPr>
        <w:pStyle w:val="FirstParagraph"/>
      </w:pPr>
      <w:r>
        <w:t xml:space="preserve">Jaccard dissimilarity confounds turnover with nestedness: a poor assemblage nested inside a rich one scores as dissimilar by construction, so a PerMANOVA of rich versus poor sites on Jaccard distances partly tests richness itself. Simpson turnover dissimilarity,</w:t>
      </w:r>
      <w:r>
        <w:t xml:space="preserve"> </w:t>
      </w:r>
      <m:oMath>
        <m:sSub>
          <m:e>
            <m:r>
              <m:t>β</m:t>
            </m:r>
          </m:e>
          <m:sub>
            <m:r>
              <m:t>s</m:t>
            </m:r>
            <m:r>
              <m:t>i</m:t>
            </m:r>
            <m:r>
              <m:t>m</m:t>
            </m:r>
          </m:sub>
        </m:sSub>
        <m:r>
          <m:rPr>
            <m:sty m:val="p"/>
          </m:rPr>
          <m:t>=</m:t>
        </m:r>
        <m:r>
          <m:rPr>
            <m:sty m:val="p"/>
          </m:rPr>
          <m:t>min</m:t>
        </m:r>
        <m:d>
          <m:dPr>
            <m:begChr m:val="("/>
            <m:endChr m:val=")"/>
            <m:sepChr m:val=""/>
            <m:grow/>
          </m:dPr>
          <m:e>
            <m:r>
              <m:t>b</m:t>
            </m:r>
            <m:r>
              <m:rPr>
                <m:sty m:val="p"/>
              </m:rPr>
              <m:t>,</m:t>
            </m:r>
            <m:r>
              <m:t>c</m:t>
            </m:r>
          </m:e>
        </m:d>
        <m:r>
          <m:rPr>
            <m:sty m:val="p"/>
          </m:rPr>
          <m:t>/</m:t>
        </m:r>
        <m:d>
          <m:dPr>
            <m:begChr m:val="("/>
            <m:endChr m:val=")"/>
            <m:sepChr m:val=""/>
            <m:grow/>
          </m:dPr>
          <m:e>
            <m:r>
              <m:t>a</m:t>
            </m:r>
            <m:r>
              <m:rPr>
                <m:sty m:val="p"/>
              </m:rPr>
              <m:t>+</m:t>
            </m:r>
            <m:r>
              <m:rPr>
                <m:sty m:val="p"/>
              </m:rPr>
              <m:t>min</m:t>
            </m:r>
            <m:d>
              <m:dPr>
                <m:begChr m:val="("/>
                <m:endChr m:val=")"/>
                <m:sepChr m:val=""/>
                <m:grow/>
              </m:dPr>
              <m:e>
                <m:r>
                  <m:t>b</m:t>
                </m:r>
                <m:r>
                  <m:rPr>
                    <m:sty m:val="p"/>
                  </m:rPr>
                  <m:t>,</m:t>
                </m:r>
                <m:r>
                  <m:t>c</m:t>
                </m:r>
              </m:e>
            </m:d>
          </m:e>
        </m:d>
      </m:oMath>
      <w:r>
        <w:t xml:space="preserve">, keeps only the turnover component — nested pairs score 0 — and therefore tests whether the groups differ in</w:t>
      </w:r>
      <w:r>
        <w:t xml:space="preserve"> </w:t>
      </w:r>
      <w:r>
        <w:rPr>
          <w:iCs/>
          <w:i/>
        </w:rPr>
        <w:t xml:space="preserve">composition</w:t>
      </w:r>
      <w:r>
        <w:t xml:space="preserve"> </w:t>
      </w:r>
      <w:r>
        <w:t xml:space="preserve">rather than in</w:t>
      </w:r>
      <w:r>
        <w:t xml:space="preserve"> </w:t>
      </w:r>
      <w:r>
        <w:rPr>
          <w:iCs/>
          <w:i/>
        </w:rPr>
        <w:t xml:space="preserve">size</w:t>
      </w:r>
      <w:r>
        <w:t xml:space="preserve">. We report the manual-group PerMANOVA on both distances, and we place the observed Jaccard R², Simpson R², and Louvain-to-manual ARI on richness-preserving null distributions: a fixed-fixed Curveball null (preserves site richness and sign-type frequencies) and an object-count null (each site redrawn with its observed object count from the phase pool). R² values use the same Gower algebra as</w:t>
      </w:r>
      <w:r>
        <w:t xml:space="preserve"> </w:t>
      </w:r>
      <w:r>
        <w:rPr>
          <w:rStyle w:val="VerbatimChar"/>
        </w:rPr>
        <w:t xml:space="preserve">adonis2(sqrt.dist = TRUE)</w:t>
      </w:r>
      <w:r>
        <w:t xml:space="preserve">.</w:t>
      </w:r>
    </w:p>
    <w:p>
      <w:pPr>
        <w:pStyle w:val="BodyText"/>
      </w:pPr>
      <w:r>
        <w:rPr>
          <w:bCs/>
          <w:b/>
        </w:rPr>
        <w:t xml:space="preserve">Question this analysis answers:</w:t>
      </w:r>
      <w:r>
        <w:t xml:space="preserve"> </w:t>
      </w:r>
      <w:r>
        <w:t xml:space="preserve">is the restricted/broad pattern stronger than richness structure alone, and does any group separation survive once the nestedness component is removed?</w:t>
      </w:r>
    </w:p>
    <w:tbl>
      <w:tblPr>
        <w:tblStyle w:val="Table"/>
        <w:tblW w:type="pct" w:w="5000"/>
        <w:tblLook w:firstRow="0" w:lastRow="0" w:firstColumn="0" w:lastColumn="0" w:noHBand="0" w:noVBand="0" w:val="0000"/>
        <w:jc w:val="start"/>
        <w:tblLayout w:type="fixed"/>
      </w:tblPr>
      <w:tblGrid>
        <w:gridCol w:w="7920"/>
      </w:tblGrid>
      <w:tr>
        <w:tc>
          <w:tcPr/>
          <w:bookmarkStart w:id="283" w:name="tbl-s9-simpson-null"/>
          <w:tbl>
            <w:tblPr>
              <w:tblStyle w:val="Table"/>
              <w:tblW w:type="pct" w:w="5000"/>
              <w:tblLook w:firstRow="1" w:lastRow="0" w:firstColumn="0" w:lastColumn="0" w:noHBand="0" w:noVBand="0" w:val="0020"/>
              <w:jc w:val="start"/>
              <w:tblLayout w:type="fixed"/>
            </w:tblPr>
            <w:tblGrid>
              <w:gridCol w:w="630"/>
              <w:gridCol w:w="1170"/>
              <w:gridCol w:w="630"/>
              <w:gridCol w:w="810"/>
              <w:gridCol w:w="630"/>
              <w:gridCol w:w="810"/>
              <w:gridCol w:w="360"/>
              <w:gridCol w:w="540"/>
              <w:gridCol w:w="1170"/>
              <w:gridCol w:w="1170"/>
            </w:tblGrid>
            <w:tr>
              <w:trPr>
                <w:tblHeader w:val="true"/>
              </w:trPr>
              <w:tc>
                <w:tcPr/>
                <w:p>
                  <w:pPr>
                    <w:pStyle w:val="Compact"/>
                    <w:jc w:val="left"/>
                    <w:jc w:val="center"/>
                  </w:pPr>
                  <w:r>
                    <w:t xml:space="preserve">Phase</w:t>
                  </w:r>
                </w:p>
              </w:tc>
              <w:tc>
                <w:tcPr/>
                <w:p>
                  <w:pPr>
                    <w:pStyle w:val="Compact"/>
                    <w:jc w:val="left"/>
                    <w:jc w:val="center"/>
                  </w:pPr>
                  <w:r>
                    <w:t xml:space="preserve">Null</w:t>
                  </w:r>
                </w:p>
              </w:tc>
              <w:tc>
                <w:tcPr/>
                <w:p>
                  <w:pPr>
                    <w:pStyle w:val="Compact"/>
                    <w:jc w:val="right"/>
                    <w:jc w:val="center"/>
                  </w:pPr>
                  <w:r>
                    <w:t xml:space="preserve">R2_jac</w:t>
                  </w:r>
                </w:p>
              </w:tc>
              <w:tc>
                <w:tcPr/>
                <w:p>
                  <w:pPr>
                    <w:pStyle w:val="Compact"/>
                    <w:jc w:val="right"/>
                    <w:jc w:val="center"/>
                  </w:pPr>
                  <w:r>
                    <w:t xml:space="preserve">R2_jac_p</w:t>
                  </w:r>
                </w:p>
              </w:tc>
              <w:tc>
                <w:tcPr/>
                <w:p>
                  <w:pPr>
                    <w:pStyle w:val="Compact"/>
                    <w:jc w:val="right"/>
                    <w:jc w:val="center"/>
                  </w:pPr>
                  <w:r>
                    <w:t xml:space="preserve">R2_sim</w:t>
                  </w:r>
                </w:p>
              </w:tc>
              <w:tc>
                <w:tcPr/>
                <w:p>
                  <w:pPr>
                    <w:pStyle w:val="Compact"/>
                    <w:jc w:val="right"/>
                    <w:jc w:val="center"/>
                  </w:pPr>
                  <w:r>
                    <w:t xml:space="preserve">R2_sim_p</w:t>
                  </w:r>
                </w:p>
              </w:tc>
              <w:tc>
                <w:tcPr/>
                <w:p>
                  <w:pPr>
                    <w:pStyle w:val="Compact"/>
                    <w:jc w:val="right"/>
                    <w:jc w:val="center"/>
                  </w:pPr>
                  <w:r>
                    <w:t xml:space="preserve">ARI</w:t>
                  </w:r>
                </w:p>
              </w:tc>
              <w:tc>
                <w:tcPr/>
                <w:p>
                  <w:pPr>
                    <w:pStyle w:val="Compact"/>
                    <w:jc w:val="right"/>
                    <w:jc w:val="center"/>
                  </w:pPr>
                  <w:r>
                    <w:t xml:space="preserve">ARI_p</w:t>
                  </w:r>
                </w:p>
              </w:tc>
              <w:tc>
                <w:tcPr/>
                <w:p>
                  <w:pPr>
                    <w:pStyle w:val="Compact"/>
                    <w:jc w:val="right"/>
                    <w:jc w:val="center"/>
                  </w:pPr>
                  <w:r>
                    <w:t xml:space="preserve">adonis_jac_p</w:t>
                  </w:r>
                </w:p>
              </w:tc>
              <w:tc>
                <w:tcPr/>
                <w:p>
                  <w:pPr>
                    <w:pStyle w:val="Compact"/>
                    <w:jc w:val="right"/>
                    <w:jc w:val="center"/>
                  </w:pPr>
                  <w:r>
                    <w:t xml:space="preserve">adonis_sim_p</w:t>
                  </w:r>
                </w:p>
              </w:tc>
            </w:tr>
            <w:tr>
              <w:tc>
                <w:tcPr/>
                <w:p>
                  <w:pPr>
                    <w:pStyle w:val="Compact"/>
                    <w:jc w:val="left"/>
                    <w:jc w:val="center"/>
                  </w:pPr>
                  <w:r>
                    <w:t xml:space="preserve">Aur-P1</w:t>
                  </w:r>
                </w:p>
              </w:tc>
              <w:tc>
                <w:tcPr/>
                <w:p>
                  <w:pPr>
                    <w:pStyle w:val="Compact"/>
                    <w:jc w:val="left"/>
                    <w:jc w:val="center"/>
                  </w:pPr>
                  <w:r>
                    <w:t xml:space="preserve">Curveball</w:t>
                  </w:r>
                </w:p>
              </w:tc>
              <w:tc>
                <w:tcPr/>
                <w:p>
                  <w:pPr>
                    <w:pStyle w:val="Compact"/>
                    <w:jc w:val="right"/>
                    <w:jc w:val="center"/>
                  </w:pPr>
                  <w:r>
                    <w:t xml:space="preserve">0.196</w:t>
                  </w:r>
                </w:p>
              </w:tc>
              <w:tc>
                <w:tcPr/>
                <w:p>
                  <w:pPr>
                    <w:pStyle w:val="Compact"/>
                    <w:jc w:val="right"/>
                    <w:jc w:val="center"/>
                  </w:pPr>
                  <w:r>
                    <w:t xml:space="preserve">1.000</w:t>
                  </w:r>
                </w:p>
              </w:tc>
              <w:tc>
                <w:tcPr/>
                <w:p>
                  <w:pPr>
                    <w:pStyle w:val="Compact"/>
                    <w:jc w:val="right"/>
                    <w:jc w:val="center"/>
                  </w:pPr>
                  <w:r>
                    <w:t xml:space="preserve">-0.027</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1.000</w:t>
                  </w:r>
                </w:p>
              </w:tc>
              <w:tc>
                <w:tcPr/>
                <w:p>
                  <w:pPr>
                    <w:pStyle w:val="Compact"/>
                    <w:jc w:val="right"/>
                    <w:jc w:val="center"/>
                  </w:pPr>
                  <w:r>
                    <w:t xml:space="preserve">0.001</w:t>
                  </w:r>
                </w:p>
              </w:tc>
              <w:tc>
                <w:tcPr/>
                <w:p>
                  <w:pPr>
                    <w:pStyle w:val="Compact"/>
                    <w:jc w:val="right"/>
                    <w:jc w:val="center"/>
                  </w:pPr>
                  <w:r>
                    <w:t xml:space="preserve">0.958</w:t>
                  </w:r>
                </w:p>
              </w:tc>
            </w:tr>
            <w:tr>
              <w:tc>
                <w:tcPr/>
                <w:p>
                  <w:pPr>
                    <w:pStyle w:val="Compact"/>
                    <w:jc w:val="left"/>
                    <w:jc w:val="center"/>
                  </w:pPr>
                  <w:r>
                    <w:t xml:space="preserve">Aur-P1</w:t>
                  </w:r>
                </w:p>
              </w:tc>
              <w:tc>
                <w:tcPr/>
                <w:p>
                  <w:pPr>
                    <w:pStyle w:val="Compact"/>
                    <w:jc w:val="left"/>
                    <w:jc w:val="center"/>
                  </w:pPr>
                  <w:r>
                    <w:t xml:space="preserve">Object-count</w:t>
                  </w:r>
                </w:p>
              </w:tc>
              <w:tc>
                <w:tcPr/>
                <w:p>
                  <w:pPr>
                    <w:pStyle w:val="Compact"/>
                    <w:jc w:val="right"/>
                    <w:jc w:val="center"/>
                  </w:pPr>
                  <w:r>
                    <w:t xml:space="preserve">0.196</w:t>
                  </w:r>
                </w:p>
              </w:tc>
              <w:tc>
                <w:tcPr/>
                <w:p>
                  <w:pPr>
                    <w:pStyle w:val="Compact"/>
                    <w:jc w:val="right"/>
                    <w:jc w:val="center"/>
                  </w:pPr>
                  <w:r>
                    <w:t xml:space="preserve">0.001</w:t>
                  </w:r>
                </w:p>
              </w:tc>
              <w:tc>
                <w:tcPr/>
                <w:p>
                  <w:pPr>
                    <w:pStyle w:val="Compact"/>
                    <w:jc w:val="right"/>
                    <w:jc w:val="center"/>
                  </w:pPr>
                  <w:r>
                    <w:t xml:space="preserve">-0.027</w:t>
                  </w:r>
                </w:p>
              </w:tc>
              <w:tc>
                <w:tcPr/>
                <w:p>
                  <w:pPr>
                    <w:pStyle w:val="Compact"/>
                    <w:jc w:val="right"/>
                    <w:jc w:val="center"/>
                  </w:pPr>
                  <w:r>
                    <w:t xml:space="preserve">0.003</w:t>
                  </w:r>
                </w:p>
              </w:tc>
              <w:tc>
                <w:tcPr/>
                <w:p>
                  <w:pPr>
                    <w:pStyle w:val="Compact"/>
                    <w:jc w:val="right"/>
                    <w:jc w:val="center"/>
                  </w:pPr>
                  <w:r>
                    <w:t xml:space="preserve">1</w:t>
                  </w:r>
                </w:p>
              </w:tc>
              <w:tc>
                <w:tcPr/>
                <w:p>
                  <w:pPr>
                    <w:pStyle w:val="Compact"/>
                    <w:jc w:val="right"/>
                    <w:jc w:val="center"/>
                  </w:pPr>
                  <w:r>
                    <w:t xml:space="preserve">0.001</w:t>
                  </w:r>
                </w:p>
              </w:tc>
              <w:tc>
                <w:tcPr/>
                <w:p>
                  <w:pPr>
                    <w:pStyle w:val="Compact"/>
                    <w:jc w:val="right"/>
                    <w:jc w:val="center"/>
                  </w:pPr>
                  <w:r>
                    <w:t xml:space="preserve">0.001</w:t>
                  </w:r>
                </w:p>
              </w:tc>
              <w:tc>
                <w:tcPr/>
                <w:p>
                  <w:pPr>
                    <w:pStyle w:val="Compact"/>
                    <w:jc w:val="right"/>
                    <w:jc w:val="center"/>
                  </w:pPr>
                  <w:r>
                    <w:t xml:space="preserve">0.958</w:t>
                  </w:r>
                </w:p>
              </w:tc>
            </w:tr>
            <w:tr>
              <w:tc>
                <w:tcPr/>
                <w:p>
                  <w:pPr>
                    <w:pStyle w:val="Compact"/>
                    <w:jc w:val="left"/>
                    <w:jc w:val="center"/>
                  </w:pPr>
                  <w:r>
                    <w:t xml:space="preserve">Aur-P2</w:t>
                  </w:r>
                </w:p>
              </w:tc>
              <w:tc>
                <w:tcPr/>
                <w:p>
                  <w:pPr>
                    <w:pStyle w:val="Compact"/>
                    <w:jc w:val="left"/>
                    <w:jc w:val="center"/>
                  </w:pPr>
                  <w:r>
                    <w:t xml:space="preserve">Curveball</w:t>
                  </w:r>
                </w:p>
              </w:tc>
              <w:tc>
                <w:tcPr/>
                <w:p>
                  <w:pPr>
                    <w:pStyle w:val="Compact"/>
                    <w:jc w:val="right"/>
                    <w:jc w:val="center"/>
                  </w:pPr>
                  <w:r>
                    <w:t xml:space="preserve">0.223</w:t>
                  </w:r>
                </w:p>
              </w:tc>
              <w:tc>
                <w:tcPr/>
                <w:p>
                  <w:pPr>
                    <w:pStyle w:val="Compact"/>
                    <w:jc w:val="right"/>
                    <w:jc w:val="center"/>
                  </w:pPr>
                  <w:r>
                    <w:t xml:space="preserve">1.000</w:t>
                  </w:r>
                </w:p>
              </w:tc>
              <w:tc>
                <w:tcPr/>
                <w:p>
                  <w:pPr>
                    <w:pStyle w:val="Compact"/>
                    <w:jc w:val="right"/>
                    <w:jc w:val="center"/>
                  </w:pPr>
                  <w:r>
                    <w:t xml:space="preserve">-0.676</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1.000</w:t>
                  </w:r>
                </w:p>
              </w:tc>
              <w:tc>
                <w:tcPr/>
                <w:p>
                  <w:pPr>
                    <w:pStyle w:val="Compact"/>
                    <w:jc w:val="right"/>
                    <w:jc w:val="center"/>
                  </w:pPr>
                  <w:r>
                    <w:t xml:space="preserve">0.077</w:t>
                  </w:r>
                </w:p>
              </w:tc>
              <w:tc>
                <w:tcPr/>
                <w:p>
                  <w:pPr>
                    <w:pStyle w:val="Compact"/>
                    <w:jc w:val="right"/>
                    <w:jc w:val="center"/>
                  </w:pPr>
                  <w:r>
                    <w:t xml:space="preserve">1.000</w:t>
                  </w:r>
                </w:p>
              </w:tc>
            </w:tr>
            <w:tr>
              <w:tc>
                <w:tcPr/>
                <w:p>
                  <w:pPr>
                    <w:pStyle w:val="Compact"/>
                    <w:jc w:val="left"/>
                    <w:jc w:val="center"/>
                  </w:pPr>
                  <w:r>
                    <w:t xml:space="preserve">Aur-P2</w:t>
                  </w:r>
                </w:p>
              </w:tc>
              <w:tc>
                <w:tcPr/>
                <w:p>
                  <w:pPr>
                    <w:pStyle w:val="Compact"/>
                    <w:jc w:val="left"/>
                    <w:jc w:val="center"/>
                  </w:pPr>
                  <w:r>
                    <w:t xml:space="preserve">Object-count</w:t>
                  </w:r>
                </w:p>
              </w:tc>
              <w:tc>
                <w:tcPr/>
                <w:p>
                  <w:pPr>
                    <w:pStyle w:val="Compact"/>
                    <w:jc w:val="right"/>
                    <w:jc w:val="center"/>
                  </w:pPr>
                  <w:r>
                    <w:t xml:space="preserve">0.223</w:t>
                  </w:r>
                </w:p>
              </w:tc>
              <w:tc>
                <w:tcPr/>
                <w:p>
                  <w:pPr>
                    <w:pStyle w:val="Compact"/>
                    <w:jc w:val="right"/>
                    <w:jc w:val="center"/>
                  </w:pPr>
                  <w:r>
                    <w:t xml:space="preserve">0.334</w:t>
                  </w:r>
                </w:p>
              </w:tc>
              <w:tc>
                <w:tcPr/>
                <w:p>
                  <w:pPr>
                    <w:pStyle w:val="Compact"/>
                    <w:jc w:val="right"/>
                    <w:jc w:val="center"/>
                  </w:pPr>
                  <w:r>
                    <w:t xml:space="preserve">-0.676</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0.001</w:t>
                  </w:r>
                </w:p>
              </w:tc>
              <w:tc>
                <w:tcPr/>
                <w:p>
                  <w:pPr>
                    <w:pStyle w:val="Compact"/>
                    <w:jc w:val="right"/>
                    <w:jc w:val="center"/>
                  </w:pPr>
                  <w:r>
                    <w:t xml:space="preserve">0.077</w:t>
                  </w:r>
                </w:p>
              </w:tc>
              <w:tc>
                <w:tcPr/>
                <w:p>
                  <w:pPr>
                    <w:pStyle w:val="Compact"/>
                    <w:jc w:val="right"/>
                    <w:jc w:val="center"/>
                  </w:pPr>
                  <w:r>
                    <w:t xml:space="preserve">1.000</w:t>
                  </w:r>
                </w:p>
              </w:tc>
            </w:tr>
          </w:tbl>
          <w:p>
            <w:pPr>
              <w:jc w:val="center"/>
            </w:pPr>
            <w:pPr>
              <w:jc w:val="start"/>
              <w:spacing w:before="200"/>
              <w:pStyle w:val="ImageCaption"/>
            </w:pPr>
            <w:r>
              <w:t xml:space="preserve">Table 41: Manual-group separation under richness-preserving nulls. R2_jac and R2_sim are the observed PerMANOVA R-squared of the manual groups on Jaccard and Simpson turnover dissimilarities; ARI is the Adjusted Rand Index between the Louvain partition (realigned to manual labels) and the manual groups. Each is compared to fixed-fixed Curveball and object-count null distributions (999 replicates); p is the quantile of the observed value in its null (upper-tail). Negative R2_sim values indicate zero separation, with within-group variation exceeding between-group variation.</w:t>
            </w:r>
          </w:p>
          <w:bookmarkEnd w:id="283"/>
        </w:tc>
      </w:tr>
    </w:tbl>
    <w:bookmarkEnd w:id="284"/>
    <w:bookmarkStart w:id="285" w:name="interpretation-13"/>
    <w:p>
      <w:pPr>
        <w:pStyle w:val="Heading3"/>
      </w:pPr>
      <w:r>
        <w:t xml:space="preserve">Interpretation</w:t>
      </w:r>
    </w:p>
    <w:p>
      <w:pPr>
        <w:pStyle w:val="FirstParagraph"/>
      </w:pPr>
      <w:r>
        <w:rPr>
          <w:bCs/>
          <w:b/>
        </w:rPr>
        <w:t xml:space="preserve">Question: is the pattern stronger than richness structure alone, and does any separation survive on turnover alone?</w:t>
      </w:r>
      <w:r>
        <w:t xml:space="preserve"> </w:t>
      </w:r>
      <w:r>
        <w:t xml:space="preserve">On Jaccard distances the manual groups separate (Aur-P1 R² = 0.196, Aur-P2 R² = 0.223). Under the fixed-fixed Curveball null this separation is not distinguished from richness structure alone (quantile p = 1 and 1): randomised matrices with identical site richness and sign-type frequencies separate at least as well. Under the object-count null the Aur-P1 separation exceeds sampling expectation (p = 0.001) while Aur-P2 does not (p = 0.334). Louvain-to-manual agreement is perfect in the observed data (ARI = 1 both phases) but is likewise reproduced by the fixed-fixed null (p = 1 and 1), exceeding only the object-count null. On Simpson turnover dissimilarity there is no separation to explain (Aur-P1 R² = -0.027, Aur-P2 R² = -0.676; adonis p = 0.958 and 1). The small quantile p for Aur-P1 Simpson under the object-count null is a low-tail extreme — the observed R² lies below, not above, its null — meaning even less turnover separation than random object draws produce, not evidence for group structure.</w:t>
      </w:r>
    </w:p>
    <w:p>
      <w:pPr>
        <w:pStyle w:val="BodyText"/>
      </w:pPr>
      <w:r>
        <w:rPr>
          <w:bCs/>
          <w:b/>
        </w:rPr>
        <w:t xml:space="preserve">Answer:</w:t>
      </w:r>
      <w:r>
        <w:t xml:space="preserve"> </w:t>
      </w:r>
      <w:r>
        <w:t xml:space="preserve">the restricted/broad pattern is carried by the nestedness component — rich versus poor repertoires — rather than by compositional turnover between the groups. This is consistent with S9.3 and the free-slope S9.4: the groups differ in how much they contain at comparable effort, not in turnover-independent composition. The division should accordingly be read as a richness axis whose separation from sampling effort is not demonstrated for small-object sites.</w:t>
      </w:r>
    </w:p>
    <w:bookmarkEnd w:id="285"/>
    <w:bookmarkEnd w:id="286"/>
    <w:bookmarkStart w:id="341" w:name="references-cited"/>
    <w:p>
      <w:pPr>
        <w:pStyle w:val="Heading2"/>
      </w:pPr>
      <w:r>
        <w:t xml:space="preserve">References cited</w:t>
      </w:r>
    </w:p>
    <w:bookmarkStart w:id="340" w:name="refs"/>
    <w:bookmarkStart w:id="288" w:name="X68cdd7ba62fc5dd3e1e9b497937717305f7b9a0"/>
    <w:p>
      <w:pPr>
        <w:pStyle w:val="Bibliography"/>
      </w:pPr>
      <w:r>
        <w:t xml:space="preserve">[1]</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w:t>
      </w:r>
      <w:r>
        <w:t xml:space="preserve"> </w:t>
      </w:r>
      <w:hyperlink r:id="rId287">
        <w:r>
          <w:rPr>
            <w:rStyle w:val="Hyperlink"/>
          </w:rPr>
          <w:t xml:space="preserve">https://doi.org/10.1016/j.quascirev.2021.106995</w:t>
        </w:r>
      </w:hyperlink>
      <w:r>
        <w:t xml:space="preserve">.</w:t>
      </w:r>
    </w:p>
    <w:bookmarkEnd w:id="288"/>
    <w:bookmarkStart w:id="290" w:name="ref-teyssandier2018entity"/>
    <w:p>
      <w:pPr>
        <w:pStyle w:val="Bibliography"/>
      </w:pPr>
      <w:r>
        <w:t xml:space="preserve">[2]</w:t>
      </w:r>
      <w:r>
        <w:t xml:space="preserve"> </w:t>
      </w:r>
      <w:r>
        <w:t xml:space="preserve">	</w:t>
      </w:r>
      <w:r>
        <w:t xml:space="preserve">Teyssandier N, Zilhão J. On the entity and antiquity of the</w:t>
      </w:r>
      <w:r>
        <w:t xml:space="preserve"> </w:t>
      </w:r>
      <w:r>
        <w:t xml:space="preserve">Aurignacian</w:t>
      </w:r>
      <w:r>
        <w:t xml:space="preserve"> </w:t>
      </w:r>
      <w:r>
        <w:t xml:space="preserve">at</w:t>
      </w:r>
      <w:r>
        <w:t xml:space="preserve"> </w:t>
      </w:r>
      <w:r>
        <w:t xml:space="preserve">Willendorf</w:t>
      </w:r>
      <w:r>
        <w:t xml:space="preserve"> </w:t>
      </w:r>
      <w:r>
        <w:t xml:space="preserve">(</w:t>
      </w:r>
      <w:r>
        <w:t xml:space="preserve">Austria</w:t>
      </w:r>
      <w:r>
        <w:t xml:space="preserve">): Implications for modern human emergence in</w:t>
      </w:r>
      <w:r>
        <w:t xml:space="preserve"> </w:t>
      </w:r>
      <w:r>
        <w:t xml:space="preserve">Europe</w:t>
      </w:r>
      <w:r>
        <w:t xml:space="preserve">. Journal of Paleolithic Archaeology 2018;1:107–38.</w:t>
      </w:r>
      <w:r>
        <w:t xml:space="preserve"> </w:t>
      </w:r>
      <w:hyperlink r:id="rId289">
        <w:r>
          <w:rPr>
            <w:rStyle w:val="Hyperlink"/>
          </w:rPr>
          <w:t xml:space="preserve">https://doi.org/10.1007/s41982-017-0004-4</w:t>
        </w:r>
      </w:hyperlink>
      <w:r>
        <w:t xml:space="preserve">.</w:t>
      </w:r>
    </w:p>
    <w:bookmarkEnd w:id="290"/>
    <w:bookmarkStart w:id="292" w:name="ref-Blondel_2008"/>
    <w:p>
      <w:pPr>
        <w:pStyle w:val="Bibliography"/>
      </w:pPr>
      <w:r>
        <w:t xml:space="preserve">[3]</w:t>
      </w:r>
      <w:r>
        <w:t xml:space="preserve"> </w:t>
      </w:r>
      <w:r>
        <w:t xml:space="preserve">	</w:t>
      </w:r>
      <w:r>
        <w:t xml:space="preserve">Blondel VD, Guillaume J-L, Lambiotte R, Lefebvre E. Fast unfolding of communities in large networks. Journal of Statistical Mechanics: Theory and Experiment 2008;2008:P10008.</w:t>
      </w:r>
      <w:r>
        <w:t xml:space="preserve"> </w:t>
      </w:r>
      <w:hyperlink r:id="rId291">
        <w:r>
          <w:rPr>
            <w:rStyle w:val="Hyperlink"/>
          </w:rPr>
          <w:t xml:space="preserve">https://doi.org/10.1088/1742-5468/2008/10/P10008</w:t>
        </w:r>
      </w:hyperlink>
      <w:r>
        <w:t xml:space="preserve">.</w:t>
      </w:r>
    </w:p>
    <w:bookmarkEnd w:id="292"/>
    <w:bookmarkStart w:id="294" w:name="ref-newman2004finding"/>
    <w:p>
      <w:pPr>
        <w:pStyle w:val="Bibliography"/>
      </w:pPr>
      <w:r>
        <w:t xml:space="preserve">[4]</w:t>
      </w:r>
      <w:r>
        <w:t xml:space="preserve"> </w:t>
      </w:r>
      <w:r>
        <w:t xml:space="preserve">	</w:t>
      </w:r>
      <w:r>
        <w:t xml:space="preserve">Newman ME, Girvan M. Finding and evaluating community structure in networks. Physical Review E 2004;69:026113.</w:t>
      </w:r>
      <w:r>
        <w:t xml:space="preserve"> </w:t>
      </w:r>
      <w:hyperlink r:id="rId293">
        <w:r>
          <w:rPr>
            <w:rStyle w:val="Hyperlink"/>
          </w:rPr>
          <w:t xml:space="preserve">https://doi.org/10.1103/PhysRevE.69.026113</w:t>
        </w:r>
      </w:hyperlink>
      <w:r>
        <w:t xml:space="preserve">.</w:t>
      </w:r>
    </w:p>
    <w:bookmarkEnd w:id="294"/>
    <w:bookmarkStart w:id="296" w:name="ref-Roberts_2021"/>
    <w:p>
      <w:pPr>
        <w:pStyle w:val="Bibliography"/>
      </w:pPr>
      <w:r>
        <w:t xml:space="preserve">[5]</w:t>
      </w:r>
      <w:r>
        <w:t xml:space="preserve"> </w:t>
      </w:r>
      <w:r>
        <w:t xml:space="preserve">	</w:t>
      </w:r>
      <w:r>
        <w:t xml:space="preserve">Roberts JM, Yin Y, Dorshorst E, Peeples MA, Mills BJ. Assessing the performance of the bootstrap in simulated assemblage networks. Social Networks 2021;65:98–109.</w:t>
      </w:r>
      <w:r>
        <w:t xml:space="preserve"> </w:t>
      </w:r>
      <w:hyperlink r:id="rId295">
        <w:r>
          <w:rPr>
            <w:rStyle w:val="Hyperlink"/>
          </w:rPr>
          <w:t xml:space="preserve">https://doi.org/10.1016/j.socnet.2020.11.005</w:t>
        </w:r>
      </w:hyperlink>
      <w:r>
        <w:t xml:space="preserve">.</w:t>
      </w:r>
    </w:p>
    <w:bookmarkEnd w:id="296"/>
    <w:bookmarkStart w:id="298" w:name="ref-Clarke_Rothery_Raybould_2002"/>
    <w:p>
      <w:pPr>
        <w:pStyle w:val="Bibliography"/>
      </w:pPr>
      <w:r>
        <w:t xml:space="preserve">[6]</w:t>
      </w:r>
      <w:r>
        <w:t xml:space="preserve"> </w:t>
      </w:r>
      <w:r>
        <w:t xml:space="preserve">	</w:t>
      </w:r>
      <w:r>
        <w:t xml:space="preserve">Clarke RT, Rothery P, Raybould AF. Confidence limits for regression relationships between distance matrices: Estimating gene flow with distance. Journal of Agricultural, Biological and Environmental Statistics 2002;7:239–56.</w:t>
      </w:r>
      <w:r>
        <w:t xml:space="preserve"> </w:t>
      </w:r>
      <w:hyperlink r:id="rId297">
        <w:r>
          <w:rPr>
            <w:rStyle w:val="Hyperlink"/>
          </w:rPr>
          <w:t xml:space="preserve">https://doi.org/10.1198/108571102320</w:t>
        </w:r>
      </w:hyperlink>
      <w:r>
        <w:t xml:space="preserve">.</w:t>
      </w:r>
    </w:p>
    <w:bookmarkEnd w:id="298"/>
    <w:bookmarkStart w:id="300" w:name="ref-Lichstein_2007"/>
    <w:p>
      <w:pPr>
        <w:pStyle w:val="Bibliography"/>
      </w:pPr>
      <w:r>
        <w:t xml:space="preserve">[7]</w:t>
      </w:r>
      <w:r>
        <w:t xml:space="preserve"> </w:t>
      </w:r>
      <w:r>
        <w:t xml:space="preserve">	</w:t>
      </w:r>
      <w:r>
        <w:t xml:space="preserve">Lichstein JW. Multiple regression on distance matrices: A multivariate spatial analysis tool. Plant Ecology 2007;188:117–31.</w:t>
      </w:r>
      <w:r>
        <w:t xml:space="preserve"> </w:t>
      </w:r>
      <w:hyperlink r:id="rId299">
        <w:r>
          <w:rPr>
            <w:rStyle w:val="Hyperlink"/>
          </w:rPr>
          <w:t xml:space="preserve">https://doi.org/10.1007/s11258-006-9126-3</w:t>
        </w:r>
      </w:hyperlink>
      <w:r>
        <w:t xml:space="preserve">.</w:t>
      </w:r>
    </w:p>
    <w:bookmarkEnd w:id="300"/>
    <w:bookmarkStart w:id="302" w:name="ref-Goslee_Urban_2007"/>
    <w:p>
      <w:pPr>
        <w:pStyle w:val="Bibliography"/>
      </w:pPr>
      <w:r>
        <w:t xml:space="preserve">[8]</w:t>
      </w:r>
      <w:r>
        <w:t xml:space="preserve"> </w:t>
      </w:r>
      <w:r>
        <w:t xml:space="preserve">	</w:t>
      </w:r>
      <w:r>
        <w:t xml:space="preserve">Goslee SC, Urban DL. The</w:t>
      </w:r>
      <w:r>
        <w:t xml:space="preserve"> </w:t>
      </w:r>
      <w:r>
        <w:t xml:space="preserve">ecodist</w:t>
      </w:r>
      <w:r>
        <w:t xml:space="preserve"> </w:t>
      </w:r>
      <w:r>
        <w:t xml:space="preserve">package for dissimilarity-based analysis of ecological data. Journal of Statistical Software 2007;22:1–19.</w:t>
      </w:r>
      <w:r>
        <w:t xml:space="preserve"> </w:t>
      </w:r>
      <w:hyperlink r:id="rId301">
        <w:r>
          <w:rPr>
            <w:rStyle w:val="Hyperlink"/>
          </w:rPr>
          <w:t xml:space="preserve">https://doi.org/10.18637/jss.v022.i07</w:t>
        </w:r>
      </w:hyperlink>
      <w:r>
        <w:t xml:space="preserve">.</w:t>
      </w:r>
    </w:p>
    <w:bookmarkEnd w:id="302"/>
    <w:bookmarkStart w:id="304" w:name="ref-Monti_2003"/>
    <w:p>
      <w:pPr>
        <w:pStyle w:val="Bibliography"/>
      </w:pPr>
      <w:r>
        <w:t xml:space="preserve">[9]</w:t>
      </w:r>
      <w:r>
        <w:t xml:space="preserve"> </w:t>
      </w:r>
      <w:r>
        <w:t xml:space="preserve">	</w:t>
      </w:r>
      <w:r>
        <w:t xml:space="preserve">Monti S, Tamayo P, Mesirov J, Golub T. Consensus clustering: A resampling-based method for class discovery and visualization of gene expression microarray data. Machine Learning 2003;52:91–118.</w:t>
      </w:r>
      <w:r>
        <w:t xml:space="preserve"> </w:t>
      </w:r>
      <w:hyperlink r:id="rId303">
        <w:r>
          <w:rPr>
            <w:rStyle w:val="Hyperlink"/>
          </w:rPr>
          <w:t xml:space="preserve">https://doi.org/10.1023/A:1023949509487</w:t>
        </w:r>
      </w:hyperlink>
      <w:r>
        <w:t xml:space="preserve">.</w:t>
      </w:r>
    </w:p>
    <w:bookmarkEnd w:id="304"/>
    <w:bookmarkStart w:id="306" w:name="ref-Leger_2016"/>
    <w:p>
      <w:pPr>
        <w:pStyle w:val="Bibliography"/>
      </w:pPr>
      <w:r>
        <w:t xml:space="preserve">[10]</w:t>
      </w:r>
      <w:r>
        <w:t xml:space="preserve"> </w:t>
      </w:r>
      <w:r>
        <w:t xml:space="preserve">	</w:t>
      </w:r>
      <w:r>
        <w:t xml:space="preserve">Léger J-B. Blockmodels: A</w:t>
      </w:r>
      <w:r>
        <w:t xml:space="preserve"> </w:t>
      </w:r>
      <w:r>
        <w:t xml:space="preserve">R</w:t>
      </w:r>
      <w:r>
        <w:t xml:space="preserve">-package for estimating in latent block model and stochastic block model, with various probability functions, with or without covariates 2016.</w:t>
      </w:r>
      <w:r>
        <w:t xml:space="preserve"> </w:t>
      </w:r>
      <w:hyperlink r:id="rId305">
        <w:r>
          <w:rPr>
            <w:rStyle w:val="Hyperlink"/>
          </w:rPr>
          <w:t xml:space="preserve">https://doi.org/10.48550/arXiv.1602.07587</w:t>
        </w:r>
      </w:hyperlink>
      <w:r>
        <w:t xml:space="preserve">.</w:t>
      </w:r>
    </w:p>
    <w:bookmarkEnd w:id="306"/>
    <w:bookmarkStart w:id="308" w:name="ref-Hubert_Arabie_1985"/>
    <w:p>
      <w:pPr>
        <w:pStyle w:val="Bibliography"/>
      </w:pPr>
      <w:r>
        <w:t xml:space="preserve">[11]</w:t>
      </w:r>
      <w:r>
        <w:t xml:space="preserve"> </w:t>
      </w:r>
      <w:r>
        <w:t xml:space="preserve">	</w:t>
      </w:r>
      <w:r>
        <w:t xml:space="preserve">Hubert L, Arabie P. Comparing partitions. Journal of Classification 1985;2:193–218.</w:t>
      </w:r>
      <w:r>
        <w:t xml:space="preserve"> </w:t>
      </w:r>
      <w:hyperlink r:id="rId307">
        <w:r>
          <w:rPr>
            <w:rStyle w:val="Hyperlink"/>
          </w:rPr>
          <w:t xml:space="preserve">https://doi.org/10.1007/BF01908075</w:t>
        </w:r>
      </w:hyperlink>
      <w:r>
        <w:t xml:space="preserve">.</w:t>
      </w:r>
    </w:p>
    <w:bookmarkEnd w:id="308"/>
    <w:bookmarkStart w:id="310" w:name="ref-Gao_Bien_Witten_2022"/>
    <w:p>
      <w:pPr>
        <w:pStyle w:val="Bibliography"/>
      </w:pPr>
      <w:r>
        <w:t xml:space="preserve">[12]</w:t>
      </w:r>
      <w:r>
        <w:t xml:space="preserve"> </w:t>
      </w:r>
      <w:r>
        <w:t xml:space="preserve">	</w:t>
      </w:r>
      <w:r>
        <w:t xml:space="preserve">Gao LL, Bien J, Witten D. Selective inference for</w:t>
      </w:r>
      <w:r>
        <w:t xml:space="preserve"> </w:t>
      </w:r>
      <w:r>
        <w:t xml:space="preserve">Hierarchical</w:t>
      </w:r>
      <w:r>
        <w:t xml:space="preserve"> </w:t>
      </w:r>
      <w:r>
        <w:t xml:space="preserve">clustering. Journal of the American Statistical Association 2023;118:2590–603.</w:t>
      </w:r>
      <w:r>
        <w:t xml:space="preserve"> </w:t>
      </w:r>
      <w:hyperlink r:id="rId309">
        <w:r>
          <w:rPr>
            <w:rStyle w:val="Hyperlink"/>
          </w:rPr>
          <w:t xml:space="preserve">https://doi.org/10.1080/01621459.2022.2116331</w:t>
        </w:r>
      </w:hyperlink>
      <w:r>
        <w:t xml:space="preserve">.</w:t>
      </w:r>
    </w:p>
    <w:bookmarkEnd w:id="310"/>
    <w:bookmarkStart w:id="312" w:name="ref-Neufeld_2024"/>
    <w:p>
      <w:pPr>
        <w:pStyle w:val="Bibliography"/>
      </w:pPr>
      <w:r>
        <w:t xml:space="preserve">[13]</w:t>
      </w:r>
      <w:r>
        <w:t xml:space="preserve"> </w:t>
      </w:r>
      <w:r>
        <w:t xml:space="preserve">	</w:t>
      </w:r>
      <w:r>
        <w:t xml:space="preserve">Neufeld A, Gao LL, Popp J, Battle A, Witten D. Inference after latent variable estimation for single-cell</w:t>
      </w:r>
      <w:r>
        <w:t xml:space="preserve"> </w:t>
      </w:r>
      <w:r>
        <w:t xml:space="preserve">RNA</w:t>
      </w:r>
      <w:r>
        <w:t xml:space="preserve"> </w:t>
      </w:r>
      <w:r>
        <w:t xml:space="preserve">sequencing data. Biostatistics 2024;25:270–87.</w:t>
      </w:r>
      <w:r>
        <w:t xml:space="preserve"> </w:t>
      </w:r>
      <w:hyperlink r:id="rId311">
        <w:r>
          <w:rPr>
            <w:rStyle w:val="Hyperlink"/>
          </w:rPr>
          <w:t xml:space="preserve">https://doi.org/10.1093/biostatistics/kxac047</w:t>
        </w:r>
      </w:hyperlink>
      <w:r>
        <w:t xml:space="preserve">.</w:t>
      </w:r>
    </w:p>
    <w:bookmarkEnd w:id="312"/>
    <w:bookmarkStart w:id="314" w:name="ref-Brown_1975"/>
    <w:p>
      <w:pPr>
        <w:pStyle w:val="Bibliography"/>
      </w:pPr>
      <w:r>
        <w:t xml:space="preserve">[14]</w:t>
      </w:r>
      <w:r>
        <w:t xml:space="preserve"> </w:t>
      </w:r>
      <w:r>
        <w:t xml:space="preserve">	</w:t>
      </w:r>
      <w:r>
        <w:t xml:space="preserve">Brown MB. 400:</w:t>
      </w:r>
      <w:r>
        <w:t xml:space="preserve"> </w:t>
      </w:r>
      <w:r>
        <w:t xml:space="preserve">A</w:t>
      </w:r>
      <w:r>
        <w:t xml:space="preserve"> </w:t>
      </w:r>
      <w:r>
        <w:t xml:space="preserve">method for combining non-independent, one-sided tests of significance. Biometrics 1975;31:987–92.</w:t>
      </w:r>
      <w:r>
        <w:t xml:space="preserve"> </w:t>
      </w:r>
      <w:hyperlink r:id="rId313">
        <w:r>
          <w:rPr>
            <w:rStyle w:val="Hyperlink"/>
          </w:rPr>
          <w:t xml:space="preserve">https://doi.org/10.2307/2529826</w:t>
        </w:r>
      </w:hyperlink>
      <w:r>
        <w:t xml:space="preserve">.</w:t>
      </w:r>
    </w:p>
    <w:bookmarkEnd w:id="314"/>
    <w:bookmarkStart w:id="316" w:name="ref-Poole_2016"/>
    <w:p>
      <w:pPr>
        <w:pStyle w:val="Bibliography"/>
      </w:pPr>
      <w:r>
        <w:t xml:space="preserve">[15]</w:t>
      </w:r>
      <w:r>
        <w:t xml:space="preserve"> </w:t>
      </w:r>
      <w:r>
        <w:t xml:space="preserve">	</w:t>
      </w:r>
      <w:r>
        <w:t xml:space="preserve">Poole W, Gibbs DL, Shmulevich I, Bernard B, Knijnenburg TA. Combining dependent</w:t>
      </w:r>
      <w:r>
        <w:t xml:space="preserve"> </w:t>
      </w:r>
      <w:r>
        <w:t xml:space="preserve">P</w:t>
      </w:r>
      <w:r>
        <w:t xml:space="preserve">-values with an empirical adaptation of</w:t>
      </w:r>
      <w:r>
        <w:t xml:space="preserve"> </w:t>
      </w:r>
      <w:r>
        <w:t xml:space="preserve">Brown</w:t>
      </w:r>
      <w:r>
        <w:t xml:space="preserve">’s method. Bioinformatics 2016;32:i430–6.</w:t>
      </w:r>
      <w:r>
        <w:t xml:space="preserve"> </w:t>
      </w:r>
      <w:hyperlink r:id="rId315">
        <w:r>
          <w:rPr>
            <w:rStyle w:val="Hyperlink"/>
          </w:rPr>
          <w:t xml:space="preserve">https://doi.org/10.1093/bioinformatics/btw438</w:t>
        </w:r>
      </w:hyperlink>
      <w:r>
        <w:t xml:space="preserve">.</w:t>
      </w:r>
    </w:p>
    <w:bookmarkEnd w:id="316"/>
    <w:bookmarkStart w:id="318" w:name="ref-Bentz_Dutkiewicz_2026"/>
    <w:p>
      <w:pPr>
        <w:pStyle w:val="Bibliography"/>
      </w:pPr>
      <w:r>
        <w:t xml:space="preserve">[16]</w:t>
      </w:r>
      <w:r>
        <w:t xml:space="preserve"> </w:t>
      </w:r>
      <w:r>
        <w:t xml:space="preserve">	</w:t>
      </w:r>
      <w:r>
        <w:t xml:space="preserve">Bentz C, Dutkiewicz E. Humans 40,000 y ago developed a system of conventional signs. Proceedings of the National Academy of Sciences 2026;123:e2520385123.</w:t>
      </w:r>
      <w:r>
        <w:t xml:space="preserve"> </w:t>
      </w:r>
      <w:hyperlink r:id="rId317">
        <w:r>
          <w:rPr>
            <w:rStyle w:val="Hyperlink"/>
          </w:rPr>
          <w:t xml:space="preserve">https://doi.org/10.1073/pnas.2520385123</w:t>
        </w:r>
      </w:hyperlink>
      <w:r>
        <w:t xml:space="preserve">.</w:t>
      </w:r>
    </w:p>
    <w:bookmarkEnd w:id="318"/>
    <w:bookmarkStart w:id="320" w:name="ref-Chiotti_2005"/>
    <w:p>
      <w:pPr>
        <w:pStyle w:val="Bibliography"/>
      </w:pPr>
      <w:r>
        <w:t xml:space="preserve">[17]</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319">
        <w:r>
          <w:rPr>
            <w:rStyle w:val="Hyperlink"/>
          </w:rPr>
          <w:t xml:space="preserve">https://doi.org/10.30861/9781841718309</w:t>
        </w:r>
      </w:hyperlink>
      <w:r>
        <w:t xml:space="preserve">.</w:t>
      </w:r>
    </w:p>
    <w:bookmarkEnd w:id="320"/>
    <w:bookmarkStart w:id="322" w:name="ref-Higham_Abri_Pataud_2011"/>
    <w:p>
      <w:pPr>
        <w:pStyle w:val="Bibliography"/>
      </w:pPr>
      <w:r>
        <w:t xml:space="preserve">[18]</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321">
        <w:r>
          <w:rPr>
            <w:rStyle w:val="Hyperlink"/>
          </w:rPr>
          <w:t xml:space="preserve">https://doi.org/10.1016/j.jhevol.2011.06.005</w:t>
        </w:r>
      </w:hyperlink>
      <w:r>
        <w:t xml:space="preserve">.</w:t>
      </w:r>
    </w:p>
    <w:bookmarkEnd w:id="322"/>
    <w:bookmarkStart w:id="324" w:name="ref-Talamo_La_Ferrassie_2020"/>
    <w:p>
      <w:pPr>
        <w:pStyle w:val="Bibliography"/>
      </w:pPr>
      <w:r>
        <w:t xml:space="preserve">[19]</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323">
        <w:r>
          <w:rPr>
            <w:rStyle w:val="Hyperlink"/>
          </w:rPr>
          <w:t xml:space="preserve">https://doi.org/10.1002/jqs.3236</w:t>
        </w:r>
      </w:hyperlink>
      <w:r>
        <w:t xml:space="preserve">.</w:t>
      </w:r>
    </w:p>
    <w:bookmarkEnd w:id="324"/>
    <w:bookmarkStart w:id="325" w:name="ref-Delporte_1984_Ferrassie"/>
    <w:p>
      <w:pPr>
        <w:pStyle w:val="Bibliography"/>
      </w:pPr>
      <w:r>
        <w:t xml:space="preserve">[20]</w:t>
      </w:r>
      <w:r>
        <w:t xml:space="preserve"> </w:t>
      </w:r>
      <w:r>
        <w:t xml:space="preserve">	</w:t>
      </w:r>
      <w:r>
        <w:t xml:space="preserve">Delporte H, editor. Le grand abri de</w:t>
      </w:r>
      <w:r>
        <w:t xml:space="preserve"> </w:t>
      </w:r>
      <w:r>
        <w:t xml:space="preserve">La Ferrassie</w:t>
      </w:r>
      <w:r>
        <w:t xml:space="preserve">: Fouilles 1968-1973. Paris: Laboratoire de Pal</w:t>
      </w:r>
      <w:r>
        <w:t xml:space="preserve">é</w:t>
      </w:r>
      <w:r>
        <w:t xml:space="preserve">ontologie Humaine et de Pr</w:t>
      </w:r>
      <w:r>
        <w:t xml:space="preserve">é</w:t>
      </w:r>
      <w:r>
        <w:t xml:space="preserve">histoire; 1984.</w:t>
      </w:r>
    </w:p>
    <w:bookmarkEnd w:id="325"/>
    <w:bookmarkStart w:id="327" w:name="ref-Oliva_2006"/>
    <w:p>
      <w:pPr>
        <w:pStyle w:val="Bibliography"/>
      </w:pPr>
      <w:r>
        <w:t xml:space="preserve">[21]</w:t>
      </w:r>
      <w:r>
        <w:t xml:space="preserve"> </w:t>
      </w:r>
      <w:r>
        <w:t xml:space="preserve">	</w:t>
      </w:r>
      <w:r>
        <w:t xml:space="preserve">Oliva M. The upper paleolithic finds from the</w:t>
      </w:r>
      <w:r>
        <w:t xml:space="preserve"> </w:t>
      </w:r>
      <w:r>
        <w:t xml:space="preserve">Mladeč</w:t>
      </w:r>
      <w:r>
        <w:t xml:space="preserve"> </w:t>
      </w:r>
      <w:r>
        <w:t xml:space="preserve">Cave</w:t>
      </w:r>
      <w:r>
        <w:t xml:space="preserve">. In: Teschler-Nicola M, editor. Early modern humans at the</w:t>
      </w:r>
      <w:r>
        <w:t xml:space="preserve"> </w:t>
      </w:r>
      <w:r>
        <w:t xml:space="preserve">Moravian</w:t>
      </w:r>
      <w:r>
        <w:t xml:space="preserve"> </w:t>
      </w:r>
      <w:r>
        <w:t xml:space="preserve">Gate</w:t>
      </w:r>
      <w:r>
        <w:t xml:space="preserve">: The</w:t>
      </w:r>
      <w:r>
        <w:t xml:space="preserve"> </w:t>
      </w:r>
      <w:r>
        <w:t xml:space="preserve">Mladeč</w:t>
      </w:r>
      <w:r>
        <w:t xml:space="preserve"> </w:t>
      </w:r>
      <w:r>
        <w:t xml:space="preserve">Caves</w:t>
      </w:r>
      <w:r>
        <w:t xml:space="preserve"> </w:t>
      </w:r>
      <w:r>
        <w:t xml:space="preserve">and their remains, Vienna: Springer; 2006, p. 41–74.</w:t>
      </w:r>
      <w:r>
        <w:t xml:space="preserve"> </w:t>
      </w:r>
      <w:hyperlink r:id="rId326">
        <w:r>
          <w:rPr>
            <w:rStyle w:val="Hyperlink"/>
          </w:rPr>
          <w:t xml:space="preserve">https://doi.org/10.1007/978-3-211-49294-9_4</w:t>
        </w:r>
      </w:hyperlink>
      <w:r>
        <w:t xml:space="preserve">.</w:t>
      </w:r>
    </w:p>
    <w:bookmarkEnd w:id="327"/>
    <w:bookmarkStart w:id="329" w:name="ref-Wild_et_al_2005"/>
    <w:p>
      <w:pPr>
        <w:pStyle w:val="Bibliography"/>
      </w:pPr>
      <w:r>
        <w:t xml:space="preserve">[22]</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328">
        <w:r>
          <w:rPr>
            <w:rStyle w:val="Hyperlink"/>
          </w:rPr>
          <w:t xml:space="preserve">https://doi.org/10.1038/nature03585</w:t>
        </w:r>
      </w:hyperlink>
      <w:r>
        <w:t xml:space="preserve">.</w:t>
      </w:r>
    </w:p>
    <w:bookmarkEnd w:id="329"/>
    <w:bookmarkStart w:id="331" w:name="ref-Schurch_Conard_2026_reassess"/>
    <w:p>
      <w:pPr>
        <w:pStyle w:val="Bibliography"/>
      </w:pPr>
      <w:r>
        <w:t xml:space="preserve">[23]</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330">
        <w:r>
          <w:rPr>
            <w:rStyle w:val="Hyperlink"/>
          </w:rPr>
          <w:t xml:space="preserve">https://doi.org/10.1007/s41982-025-00246-x</w:t>
        </w:r>
      </w:hyperlink>
      <w:r>
        <w:t xml:space="preserve">.</w:t>
      </w:r>
    </w:p>
    <w:bookmarkEnd w:id="331"/>
    <w:bookmarkStart w:id="333" w:name="ref-Chao_Jost_2012"/>
    <w:p>
      <w:pPr>
        <w:pStyle w:val="Bibliography"/>
      </w:pPr>
      <w:r>
        <w:t xml:space="preserve">[24]</w:t>
      </w:r>
      <w:r>
        <w:t xml:space="preserve"> </w:t>
      </w:r>
      <w:r>
        <w:t xml:space="preserve">	</w:t>
      </w:r>
      <w:r>
        <w:t xml:space="preserve">Chao A, Jost L. Coverage-based rarefaction and extrapolation: Standardizing samples by completeness rather than size. Ecology 2012;93:2533–47.</w:t>
      </w:r>
      <w:r>
        <w:t xml:space="preserve"> </w:t>
      </w:r>
      <w:hyperlink r:id="rId332">
        <w:r>
          <w:rPr>
            <w:rStyle w:val="Hyperlink"/>
          </w:rPr>
          <w:t xml:space="preserve">https://doi.org/10.1890/11-1952.1</w:t>
        </w:r>
      </w:hyperlink>
      <w:r>
        <w:t xml:space="preserve">.</w:t>
      </w:r>
    </w:p>
    <w:bookmarkEnd w:id="333"/>
    <w:bookmarkStart w:id="335" w:name="ref-Gotelli_Colwell_2001"/>
    <w:p>
      <w:pPr>
        <w:pStyle w:val="Bibliography"/>
      </w:pPr>
      <w:r>
        <w:t xml:space="preserve">[25]</w:t>
      </w:r>
      <w:r>
        <w:t xml:space="preserve"> </w:t>
      </w:r>
      <w:r>
        <w:t xml:space="preserve">	</w:t>
      </w:r>
      <w:r>
        <w:t xml:space="preserve">Gotelli NJ, Colwell RK. Quantifying biodiversity: Procedures and pitfalls in the measurement and comparison of species richness. Ecology Letters 2001;4:379–91.</w:t>
      </w:r>
      <w:r>
        <w:t xml:space="preserve"> </w:t>
      </w:r>
      <w:hyperlink r:id="rId334">
        <w:r>
          <w:rPr>
            <w:rStyle w:val="Hyperlink"/>
          </w:rPr>
          <w:t xml:space="preserve">https://doi.org/10.1046/j.1461-0248.2001.00230.x</w:t>
        </w:r>
      </w:hyperlink>
      <w:r>
        <w:t xml:space="preserve">.</w:t>
      </w:r>
    </w:p>
    <w:bookmarkEnd w:id="335"/>
    <w:bookmarkStart w:id="337" w:name="ref-Hsieh_Ma_Chao_2016"/>
    <w:p>
      <w:pPr>
        <w:pStyle w:val="Bibliography"/>
      </w:pPr>
      <w:r>
        <w:t xml:space="preserve">[26]</w:t>
      </w:r>
      <w:r>
        <w:t xml:space="preserve"> </w:t>
      </w:r>
      <w:r>
        <w:t xml:space="preserve">	</w:t>
      </w:r>
      <w:r>
        <w:t xml:space="preserve">Hsieh TC, Ma KH, Chao A.</w:t>
      </w:r>
      <w:r>
        <w:t xml:space="preserve"> </w:t>
      </w:r>
      <w:r>
        <w:t xml:space="preserve">iNEXT</w:t>
      </w:r>
      <w:r>
        <w:t xml:space="preserve">: An</w:t>
      </w:r>
      <w:r>
        <w:t xml:space="preserve"> </w:t>
      </w:r>
      <w:r>
        <w:t xml:space="preserve">R</w:t>
      </w:r>
      <w:r>
        <w:t xml:space="preserve"> </w:t>
      </w:r>
      <w:r>
        <w:t xml:space="preserve">package for rarefaction and extrapolation of species diversity (</w:t>
      </w:r>
      <w:r>
        <w:t xml:space="preserve">Hill</w:t>
      </w:r>
      <w:r>
        <w:t xml:space="preserve"> </w:t>
      </w:r>
      <w:r>
        <w:t xml:space="preserve">numbers). Methods in Ecology and Evolution 2016;7:1451–6.</w:t>
      </w:r>
      <w:r>
        <w:t xml:space="preserve"> </w:t>
      </w:r>
      <w:hyperlink r:id="rId336">
        <w:r>
          <w:rPr>
            <w:rStyle w:val="Hyperlink"/>
          </w:rPr>
          <w:t xml:space="preserve">https://doi.org/10.1111/2041-210X.12613</w:t>
        </w:r>
      </w:hyperlink>
      <w:r>
        <w:t xml:space="preserve">.</w:t>
      </w:r>
    </w:p>
    <w:bookmarkEnd w:id="337"/>
    <w:bookmarkStart w:id="339" w:name="ref-Venables_Ripley_2002"/>
    <w:p>
      <w:pPr>
        <w:pStyle w:val="Bibliography"/>
      </w:pPr>
      <w:r>
        <w:t xml:space="preserve">[27]</w:t>
      </w:r>
      <w:r>
        <w:t xml:space="preserve"> </w:t>
      </w:r>
      <w:r>
        <w:t xml:space="preserve">	</w:t>
      </w:r>
      <w:r>
        <w:t xml:space="preserve">Venables WN, Ripley BD. Modern applied statistics with s. Fourth. Springer; 2002.</w:t>
      </w:r>
      <w:r>
        <w:t xml:space="preserve"> </w:t>
      </w:r>
      <w:hyperlink r:id="rId338">
        <w:r>
          <w:rPr>
            <w:rStyle w:val="Hyperlink"/>
          </w:rPr>
          <w:t xml:space="preserve">https://doi.org/10.1007/978-0-387-21706-2</w:t>
        </w:r>
      </w:hyperlink>
      <w:r>
        <w:t xml:space="preserve">.</w:t>
      </w:r>
    </w:p>
    <w:bookmarkEnd w:id="339"/>
    <w:bookmarkEnd w:id="340"/>
    <w:bookmarkEnd w:id="341"/>
    <w:bookmarkEnd w:id="342"/>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357734625" w:numId="1">
    <w:abstractNumId w:val="0"/>
  </w:num>
  <w:num w16cid:durableId="488792786" w:numId="2">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08" Target="media/rId108.png" /><Relationship Type="http://schemas.openxmlformats.org/officeDocument/2006/relationships/image" Id="rId38" Target="media/rId38.png" /><Relationship Type="http://schemas.openxmlformats.org/officeDocument/2006/relationships/image" Id="rId30" Target="media/rId30.png" /><Relationship Type="http://schemas.openxmlformats.org/officeDocument/2006/relationships/image" Id="rId92" Target="media/rId92.png" /><Relationship Type="http://schemas.openxmlformats.org/officeDocument/2006/relationships/image" Id="rId246" Target="media/rId246.png" /><Relationship Type="http://schemas.openxmlformats.org/officeDocument/2006/relationships/image" Id="rId275" Target="media/rId275.png" /><Relationship Type="http://schemas.openxmlformats.org/officeDocument/2006/relationships/image" Id="rId263" Target="media/rId263.png" /><Relationship Type="http://schemas.openxmlformats.org/officeDocument/2006/relationships/image" Id="rId255" Target="media/rId255.png" /><Relationship Type="http://schemas.openxmlformats.org/officeDocument/2006/relationships/image" Id="rId79" Target="media/rId79.png" /><Relationship Type="http://schemas.openxmlformats.org/officeDocument/2006/relationships/image" Id="rId115" Target="media/rId115.png" /><Relationship Type="http://schemas.openxmlformats.org/officeDocument/2006/relationships/image" Id="rId142" Target="media/rId142.png" /><Relationship Type="http://schemas.openxmlformats.org/officeDocument/2006/relationships/image" Id="rId145" Target="media/rId145.png" /><Relationship Type="http://schemas.openxmlformats.org/officeDocument/2006/relationships/image" Id="rId148" Target="media/rId148.png" /><Relationship Type="http://schemas.openxmlformats.org/officeDocument/2006/relationships/image" Id="rId151" Target="media/rId151.png" /><Relationship Type="http://schemas.openxmlformats.org/officeDocument/2006/relationships/image" Id="rId154" Target="media/rId154.png" /><Relationship Type="http://schemas.openxmlformats.org/officeDocument/2006/relationships/image" Id="rId157" Target="media/rId157.png" /><Relationship Type="http://schemas.openxmlformats.org/officeDocument/2006/relationships/image" Id="rId160" Target="media/rId160.png" /><Relationship Type="http://schemas.openxmlformats.org/officeDocument/2006/relationships/image" Id="rId163" Target="media/rId163.png" /><Relationship Type="http://schemas.openxmlformats.org/officeDocument/2006/relationships/image" Id="rId166" Target="media/rId166.png" /><Relationship Type="http://schemas.openxmlformats.org/officeDocument/2006/relationships/image" Id="rId169" Target="media/rId169.png" /><Relationship Type="http://schemas.openxmlformats.org/officeDocument/2006/relationships/image" Id="rId118" Target="media/rId118.png" /><Relationship Type="http://schemas.openxmlformats.org/officeDocument/2006/relationships/image" Id="rId172" Target="media/rId172.png" /><Relationship Type="http://schemas.openxmlformats.org/officeDocument/2006/relationships/image" Id="rId175" Target="media/rId175.png" /><Relationship Type="http://schemas.openxmlformats.org/officeDocument/2006/relationships/image" Id="rId178" Target="media/rId178.png" /><Relationship Type="http://schemas.openxmlformats.org/officeDocument/2006/relationships/image" Id="rId181" Target="media/rId181.png" /><Relationship Type="http://schemas.openxmlformats.org/officeDocument/2006/relationships/image" Id="rId184" Target="media/rId184.png" /><Relationship Type="http://schemas.openxmlformats.org/officeDocument/2006/relationships/image" Id="rId187" Target="media/rId187.png" /><Relationship Type="http://schemas.openxmlformats.org/officeDocument/2006/relationships/image" Id="rId190" Target="media/rId190.png" /><Relationship Type="http://schemas.openxmlformats.org/officeDocument/2006/relationships/image" Id="rId193" Target="media/rId193.png" /><Relationship Type="http://schemas.openxmlformats.org/officeDocument/2006/relationships/image" Id="rId196" Target="media/rId196.png" /><Relationship Type="http://schemas.openxmlformats.org/officeDocument/2006/relationships/image" Id="rId199" Target="media/rId199.png" /><Relationship Type="http://schemas.openxmlformats.org/officeDocument/2006/relationships/image" Id="rId121" Target="media/rId121.png" /><Relationship Type="http://schemas.openxmlformats.org/officeDocument/2006/relationships/image" Id="rId202" Target="media/rId202.png" /><Relationship Type="http://schemas.openxmlformats.org/officeDocument/2006/relationships/image" Id="rId124" Target="media/rId124.png" /><Relationship Type="http://schemas.openxmlformats.org/officeDocument/2006/relationships/image" Id="rId127" Target="media/rId127.png" /><Relationship Type="http://schemas.openxmlformats.org/officeDocument/2006/relationships/image" Id="rId130" Target="media/rId130.png" /><Relationship Type="http://schemas.openxmlformats.org/officeDocument/2006/relationships/image" Id="rId133" Target="media/rId133.png" /><Relationship Type="http://schemas.openxmlformats.org/officeDocument/2006/relationships/image" Id="rId136" Target="media/rId136.png" /><Relationship Type="http://schemas.openxmlformats.org/officeDocument/2006/relationships/image" Id="rId139" Target="media/rId139.png" /><Relationship Type="http://schemas.openxmlformats.org/officeDocument/2006/relationships/hyperlink" Id="rId323" Target="https://doi.org/10.1002/jqs.3236" TargetMode="External" /><Relationship Type="http://schemas.openxmlformats.org/officeDocument/2006/relationships/hyperlink" Id="rId338" Target="https://doi.org/10.1007/978-0-387-21706-2" TargetMode="External" /><Relationship Type="http://schemas.openxmlformats.org/officeDocument/2006/relationships/hyperlink" Id="rId326" Target="https://doi.org/10.1007/978-3-211-49294-9_4" TargetMode="External" /><Relationship Type="http://schemas.openxmlformats.org/officeDocument/2006/relationships/hyperlink" Id="rId307" Target="https://doi.org/10.1007/BF01908075" TargetMode="External" /><Relationship Type="http://schemas.openxmlformats.org/officeDocument/2006/relationships/hyperlink" Id="rId299" Target="https://doi.org/10.1007/s11258-006-9126-3" TargetMode="External" /><Relationship Type="http://schemas.openxmlformats.org/officeDocument/2006/relationships/hyperlink" Id="rId289" Target="https://doi.org/10.1007/s41982-017-0004-4" TargetMode="External" /><Relationship Type="http://schemas.openxmlformats.org/officeDocument/2006/relationships/hyperlink" Id="rId330" Target="https://doi.org/10.1007/s41982-025-00246-x" TargetMode="External" /><Relationship Type="http://schemas.openxmlformats.org/officeDocument/2006/relationships/hyperlink" Id="rId321" Target="https://doi.org/10.1016/j.jhevol.2011.06.005" TargetMode="External" /><Relationship Type="http://schemas.openxmlformats.org/officeDocument/2006/relationships/hyperlink" Id="rId287" Target="https://doi.org/10.1016/j.quascirev.2021.106995" TargetMode="External" /><Relationship Type="http://schemas.openxmlformats.org/officeDocument/2006/relationships/hyperlink" Id="rId295" Target="https://doi.org/10.1016/j.socnet.2020.11.005" TargetMode="External" /><Relationship Type="http://schemas.openxmlformats.org/officeDocument/2006/relationships/hyperlink" Id="rId303" Target="https://doi.org/10.1023/A:1023949509487" TargetMode="External" /><Relationship Type="http://schemas.openxmlformats.org/officeDocument/2006/relationships/hyperlink" Id="rId328" Target="https://doi.org/10.1038/nature03585" TargetMode="External" /><Relationship Type="http://schemas.openxmlformats.org/officeDocument/2006/relationships/hyperlink" Id="rId334" Target="https://doi.org/10.1046/j.1461-0248.2001.00230.x" TargetMode="External" /><Relationship Type="http://schemas.openxmlformats.org/officeDocument/2006/relationships/hyperlink" Id="rId317" Target="https://doi.org/10.1073/pnas.2520385123" TargetMode="External" /><Relationship Type="http://schemas.openxmlformats.org/officeDocument/2006/relationships/hyperlink" Id="rId309" Target="https://doi.org/10.1080/01621459.2022.2116331" TargetMode="External" /><Relationship Type="http://schemas.openxmlformats.org/officeDocument/2006/relationships/hyperlink" Id="rId291" Target="https://doi.org/10.1088/1742-5468/2008/10/P10008" TargetMode="External" /><Relationship Type="http://schemas.openxmlformats.org/officeDocument/2006/relationships/hyperlink" Id="rId315" Target="https://doi.org/10.1093/bioinformatics/btw438" TargetMode="External" /><Relationship Type="http://schemas.openxmlformats.org/officeDocument/2006/relationships/hyperlink" Id="rId311" Target="https://doi.org/10.1093/biostatistics/kxac047" TargetMode="External" /><Relationship Type="http://schemas.openxmlformats.org/officeDocument/2006/relationships/hyperlink" Id="rId293" Target="https://doi.org/10.1103/PhysRevE.69.026113" TargetMode="External" /><Relationship Type="http://schemas.openxmlformats.org/officeDocument/2006/relationships/hyperlink" Id="rId336" Target="https://doi.org/10.1111/2041-210X.12613" TargetMode="External" /><Relationship Type="http://schemas.openxmlformats.org/officeDocument/2006/relationships/hyperlink" Id="rId297" Target="https://doi.org/10.1198/108571102320" TargetMode="External" /><Relationship Type="http://schemas.openxmlformats.org/officeDocument/2006/relationships/hyperlink" Id="rId301" Target="https://doi.org/10.18637/jss.v022.i07" TargetMode="External" /><Relationship Type="http://schemas.openxmlformats.org/officeDocument/2006/relationships/hyperlink" Id="rId332" Target="https://doi.org/10.1890/11-1952.1" TargetMode="External" /><Relationship Type="http://schemas.openxmlformats.org/officeDocument/2006/relationships/hyperlink" Id="rId313" Target="https://doi.org/10.2307/2529826" TargetMode="External" /><Relationship Type="http://schemas.openxmlformats.org/officeDocument/2006/relationships/hyperlink" Id="rId319" Target="https://doi.org/10.30861/9781841718309" TargetMode="External" /><Relationship Type="http://schemas.openxmlformats.org/officeDocument/2006/relationships/hyperlink" Id="rId305" Target="https://doi.org/10.48550/arXiv.1602.07587"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323" Target="https://doi.org/10.1002/jqs.3236" TargetMode="External" /><Relationship Type="http://schemas.openxmlformats.org/officeDocument/2006/relationships/hyperlink" Id="rId338" Target="https://doi.org/10.1007/978-0-387-21706-2" TargetMode="External" /><Relationship Type="http://schemas.openxmlformats.org/officeDocument/2006/relationships/hyperlink" Id="rId326" Target="https://doi.org/10.1007/978-3-211-49294-9_4" TargetMode="External" /><Relationship Type="http://schemas.openxmlformats.org/officeDocument/2006/relationships/hyperlink" Id="rId307" Target="https://doi.org/10.1007/BF01908075" TargetMode="External" /><Relationship Type="http://schemas.openxmlformats.org/officeDocument/2006/relationships/hyperlink" Id="rId299" Target="https://doi.org/10.1007/s11258-006-9126-3" TargetMode="External" /><Relationship Type="http://schemas.openxmlformats.org/officeDocument/2006/relationships/hyperlink" Id="rId289" Target="https://doi.org/10.1007/s41982-017-0004-4" TargetMode="External" /><Relationship Type="http://schemas.openxmlformats.org/officeDocument/2006/relationships/hyperlink" Id="rId330" Target="https://doi.org/10.1007/s41982-025-00246-x" TargetMode="External" /><Relationship Type="http://schemas.openxmlformats.org/officeDocument/2006/relationships/hyperlink" Id="rId321" Target="https://doi.org/10.1016/j.jhevol.2011.06.005" TargetMode="External" /><Relationship Type="http://schemas.openxmlformats.org/officeDocument/2006/relationships/hyperlink" Id="rId287" Target="https://doi.org/10.1016/j.quascirev.2021.106995" TargetMode="External" /><Relationship Type="http://schemas.openxmlformats.org/officeDocument/2006/relationships/hyperlink" Id="rId295" Target="https://doi.org/10.1016/j.socnet.2020.11.005" TargetMode="External" /><Relationship Type="http://schemas.openxmlformats.org/officeDocument/2006/relationships/hyperlink" Id="rId303" Target="https://doi.org/10.1023/A:1023949509487" TargetMode="External" /><Relationship Type="http://schemas.openxmlformats.org/officeDocument/2006/relationships/hyperlink" Id="rId328" Target="https://doi.org/10.1038/nature03585" TargetMode="External" /><Relationship Type="http://schemas.openxmlformats.org/officeDocument/2006/relationships/hyperlink" Id="rId334" Target="https://doi.org/10.1046/j.1461-0248.2001.00230.x" TargetMode="External" /><Relationship Type="http://schemas.openxmlformats.org/officeDocument/2006/relationships/hyperlink" Id="rId317" Target="https://doi.org/10.1073/pnas.2520385123" TargetMode="External" /><Relationship Type="http://schemas.openxmlformats.org/officeDocument/2006/relationships/hyperlink" Id="rId309" Target="https://doi.org/10.1080/01621459.2022.2116331" TargetMode="External" /><Relationship Type="http://schemas.openxmlformats.org/officeDocument/2006/relationships/hyperlink" Id="rId291" Target="https://doi.org/10.1088/1742-5468/2008/10/P10008" TargetMode="External" /><Relationship Type="http://schemas.openxmlformats.org/officeDocument/2006/relationships/hyperlink" Id="rId315" Target="https://doi.org/10.1093/bioinformatics/btw438" TargetMode="External" /><Relationship Type="http://schemas.openxmlformats.org/officeDocument/2006/relationships/hyperlink" Id="rId311" Target="https://doi.org/10.1093/biostatistics/kxac047" TargetMode="External" /><Relationship Type="http://schemas.openxmlformats.org/officeDocument/2006/relationships/hyperlink" Id="rId293" Target="https://doi.org/10.1103/PhysRevE.69.026113" TargetMode="External" /><Relationship Type="http://schemas.openxmlformats.org/officeDocument/2006/relationships/hyperlink" Id="rId336" Target="https://doi.org/10.1111/2041-210X.12613" TargetMode="External" /><Relationship Type="http://schemas.openxmlformats.org/officeDocument/2006/relationships/hyperlink" Id="rId297" Target="https://doi.org/10.1198/108571102320" TargetMode="External" /><Relationship Type="http://schemas.openxmlformats.org/officeDocument/2006/relationships/hyperlink" Id="rId301" Target="https://doi.org/10.18637/jss.v022.i07" TargetMode="External" /><Relationship Type="http://schemas.openxmlformats.org/officeDocument/2006/relationships/hyperlink" Id="rId332" Target="https://doi.org/10.1890/11-1952.1" TargetMode="External" /><Relationship Type="http://schemas.openxmlformats.org/officeDocument/2006/relationships/hyperlink" Id="rId313" Target="https://doi.org/10.2307/2529826" TargetMode="External" /><Relationship Type="http://schemas.openxmlformats.org/officeDocument/2006/relationships/hyperlink" Id="rId319" Target="https://doi.org/10.30861/9781841718309" TargetMode="External" /><Relationship Type="http://schemas.openxmlformats.org/officeDocument/2006/relationships/hyperlink" Id="rId305" Target="https://doi.org/10.48550/arXiv.1602.07587"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Sensitivity Analyses</dc:title>
  <dc:creator>Sophie Cooper1, Aleah Rosner1, Eva Oryn1, Kenneth B. Vernon2, and Ben Marwick1,✉</dc:creator>
  <cp:keywords/>
  <dcterms:created xsi:type="dcterms:W3CDTF">2026-09-03T19:39:00Z</dcterms:created>
  <dcterms:modified xsi:type="dcterms:W3CDTF">2026-09-03T19:39:00Z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September 3,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subtitle">
    <vt:lpwstr>Geometric signs as proxies for cultural connectivity during the Western Eurasian Aurignacian</vt:lpwstr>
  </property>
  <property fmtid="{D5CDD505-2E9C-101B-9397-08002B2CF9AE}" pid="16" name="title-block-published">
    <vt:lpwstr>Last updated</vt:lpwstr>
  </property>
  <property fmtid="{D5CDD505-2E9C-101B-9397-08002B2CF9AE}" pid="17" name="toc-title">
    <vt:lpwstr>Table of contents</vt:lpwstr>
  </property>
</Properties>
</file>