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S1 ).</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(see our S1 §</w:t>
      </w:r>
      <w:r>
        <w:t xml:space="preserve">S1.8.2</w:t>
      </w:r>
      <w:r>
        <w:t xml:space="preserve">).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(S1 ).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S1 ).</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and a negative-binomial model with an estimated exponent finds the group contrast persists at equal object count (rate ratio = 2.31, p = 0.003; S1 §</w:t>
      </w:r>
      <w:r>
        <w:t xml:space="preserve">S1.12.5</w:t>
      </w:r>
      <w:r>
        <w:t xml:space="preserve">). However, this estimate is imprecise because the sample is small and group membership is strongly collinear with object count, and a negative-binomial model with a fixed exponent (offset) shows no effect (rate ratio = 0.72, p = 0.292; S1 §</w:t>
      </w:r>
      <w:r>
        <w:t xml:space="preserve">S1.12.5</w:t>
      </w:r>
      <w:r>
        <w:t xml:space="preserve">).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S1 ),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t>
      </w:r>
      <w:r>
        <w:t xml:space="preserve">S1.9.3</w:t>
      </w:r>
      <w:r>
        <w:t xml:space="preserve">), while in Aur-P2 the Bernoulli and Poisson models select a single block and only the Gaussian model selects two blocks by a marginal 0.9 ICL points. Cross-validation (leave-one-out, object-half holdout, gradient PerMANOVA) recovers the axis (S1 §</w:t>
      </w:r>
      <w:r>
        <w:t xml:space="preserve">S1.10</w:t>
      </w:r>
      <w:r>
        <w:t xml:space="preserve">), yet the maximally-selected split test under a fixed-fixed (Curveball) null is not significant in either phase (Aur-P1 p = 0.139; Aur-P2 p = 1). The seriation ordering itself also does not exceed the Curveball null (S1 §</w:t>
      </w:r>
      <w:r>
        <w:t xml:space="preserve">S1.9.5</w:t>
      </w:r>
      <w:r>
        <w:t xml:space="preserve">).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S1.5.3</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2026-09-08T02:18:26Z</dcterms:created>
  <dcterms:modified xsi:type="dcterms:W3CDTF">2026-09-08T02:18:26Z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