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99.png" ContentType="image/png"/>
  <Override PartName="/word/media/rId208.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21.png" ContentType="image/png"/>
  <Override PartName="/word/media/rId250.png" ContentType="image/png"/>
  <Override PartName="/word/media/rId271.png" ContentType="image/png"/>
  <Override PartName="/word/media/rId238.png" ContentType="image/png"/>
  <Override PartName="/word/media/rId230.png" ContentType="image/png"/>
  <Override PartName="/word/media/rId17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188"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87" w:name="sec-s9-4"/>
    <w:p>
      <w:pPr>
        <w:pStyle w:val="Heading2"/>
      </w:pPr>
      <w:r>
        <w:t xml:space="preserve">S1.9.4 Cross-Validation of Group Assignments (ARI)</w:t>
      </w:r>
    </w:p>
    <w:bookmarkStart w:id="185"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84"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34: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84"/>
        </w:tc>
      </w:tr>
    </w:tbl>
    <w:bookmarkEnd w:id="185"/>
    <w:bookmarkStart w:id="186"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6"/>
    <w:bookmarkEnd w:id="187"/>
    <w:bookmarkEnd w:id="188"/>
    <w:bookmarkStart w:id="196" w:name="sec-s10"/>
    <w:p>
      <w:pPr>
        <w:pStyle w:val="Heading1"/>
      </w:pPr>
      <w:r>
        <w:t xml:space="preserve">S1.10 Withheld-Data Validation</w:t>
      </w:r>
    </w:p>
    <w:bookmarkStart w:id="190"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9"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9"/>
        </w:tc>
      </w:tr>
    </w:tbl>
    <w:bookmarkEnd w:id="190"/>
    <w:bookmarkStart w:id="191"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91"/>
    <w:bookmarkStart w:id="195" w:name="sec-s10-1"/>
    <w:p>
      <w:pPr>
        <w:pStyle w:val="Heading2"/>
      </w:pPr>
      <w:r>
        <w:t xml:space="preserve">S1.10.3 Richness-preserving nulls and Simpson turnover</w:t>
      </w:r>
    </w:p>
    <w:bookmarkStart w:id="193"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92"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36: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92"/>
        </w:tc>
      </w:tr>
    </w:tbl>
    <w:bookmarkEnd w:id="193"/>
    <w:bookmarkStart w:id="194"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94"/>
    <w:bookmarkEnd w:id="195"/>
    <w:bookmarkEnd w:id="196"/>
    <w:bookmarkStart w:id="218" w:name="sec-s11"/>
    <w:p>
      <w:pPr>
        <w:pStyle w:val="Heading1"/>
      </w:pPr>
      <w:r>
        <w:t xml:space="preserve">S1.11 Community Description</w:t>
      </w:r>
    </w:p>
    <w:bookmarkStart w:id="197"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7"/>
    <w:bookmarkStart w:id="204" w:name="sec-s11-1"/>
    <w:p>
      <w:pPr>
        <w:pStyle w:val="Heading2"/>
      </w:pPr>
      <w:r>
        <w:t xml:space="preserve">S1.11.2 Community membership</w:t>
      </w:r>
    </w:p>
    <w:bookmarkStart w:id="203"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8"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37: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comembership-heatmap"/>
          <w:p>
            <w:pPr>
              <w:pStyle w:val="Compact"/>
              <w:jc w:val="center"/>
            </w:pPr>
            <w:r>
              <w:drawing>
                <wp:inline>
                  <wp:extent cx="5943600" cy="5943600"/>
                  <wp:effectExtent b="0" l="0" r="0" t="0"/>
                  <wp:docPr descr="" title="" id="200" name="Picture"/>
                  <a:graphic>
                    <a:graphicData uri="http://schemas.openxmlformats.org/drawingml/2006/picture">
                      <pic:pic>
                        <pic:nvPicPr>
                          <pic:cNvPr descr="../figures/comembership-heatmap.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02"/>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03"/>
    <w:bookmarkEnd w:id="204"/>
    <w:bookmarkStart w:id="207" w:name="sec-s11-2"/>
    <w:p>
      <w:pPr>
        <w:pStyle w:val="Heading2"/>
      </w:pPr>
      <w:r>
        <w:t xml:space="preserve">S1.11.3 Sign-type profiles</w:t>
      </w:r>
    </w:p>
    <w:bookmarkStart w:id="206"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05"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38: Sign-type composition of Louvain communities at threshold 0.2. Values show the proportion of sites within each community that have at least one object bearing the sign type. Only sign types present in ≥10% of sites in at least one community are shown.</w:t>
            </w:r>
          </w:p>
          <w:bookmarkEnd w:id="205"/>
        </w:tc>
      </w:tr>
    </w:tbl>
    <w:bookmarkEnd w:id="206"/>
    <w:bookmarkEnd w:id="207"/>
    <w:bookmarkStart w:id="213" w:name="sec-s11-3"/>
    <w:p>
      <w:pPr>
        <w:pStyle w:val="Heading2"/>
      </w:pPr>
      <w:r>
        <w:t xml:space="preserve">S1.11.4 Geographic distribution</w:t>
      </w:r>
    </w:p>
    <w:bookmarkStart w:id="212"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11" w:name="fig-community-maps"/>
          <w:p>
            <w:pPr>
              <w:pStyle w:val="Compact"/>
              <w:jc w:val="center"/>
            </w:pPr>
            <w:r>
              <w:drawing>
                <wp:inline>
                  <wp:extent cx="5943600" cy="4622800"/>
                  <wp:effectExtent b="0" l="0" r="0" t="0"/>
                  <wp:docPr descr="" title="" id="209" name="Picture"/>
                  <a:graphic>
                    <a:graphicData uri="http://schemas.openxmlformats.org/drawingml/2006/picture">
                      <pic:pic>
                        <pic:nvPicPr>
                          <pic:cNvPr descr="../figures/community-maps.png" id="210" name="Picture"/>
                          <pic:cNvPicPr>
                            <a:picLocks noChangeArrowheads="1" noChangeAspect="1"/>
                          </pic:cNvPicPr>
                        </pic:nvPicPr>
                        <pic:blipFill>
                          <a:blip r:embed="rId20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11"/>
        </w:tc>
      </w:tr>
    </w:tbl>
    <w:bookmarkEnd w:id="212"/>
    <w:bookmarkEnd w:id="213"/>
    <w:bookmarkStart w:id="216" w:name="sec-s11-4"/>
    <w:p>
      <w:pPr>
        <w:pStyle w:val="Heading2"/>
      </w:pPr>
      <w:r>
        <w:t xml:space="preserve">S1.11.5 Cross-algorithm comparison</w:t>
      </w:r>
    </w:p>
    <w:bookmarkStart w:id="215"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1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39: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14"/>
        </w:tc>
      </w:tr>
    </w:tbl>
    <w:bookmarkEnd w:id="215"/>
    <w:bookmarkEnd w:id="216"/>
    <w:bookmarkStart w:id="217"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37</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37</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38</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11</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11</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39</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7"/>
    <w:bookmarkEnd w:id="218"/>
    <w:bookmarkStart w:id="268" w:name="sec-s12"/>
    <w:p>
      <w:pPr>
        <w:pStyle w:val="Heading1"/>
      </w:pPr>
      <w:r>
        <w:t xml:space="preserve">S1.12 Object Types and Sampling Intensity</w:t>
      </w:r>
    </w:p>
    <w:bookmarkStart w:id="219"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9"/>
    <w:bookmarkStart w:id="227" w:name="sec-s12-1"/>
    <w:p>
      <w:pPr>
        <w:pStyle w:val="Heading2"/>
      </w:pPr>
      <w:r>
        <w:t xml:space="preserve">S1.12.2 Object-count distribution and feasible common counts</w:t>
      </w:r>
    </w:p>
    <w:bookmarkStart w:id="225"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20"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40: Per-site object counts by phase and manual restricted(1)/broad(2) group.</w:t>
            </w:r>
          </w:p>
          <w:bookmarkEnd w:id="220"/>
        </w:tc>
      </w:tr>
    </w:tbl>
    <w:tbl>
      <w:tblPr>
        <w:tblStyle w:val="Table"/>
        <w:tblW w:type="pct" w:w="5000"/>
        <w:tblLook w:firstRow="0" w:lastRow="0" w:firstColumn="0" w:lastColumn="0" w:noHBand="0" w:noVBand="0" w:val="0000"/>
        <w:jc w:val="start"/>
        <w:tblLayout w:type="fixed"/>
      </w:tblPr>
      <w:tblGrid>
        <w:gridCol w:w="7920"/>
      </w:tblGrid>
      <w:tr>
        <w:tc>
          <w:tcPr/>
          <w:bookmarkStart w:id="224" w:name="fig-objhist"/>
          <w:p>
            <w:pPr>
              <w:pStyle w:val="Compact"/>
              <w:jc w:val="center"/>
            </w:pPr>
            <w:r>
              <w:drawing>
                <wp:inline>
                  <wp:extent cx="5943600" cy="2971800"/>
                  <wp:effectExtent b="0" l="0" r="0" t="0"/>
                  <wp:docPr descr="" title="" id="222" name="Picture"/>
                  <a:graphic>
                    <a:graphicData uri="http://schemas.openxmlformats.org/drawingml/2006/picture">
                      <pic:pic>
                        <pic:nvPicPr>
                          <pic:cNvPr descr="S1-supplement-sensitivity_files/figure-docx/fig-objhist-1.png" id="223" name="Picture"/>
                          <pic:cNvPicPr>
                            <a:picLocks noChangeArrowheads="1" noChangeAspect="1"/>
                          </pic:cNvPicPr>
                        </pic:nvPicPr>
                        <pic:blipFill>
                          <a:blip r:embed="rId2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Distribution of object counts per site by phase. Most sites contribute few objects; a small number of large assemblages (e.g. Vogelherd) dominate the upper tail.</w:t>
            </w:r>
          </w:p>
          <w:bookmarkEnd w:id="224"/>
        </w:tc>
      </w:tr>
    </w:tbl>
    <w:bookmarkEnd w:id="225"/>
    <w:bookmarkStart w:id="226"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6"/>
    <w:bookmarkEnd w:id="227"/>
    <w:bookmarkStart w:id="236" w:name="sec-s12-2"/>
    <w:p>
      <w:pPr>
        <w:pStyle w:val="Heading2"/>
      </w:pPr>
      <w:r>
        <w:t xml:space="preserve">S1.12.3 Object-level downsampling sensitivity</w:t>
      </w:r>
    </w:p>
    <w:bookmarkStart w:id="234"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8"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9"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9"/>
        </w:tc>
      </w:tr>
    </w:tbl>
    <w:tbl>
      <w:tblPr>
        <w:tblStyle w:val="Table"/>
        <w:tblW w:type="pct" w:w="5000"/>
        <w:tblLook w:firstRow="0" w:lastRow="0" w:firstColumn="0" w:lastColumn="0" w:noHBand="0" w:noVBand="0" w:val="0000"/>
        <w:jc w:val="start"/>
        <w:tblLayout w:type="fixed"/>
      </w:tblPr>
      <w:tblGrid>
        <w:gridCol w:w="7920"/>
      </w:tblGrid>
      <w:tr>
        <w:tc>
          <w:tcPr/>
          <w:bookmarkStart w:id="233" w:name="fig-retention"/>
          <w:p>
            <w:pPr>
              <w:pStyle w:val="Compact"/>
              <w:jc w:val="center"/>
            </w:pPr>
            <w:r>
              <w:drawing>
                <wp:inline>
                  <wp:extent cx="5943600" cy="5943600"/>
                  <wp:effectExtent b="0" l="0" r="0" t="0"/>
                  <wp:docPr descr="" title="" id="231" name="Picture"/>
                  <a:graphic>
                    <a:graphicData uri="http://schemas.openxmlformats.org/drawingml/2006/picture">
                      <pic:pic>
                        <pic:nvPicPr>
                          <pic:cNvPr descr="S1-supplement-sensitivity_files/figure-docx/fig-retention-1.png" id="232" name="Picture"/>
                          <pic:cNvPicPr>
                            <a:picLocks noChangeArrowheads="1" noChangeAspect="1"/>
                          </pic:cNvPicPr>
                        </pic:nvPicPr>
                        <pic:blipFill>
                          <a:blip r:embed="rId2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33"/>
        </w:tc>
      </w:tr>
    </w:tbl>
    <w:bookmarkEnd w:id="234"/>
    <w:bookmarkStart w:id="235"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35"/>
    <w:bookmarkEnd w:id="236"/>
    <w:bookmarkStart w:id="244" w:name="sec-s12-3"/>
    <w:p>
      <w:pPr>
        <w:pStyle w:val="Heading2"/>
      </w:pPr>
      <w:r>
        <w:t xml:space="preserve">S1.12.4 Coverage-based rarefaction</w:t>
      </w:r>
    </w:p>
    <w:bookmarkStart w:id="242"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7"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43: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rarefaction"/>
          <w:p>
            <w:pPr>
              <w:pStyle w:val="Compact"/>
              <w:jc w:val="center"/>
            </w:pPr>
            <w:r>
              <w:drawing>
                <wp:inline>
                  <wp:extent cx="5943600" cy="3396342"/>
                  <wp:effectExtent b="0" l="0" r="0" t="0"/>
                  <wp:docPr descr="" title="" id="239" name="Picture"/>
                  <a:graphic>
                    <a:graphicData uri="http://schemas.openxmlformats.org/drawingml/2006/picture">
                      <pic:pic>
                        <pic:nvPicPr>
                          <pic:cNvPr descr="S1-supplement-sensitivity_files/figure-docx/fig-rarefaction-1.png" id="240" name="Picture"/>
                          <pic:cNvPicPr>
                            <a:picLocks noChangeArrowheads="1" noChangeAspect="1"/>
                          </pic:cNvPicPr>
                        </pic:nvPicPr>
                        <pic:blipFill>
                          <a:blip r:embed="rId2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Sign-type richness estimated at target coverage = 0.9 with 95% confidence intervals, by manual group, for sites that reach that coverage. Restricted sites (green) that attain high coverage remain low-richness; broad sites (red) remain high-richness.</w:t>
            </w:r>
          </w:p>
          <w:bookmarkEnd w:id="241"/>
        </w:tc>
      </w:tr>
    </w:tbl>
    <w:bookmarkEnd w:id="242"/>
    <w:bookmarkStart w:id="243"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43"/>
    <w:bookmarkEnd w:id="244"/>
    <w:bookmarkStart w:id="248" w:name="sec-s12-4"/>
    <w:p>
      <w:pPr>
        <w:pStyle w:val="Heading2"/>
      </w:pPr>
      <w:r>
        <w:t xml:space="preserve">S1.12.5 Negative-binomial regression with object-count covariate</w:t>
      </w:r>
    </w:p>
    <w:bookmarkStart w:id="246"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45"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44: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45"/>
        </w:tc>
      </w:tr>
    </w:tbl>
    <w:bookmarkEnd w:id="246"/>
    <w:bookmarkStart w:id="247"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7"/>
    <w:bookmarkEnd w:id="248"/>
    <w:bookmarkStart w:id="256" w:name="sec-s12-5"/>
    <w:p>
      <w:pPr>
        <w:pStyle w:val="Heading2"/>
      </w:pPr>
      <w:r>
        <w:t xml:space="preserve">S1.12.6 Equal-effort pool comparison (iNEXT)</w:t>
      </w:r>
    </w:p>
    <w:bookmarkStart w:id="254"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9"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45: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pool-inext"/>
          <w:p>
            <w:pPr>
              <w:pStyle w:val="Compact"/>
              <w:jc w:val="center"/>
            </w:pPr>
            <w:r>
              <w:drawing>
                <wp:inline>
                  <wp:extent cx="5943600" cy="3566160"/>
                  <wp:effectExtent b="0" l="0" r="0" t="0"/>
                  <wp:docPr descr="" title="" id="251" name="Picture"/>
                  <a:graphic>
                    <a:graphicData uri="http://schemas.openxmlformats.org/drawingml/2006/picture">
                      <pic:pic>
                        <pic:nvPicPr>
                          <pic:cNvPr descr="S1-supplement-sensitivity_files/figure-docx/fig-pool-inext-1.png" id="252" name="Picture"/>
                          <pic:cNvPicPr>
                            <a:picLocks noChangeArrowheads="1" noChangeAspect="1"/>
                          </pic:cNvPicPr>
                        </pic:nvPicPr>
                        <pic:blipFill>
                          <a:blip r:embed="rId2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53"/>
        </w:tc>
      </w:tr>
    </w:tbl>
    <w:bookmarkEnd w:id="254"/>
    <w:bookmarkStart w:id="255"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55"/>
    <w:bookmarkEnd w:id="256"/>
    <w:bookmarkStart w:id="266" w:name="sec-s12-6"/>
    <w:p>
      <w:pPr>
        <w:pStyle w:val="Heading2"/>
      </w:pPr>
      <w:r>
        <w:t xml:space="preserve">S1.12.7 Figurine Exclusion</w:t>
      </w:r>
    </w:p>
    <w:bookmarkStart w:id="264"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46: Distribution of figurine objects across phases and sites. Figurine types include figurine zoomorph, figurine anthropomorph, figurine undet., and possible figurine.</w:t>
            </w:r>
          </w:p>
          <w:bookmarkEnd w:id="257"/>
        </w:tc>
      </w:tr>
    </w:tbl>
    <w:p>
      <w:pPr>
        <w:pStyle w:val="BodyText"/>
      </w:pPr>
      <w:hyperlink w:anchor="tbl-figurine-count">
        <w:r>
          <w:rPr>
            <w:rStyle w:val="Hyperlink"/>
          </w:rPr>
          <w:t xml:space="preserve">Table S 46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47: Network statistics before and after excluding all figurine objects (figurine zoomorph, figurine anthropomorph, figurine undet., and possible figurine). Threshold = 0.2, Jaccard similarity.</w:t>
            </w:r>
          </w:p>
          <w:bookmarkEnd w:id="2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48: Number of sites per phase before and after figurine exclusion. Sites are lost when all objects at that site are figurines.</w:t>
            </w:r>
          </w:p>
          <w:bookmarkEnd w:id="259"/>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6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49: Network statistics before and after excluding figurines from Vogelherd only. All other figurines (Hohle Fels, Geissenklösterle, Hohlenstein-Stadel, La Ferrassie) are retained. Threshold = 0.2, Jaccard similarity.</w:t>
            </w:r>
          </w:p>
          <w:bookmarkEnd w:id="2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50: Vogelherd object counts before and after removing figurines. Non-figurine objects at Vogelherd (tools, plaquettes, etc.) are retained.</w:t>
            </w:r>
          </w:p>
          <w:bookmarkEnd w:id="261"/>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6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51: Side-by-side comparison of network statistics across all conditions: baseline (all objects), exclude all figurines, and exclude Vogelherd figurines only. The rightmost columns show the percentage change in mean degree from baseline.</w:t>
            </w:r>
          </w:p>
          <w:bookmarkEnd w:id="262"/>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63"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52: Mean degree by figurine-exclusion condition, with percentage change from baseline. Reproduced directly from the joint comparison in</w:t>
            </w:r>
            <w:r>
              <w:t xml:space="preserve"> </w:t>
            </w:r>
            <w:hyperlink w:anchor="tbl-objtype-joint">
              <w:r>
                <w:rPr>
                  <w:rStyle w:val="Hyperlink"/>
                </w:rPr>
                <w:t xml:space="preserve">Table S 51</w:t>
              </w:r>
            </w:hyperlink>
            <w:r>
              <w:t xml:space="preserve">.</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65"/>
    <w:bookmarkEnd w:id="266"/>
    <w:bookmarkStart w:id="267"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7"/>
    <w:bookmarkEnd w:id="268"/>
    <w:bookmarkStart w:id="277" w:name="sec-s-power"/>
    <w:p>
      <w:pPr>
        <w:pStyle w:val="Heading1"/>
      </w:pPr>
      <w:r>
        <w:t xml:space="preserve">S1.13 Design Sensitivity: Minimum Detectable Effects</w:t>
      </w:r>
    </w:p>
    <w:bookmarkStart w:id="269"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9"/>
    <w:bookmarkStart w:id="275"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70"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53: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power-curves"/>
          <w:p>
            <w:pPr>
              <w:pStyle w:val="Compact"/>
              <w:jc w:val="center"/>
            </w:pPr>
            <w:r>
              <w:drawing>
                <wp:inline>
                  <wp:extent cx="5943600" cy="4622800"/>
                  <wp:effectExtent b="0" l="0" r="0" t="0"/>
                  <wp:docPr descr="" title="" id="272" name="Picture"/>
                  <a:graphic>
                    <a:graphicData uri="http://schemas.openxmlformats.org/drawingml/2006/picture">
                      <pic:pic>
                        <pic:nvPicPr>
                          <pic:cNvPr descr="S1-supplement-sensitivity_files/figure-docx/fig-power-curves-1.png" id="273" name="Picture"/>
                          <pic:cNvPicPr>
                            <a:picLocks noChangeArrowheads="1" noChangeAspect="1"/>
                          </pic:cNvPicPr>
                        </pic:nvPicPr>
                        <pic:blipFill>
                          <a:blip r:embed="rId27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53</w:t>
              </w:r>
            </w:hyperlink>
            <w:r>
              <w:t xml:space="preserve">. Curves are simulation estimates (Mantel and PerMANOVA: B = 300 with 99 permutations; network: B = 200 with 99 permutations).</w:t>
            </w:r>
          </w:p>
          <w:bookmarkEnd w:id="274"/>
        </w:tc>
      </w:tr>
    </w:tbl>
    <w:bookmarkEnd w:id="275"/>
    <w:bookmarkStart w:id="276"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53</w:t>
        </w:r>
      </w:hyperlink>
      <w:r>
        <w:t xml:space="preserve"> </w:t>
      </w:r>
      <w:r>
        <w:t xml:space="preserve">can be excluded.</w:t>
      </w:r>
    </w:p>
    <w:bookmarkEnd w:id="276"/>
    <w:bookmarkEnd w:id="277"/>
    <w:bookmarkStart w:id="345"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44" w:name="references-cited"/>
    <w:p>
      <w:pPr>
        <w:pStyle w:val="Heading2"/>
      </w:pPr>
      <w:r>
        <w:t xml:space="preserve">References cited</w:t>
      </w:r>
    </w:p>
    <w:bookmarkStart w:id="343" w:name="refs"/>
    <w:bookmarkStart w:id="279"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8">
        <w:r>
          <w:rPr>
            <w:rStyle w:val="Hyperlink"/>
          </w:rPr>
          <w:t xml:space="preserve">https://doi.org/10.18637/jss.v022.i07</w:t>
        </w:r>
      </w:hyperlink>
      <w:r>
        <w:t xml:space="preserve">.</w:t>
      </w:r>
    </w:p>
    <w:bookmarkEnd w:id="279"/>
    <w:bookmarkStart w:id="281"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80">
        <w:r>
          <w:rPr>
            <w:rStyle w:val="Hyperlink"/>
          </w:rPr>
          <w:t xml:space="preserve">https://doi.org/10.1890/0012-9615(1999)069[0001:DBRDAO]2.0.CO;2</w:t>
        </w:r>
      </w:hyperlink>
      <w:r>
        <w:t xml:space="preserve">.</w:t>
      </w:r>
    </w:p>
    <w:bookmarkEnd w:id="281"/>
    <w:bookmarkStart w:id="283"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2">
        <w:r>
          <w:rPr>
            <w:rStyle w:val="Hyperlink"/>
          </w:rPr>
          <w:t xml:space="preserve">https://doi.org/10.1016/j.quascirev.2021.106995</w:t>
        </w:r>
      </w:hyperlink>
      <w:r>
        <w:t xml:space="preserve">.</w:t>
      </w:r>
    </w:p>
    <w:bookmarkEnd w:id="283"/>
    <w:bookmarkStart w:id="285"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4">
        <w:r>
          <w:rPr>
            <w:rStyle w:val="Hyperlink"/>
          </w:rPr>
          <w:t xml:space="preserve">https://doi.org/10.1007/s41982-017-0004-4</w:t>
        </w:r>
      </w:hyperlink>
      <w:r>
        <w:t xml:space="preserve">.</w:t>
      </w:r>
    </w:p>
    <w:bookmarkEnd w:id="285"/>
    <w:bookmarkStart w:id="287"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6">
        <w:r>
          <w:rPr>
            <w:rStyle w:val="Hyperlink"/>
          </w:rPr>
          <w:t xml:space="preserve">https://doi.org/10.30861/9781841718309</w:t>
        </w:r>
      </w:hyperlink>
      <w:r>
        <w:t xml:space="preserve">.</w:t>
      </w:r>
    </w:p>
    <w:bookmarkEnd w:id="287"/>
    <w:bookmarkStart w:id="289"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8">
        <w:r>
          <w:rPr>
            <w:rStyle w:val="Hyperlink"/>
          </w:rPr>
          <w:t xml:space="preserve">https://doi.org/10.1016/j.jhevol.2011.06.005</w:t>
        </w:r>
      </w:hyperlink>
      <w:r>
        <w:t xml:space="preserve">.</w:t>
      </w:r>
    </w:p>
    <w:bookmarkEnd w:id="289"/>
    <w:bookmarkStart w:id="291"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0">
        <w:r>
          <w:rPr>
            <w:rStyle w:val="Hyperlink"/>
          </w:rPr>
          <w:t xml:space="preserve">https://doi.org/10.1002/jqs.3236</w:t>
        </w:r>
      </w:hyperlink>
      <w:r>
        <w:t xml:space="preserve">.</w:t>
      </w:r>
    </w:p>
    <w:bookmarkEnd w:id="291"/>
    <w:bookmarkStart w:id="292"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2"/>
    <w:bookmarkStart w:id="294"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3">
        <w:r>
          <w:rPr>
            <w:rStyle w:val="Hyperlink"/>
          </w:rPr>
          <w:t xml:space="preserve">https://doi.org/10.1007/978-3-211-49294-9_4</w:t>
        </w:r>
      </w:hyperlink>
      <w:r>
        <w:t xml:space="preserve">.</w:t>
      </w:r>
    </w:p>
    <w:bookmarkEnd w:id="294"/>
    <w:bookmarkStart w:id="296"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5">
        <w:r>
          <w:rPr>
            <w:rStyle w:val="Hyperlink"/>
          </w:rPr>
          <w:t xml:space="preserve">https://doi.org/10.1038/nature03585</w:t>
        </w:r>
      </w:hyperlink>
      <w:r>
        <w:t xml:space="preserve">.</w:t>
      </w:r>
    </w:p>
    <w:bookmarkEnd w:id="296"/>
    <w:bookmarkStart w:id="29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7">
        <w:r>
          <w:rPr>
            <w:rStyle w:val="Hyperlink"/>
          </w:rPr>
          <w:t xml:space="preserve">https://doi.org/10.1007/s41982-025-00246-x</w:t>
        </w:r>
      </w:hyperlink>
      <w:r>
        <w:t xml:space="preserve">.</w:t>
      </w:r>
    </w:p>
    <w:bookmarkEnd w:id="298"/>
    <w:bookmarkStart w:id="300"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9">
        <w:r>
          <w:rPr>
            <w:rStyle w:val="Hyperlink"/>
          </w:rPr>
          <w:t xml:space="preserve">https://doi.org/10.1088/1742-5468/2008/10/P10008</w:t>
        </w:r>
      </w:hyperlink>
      <w:r>
        <w:t xml:space="preserve">.</w:t>
      </w:r>
    </w:p>
    <w:bookmarkEnd w:id="300"/>
    <w:bookmarkStart w:id="302"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01">
        <w:r>
          <w:rPr>
            <w:rStyle w:val="Hyperlink"/>
          </w:rPr>
          <w:t xml:space="preserve">https://doi.org/10.1103/PhysRevE.69.026113</w:t>
        </w:r>
      </w:hyperlink>
      <w:r>
        <w:t xml:space="preserve">.</w:t>
      </w:r>
    </w:p>
    <w:bookmarkEnd w:id="302"/>
    <w:bookmarkStart w:id="304"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3">
        <w:r>
          <w:rPr>
            <w:rStyle w:val="Hyperlink"/>
          </w:rPr>
          <w:t xml:space="preserve">https://doi.org/10.1016/j.socnet.2020.11.005</w:t>
        </w:r>
      </w:hyperlink>
      <w:r>
        <w:t xml:space="preserve">.</w:t>
      </w:r>
    </w:p>
    <w:bookmarkEnd w:id="304"/>
    <w:bookmarkStart w:id="306"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5">
        <w:r>
          <w:rPr>
            <w:rStyle w:val="Hyperlink"/>
          </w:rPr>
          <w:t xml:space="preserve">https://doi.org/10.1198/108571102320</w:t>
        </w:r>
      </w:hyperlink>
      <w:r>
        <w:t xml:space="preserve">.</w:t>
      </w:r>
    </w:p>
    <w:bookmarkEnd w:id="306"/>
    <w:bookmarkStart w:id="308"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7">
        <w:r>
          <w:rPr>
            <w:rStyle w:val="Hyperlink"/>
          </w:rPr>
          <w:t xml:space="preserve">https://doi.org/10.1007/s11258-006-9126-3</w:t>
        </w:r>
      </w:hyperlink>
      <w:r>
        <w:t xml:space="preserve">.</w:t>
      </w:r>
    </w:p>
    <w:bookmarkEnd w:id="308"/>
    <w:bookmarkStart w:id="310"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9">
        <w:r>
          <w:rPr>
            <w:rStyle w:val="Hyperlink"/>
          </w:rPr>
          <w:t xml:space="preserve">https://doi.org/10.1023/A:1023949509487</w:t>
        </w:r>
      </w:hyperlink>
      <w:r>
        <w:t xml:space="preserve">.</w:t>
      </w:r>
    </w:p>
    <w:bookmarkEnd w:id="310"/>
    <w:bookmarkStart w:id="312"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1">
        <w:r>
          <w:rPr>
            <w:rStyle w:val="Hyperlink"/>
          </w:rPr>
          <w:t xml:space="preserve">https://doi.org/10.48550/arXiv.1602.07587</w:t>
        </w:r>
      </w:hyperlink>
      <w:r>
        <w:t xml:space="preserve">.</w:t>
      </w:r>
    </w:p>
    <w:bookmarkEnd w:id="312"/>
    <w:bookmarkStart w:id="314"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13">
        <w:r>
          <w:rPr>
            <w:rStyle w:val="Hyperlink"/>
          </w:rPr>
          <w:t xml:space="preserve">https://doi.org/10.1007/BF01908075</w:t>
        </w:r>
      </w:hyperlink>
      <w:r>
        <w:t xml:space="preserve">.</w:t>
      </w:r>
    </w:p>
    <w:bookmarkEnd w:id="314"/>
    <w:bookmarkStart w:id="316"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5">
        <w:r>
          <w:rPr>
            <w:rStyle w:val="Hyperlink"/>
          </w:rPr>
          <w:t xml:space="preserve">https://doi.org/10.1080/01621459.2022.2116331</w:t>
        </w:r>
      </w:hyperlink>
      <w:r>
        <w:t xml:space="preserve">.</w:t>
      </w:r>
    </w:p>
    <w:bookmarkEnd w:id="316"/>
    <w:bookmarkStart w:id="318"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7">
        <w:r>
          <w:rPr>
            <w:rStyle w:val="Hyperlink"/>
          </w:rPr>
          <w:t xml:space="preserve">https://doi.org/10.1093/biostatistics/kxac047</w:t>
        </w:r>
      </w:hyperlink>
      <w:r>
        <w:t xml:space="preserve">.</w:t>
      </w:r>
    </w:p>
    <w:bookmarkEnd w:id="318"/>
    <w:bookmarkStart w:id="320"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9">
        <w:r>
          <w:rPr>
            <w:rStyle w:val="Hyperlink"/>
          </w:rPr>
          <w:t xml:space="preserve">https://doi.org/10.2307/2529826</w:t>
        </w:r>
      </w:hyperlink>
      <w:r>
        <w:t xml:space="preserve">.</w:t>
      </w:r>
    </w:p>
    <w:bookmarkEnd w:id="320"/>
    <w:bookmarkStart w:id="322"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1">
        <w:r>
          <w:rPr>
            <w:rStyle w:val="Hyperlink"/>
          </w:rPr>
          <w:t xml:space="preserve">https://doi.org/10.1093/bioinformatics/btw438</w:t>
        </w:r>
      </w:hyperlink>
      <w:r>
        <w:t xml:space="preserve">.</w:t>
      </w:r>
    </w:p>
    <w:bookmarkEnd w:id="322"/>
    <w:bookmarkStart w:id="324"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23">
        <w:r>
          <w:rPr>
            <w:rStyle w:val="Hyperlink"/>
          </w:rPr>
          <w:t xml:space="preserve">https://doi.org/10.1890/11-1952.1</w:t>
        </w:r>
      </w:hyperlink>
      <w:r>
        <w:t xml:space="preserve">.</w:t>
      </w:r>
    </w:p>
    <w:bookmarkEnd w:id="324"/>
    <w:bookmarkStart w:id="326"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5">
        <w:r>
          <w:rPr>
            <w:rStyle w:val="Hyperlink"/>
          </w:rPr>
          <w:t xml:space="preserve">https://doi.org/10.1046/j.1461-0248.2001.00230.x</w:t>
        </w:r>
      </w:hyperlink>
      <w:r>
        <w:t xml:space="preserve">.</w:t>
      </w:r>
    </w:p>
    <w:bookmarkEnd w:id="326"/>
    <w:bookmarkStart w:id="328"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7">
        <w:r>
          <w:rPr>
            <w:rStyle w:val="Hyperlink"/>
          </w:rPr>
          <w:t xml:space="preserve">https://doi.org/10.1111/2041-210X.12613</w:t>
        </w:r>
      </w:hyperlink>
      <w:r>
        <w:t xml:space="preserve">.</w:t>
      </w:r>
    </w:p>
    <w:bookmarkEnd w:id="328"/>
    <w:bookmarkStart w:id="330"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9">
        <w:r>
          <w:rPr>
            <w:rStyle w:val="Hyperlink"/>
          </w:rPr>
          <w:t xml:space="preserve">https://doi.org/10.1007/978-0-387-21706-2</w:t>
        </w:r>
      </w:hyperlink>
      <w:r>
        <w:t xml:space="preserve">.</w:t>
      </w:r>
    </w:p>
    <w:bookmarkEnd w:id="330"/>
    <w:bookmarkStart w:id="332"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1">
        <w:r>
          <w:rPr>
            <w:rStyle w:val="Hyperlink"/>
          </w:rPr>
          <w:t xml:space="preserve">https://doi.org/10.1073/pnas.2520385123</w:t>
        </w:r>
      </w:hyperlink>
      <w:r>
        <w:t xml:space="preserve">.</w:t>
      </w:r>
    </w:p>
    <w:bookmarkEnd w:id="332"/>
    <w:bookmarkStart w:id="334"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33">
        <w:r>
          <w:rPr>
            <w:rStyle w:val="Hyperlink"/>
          </w:rPr>
          <w:t xml:space="preserve">https://doi.org/10.1198/000313001300339897</w:t>
        </w:r>
      </w:hyperlink>
      <w:r>
        <w:t xml:space="preserve">.</w:t>
      </w:r>
    </w:p>
    <w:bookmarkEnd w:id="334"/>
    <w:bookmarkStart w:id="336" w:name="ref-Cohen_1992"/>
    <w:p>
      <w:pPr>
        <w:pStyle w:val="Bibliography"/>
      </w:pPr>
      <w:r>
        <w:t xml:space="preserve">[30]</w:t>
      </w:r>
      <w:r>
        <w:t xml:space="preserve"> </w:t>
      </w:r>
      <w:r>
        <w:t xml:space="preserve">	</w:t>
      </w:r>
      <w:r>
        <w:t xml:space="preserve">Cohen J. A power primer. Psychological Bulletin 1992;112:155–9.</w:t>
      </w:r>
      <w:r>
        <w:t xml:space="preserve"> </w:t>
      </w:r>
      <w:hyperlink r:id="rId335">
        <w:r>
          <w:rPr>
            <w:rStyle w:val="Hyperlink"/>
          </w:rPr>
          <w:t xml:space="preserve">https://doi.org/10.1037/0033-2909.112.1.155</w:t>
        </w:r>
      </w:hyperlink>
      <w:r>
        <w:t xml:space="preserve">.</w:t>
      </w:r>
    </w:p>
    <w:bookmarkEnd w:id="336"/>
    <w:bookmarkStart w:id="338"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7">
        <w:r>
          <w:rPr>
            <w:rStyle w:val="Hyperlink"/>
          </w:rPr>
          <w:t xml:space="preserve">https://doi.org/10.1111/2041-210X.12425</w:t>
        </w:r>
      </w:hyperlink>
      <w:r>
        <w:t xml:space="preserve">.</w:t>
      </w:r>
    </w:p>
    <w:bookmarkEnd w:id="338"/>
    <w:bookmarkStart w:id="340"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9">
        <w:r>
          <w:rPr>
            <w:rStyle w:val="Hyperlink"/>
          </w:rPr>
          <w:t xml:space="preserve">https://doi.org/10.1111/2041-210X.12018</w:t>
        </w:r>
      </w:hyperlink>
      <w:r>
        <w:t xml:space="preserve">.</w:t>
      </w:r>
    </w:p>
    <w:bookmarkEnd w:id="340"/>
    <w:bookmarkStart w:id="342"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41">
        <w:r>
          <w:rPr>
            <w:rStyle w:val="Hyperlink"/>
          </w:rPr>
          <w:t xml:space="preserve">https://doi.org/10.1890/12-2010.1</w:t>
        </w:r>
      </w:hyperlink>
      <w:r>
        <w:t xml:space="preserve">.</w:t>
      </w:r>
    </w:p>
    <w:bookmarkEnd w:id="342"/>
    <w:bookmarkEnd w:id="343"/>
    <w:bookmarkEnd w:id="344"/>
    <w:bookmarkEnd w:id="34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199" Target="media/rId199.png" /><Relationship Type="http://schemas.openxmlformats.org/officeDocument/2006/relationships/image" Id="rId208" Target="media/rId208.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71" Target="media/rId271.png" /><Relationship Type="http://schemas.openxmlformats.org/officeDocument/2006/relationships/image" Id="rId238" Target="media/rId238.png" /><Relationship Type="http://schemas.openxmlformats.org/officeDocument/2006/relationships/image" Id="rId230" Target="media/rId230.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2026-09-07T05:26:06Z</dcterms:created>
  <dcterms:modified xsi:type="dcterms:W3CDTF">2026-09-07T05:26:06Z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