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in Mantel tests, although a trend-surface analysis detected a weak east–west gradient in the earlier phase, and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41,500-year-old decorated ivory pendant from Stajnia Cave</w:t>
      </w:r>
      <w:r>
        <w:t xml:space="preserve"> </w:t>
      </w:r>
      <w:r>
        <w:t xml:space="preserve">[11]</w:t>
      </w:r>
      <w:r>
        <w:t xml:space="preserve">, provide direct evidence of symbolic behavior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nine cultural groups arranged from east to west</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 Baker et al.</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 Vanhaeren and d’Errico</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 Doyon</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 Sauvet et al.</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 Sauvet et al.</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we use seriation and network analysis, with extensive sensitivity and validation analyses, to evaluate whether geometric-sign repertoires identify geographically structured cultural groups in the Aurignacian period, and whether these groups change over time.</w:t>
      </w:r>
    </w:p>
    <w:bookmarkEnd w:id="21"/>
    <w:bookmarkStart w:id="22"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 Schmidt and Zimmermann</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Banks et al.</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Heinrich Stadial 4 (HS4), which is characterized by dry and arid conditions, and ends with GI 8.</w:t>
      </w:r>
    </w:p>
    <w:p>
      <w:pPr>
        <w:pStyle w:val="BodyText"/>
      </w:pPr>
      <w:r>
        <w:t xml:space="preserve">We adopt the two-phase framework (Aur-P1/Aur-P2) of Schmidt and Zimmermann</w:t>
      </w:r>
      <w:r>
        <w:t xml:space="preserve"> </w:t>
      </w:r>
      <w:r>
        <w:t xml:space="preserve">[21]</w:t>
      </w:r>
      <w:r>
        <w:t xml:space="preserve"> </w:t>
      </w:r>
      <w:r>
        <w:t xml:space="preserve">and Shao et al.</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(ca. 43–37.8 ka cal BP) and treat the Evolved/Late Aurignacian as Aur-P2 (ca. 37.8–32 ka cal BP), following the two-phase scheme of Shao et al.</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assemblages assigned to the Proto- and Early Aurignacian may be contemporaneous</w:t>
      </w:r>
      <w:r>
        <w:t xml:space="preserve"> </w:t>
      </w:r>
      <w:r>
        <w:t xml:space="preserve">[21,23,24]</w:t>
      </w:r>
      <w:r>
        <w:t xml:space="preserve">.</w:t>
      </w:r>
    </w:p>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2"/>
    <w:bookmarkStart w:id="25"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 Dutkiewicz et al.</w:t>
      </w:r>
      <w:r>
        <w:t xml:space="preserve"> </w:t>
      </w:r>
      <w:r>
        <w:t xml:space="preserve">[10]</w:t>
      </w:r>
      <w:r>
        <w:t xml:space="preserve"> </w:t>
      </w:r>
      <w:r>
        <w:t xml:space="preserve">as</w:t>
      </w:r>
      <w:r>
        <w:t xml:space="preserve"> </w:t>
      </w:r>
      <w:r>
        <w:t xml:space="preserve">“</w:t>
      </w:r>
      <w:r>
        <w:t xml:space="preserve">other</w:t>
      </w:r>
      <w:r>
        <w:t xml:space="preserve">”</w:t>
      </w:r>
      <w:r>
        <w:t xml:space="preserve">. One further sign type (rectangle) occurs only at Abri de Laussel, a site that leaves the sample at the date-parsing step (S2 File), so it is absent from the analysed sample. To improve the quality of our data, we excluded eight sites before phase assignment: Willendorf, because its single object carries only a sign classified as</w:t>
      </w:r>
      <w:r>
        <w:t xml:space="preserve"> </w:t>
      </w:r>
      <w:r>
        <w:t xml:space="preserve">“</w:t>
      </w:r>
      <w:r>
        <w:t xml:space="preserve">other</w:t>
      </w:r>
      <w:r>
        <w:t xml:space="preserve">”</w:t>
      </w:r>
      <w:r>
        <w:t xml:space="preserve">; Riparo di Fontana Nuova, Muralovka, Shanidar Cave and Hayonim Cave, because they are geographically remote from the other sites; El Salitre, because it lacks a reliable chronological and archaeological context; and Grotte De La Princesse Pauline and Šandalja II, because they date much later than the other assemblages. A full accounting of how we excluded archaeological sites and assigned sites to Aurignacian phases is presented in S2 File; date-parsing attrition counts are in S1 File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 1</w:t>
        </w:r>
      </w:hyperlink>
      <w:r>
        <w:t xml:space="preserve">).</w:t>
      </w:r>
    </w:p>
    <w:bookmarkStart w:id="23" w:name="fig-site-map"/>
    <w:p>
      <w:pPr>
        <w:pStyle w:val="BodyText"/>
      </w:pPr>
      <w:r>
        <w:rPr>
          <w:bCs/>
          <w:b/>
        </w:rPr>
        <w:t xml:space="preserve">Fig 1. Sites, ages and object counts for the two Aurignacian phases.</w:t>
      </w:r>
      <w:r>
        <w:t xml:space="preserve"> </w:t>
      </w:r>
      <w:r>
        <w:t xml:space="preserve">A: Map of sites in each Aurignacian phase that contain geometric signs on mobile objects. B: Abundance of sign-bearing objects over time, phases indicated by colours. C: Distribution of object count by site, phases indicated by colours. Map data from naturalearthdata.com</w:t>
      </w:r>
      <w:r>
        <w:t xml:space="preserve"> </w:t>
      </w:r>
      <w:r>
        <w:t xml:space="preserve">[25,26]</w:t>
      </w:r>
    </w:p>
    <w:bookmarkEnd w:id="23"/>
    <w:p>
      <w:pPr>
        <w:pStyle w:val="BodyText"/>
      </w:pPr>
      <w:r>
        <w:t xml:space="preserve">We assigned each object to a chronological phase in one of two ways (S2 File). For Abri Pataud, Gatzarria, Geissenklösterle, Hohle Fels, La Ferrassie, Mladeč and Vogelherd, we followed specialist technological attributions in the published literature, because the radiocarbon dates of these sites can conflict with the archaeological content of their layers. We assigned the objects from all other sites by their calibrated radiocarbon dates (</w:t>
      </w:r>
      <w:hyperlink w:anchor="tbl-aur-table">
        <w:r>
          <w:rPr>
            <w:rStyle w:val="Hyperlink"/>
          </w:rPr>
          <w:t xml:space="preserve">Table 1</w:t>
        </w:r>
      </w:hyperlink>
      <w:r>
        <w:t xml:space="preserve">). Operationally, we used the phase boundaries of Banks et al.</w:t>
      </w:r>
      <w:r>
        <w:t xml:space="preserve"> </w:t>
      </w:r>
      <w:r>
        <w:t xml:space="preserve">[22]</w:t>
      </w:r>
      <w:r>
        <w:t xml:space="preserve">: objects with calibrated median ages above 39,799 cal BP are Proto-Aurignacian, 37,800–39,799 cal BP are Early Aurignacian, and 32,000–37,799 cal BP are Evolved/Late Aurignacian. The effective boundary between Aur-P1 and Aur-P2 is therefore 37,800 cal BP, not exactly 37,000 cal BP (S2 File). Shifting this boundary by up to 1,000 years does not change our conclusions (S1 File §</w:t>
      </w:r>
      <w:r>
        <w:t xml:space="preserve">S1.5.4</w:t>
      </w:r>
      <w:r>
        <w:t xml:space="preserve">). Ages of the objects were determined by calibrating the uncalibrated ages in SignBase using the rcarbon package</w:t>
      </w:r>
      <w:r>
        <w:t xml:space="preserve"> </w:t>
      </w:r>
      <w:r>
        <w:t xml:space="preserve">[27]</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on all 409 objects found a weak but statistically significant correlation between distance in time and sign-type composition (R = 0.062, p = 0.005). This test treats each object as an independent observation. But many objects from the same site share one calibrated date, so the test overstates the number of independent observations (S1 File §</w:t>
      </w:r>
      <w:r>
        <w:t xml:space="preserve">S1.8.3</w:t>
      </w:r>
      <w:r>
        <w:t xml:space="preserve">). The small R also shows that temporal distance explains only a small part of the variation in sign-type composition. We therefore repeated the test at the site level with a time-lag analysis (S1 File §</w:t>
      </w:r>
      <w:r>
        <w:t xml:space="preserve">S1.8.3</w:t>
      </w:r>
      <w:r>
        <w:t xml:space="preserve">). We grouped all 28 sites (378 site pairs) by their absolute temporal separation (|ΔMedianBP|) and tested whether Jaccard sign dissimilarity increases with this separation. It does not. The Spearman correlation between temporal separation and dissimilarity is -0.04 (p = 0.39) for all pairs and -0.04 (p = 0.58) for pairs in the same phase. Sites in different phases are not more dissimilar (mean Jaccard 0.73) than sites in the same phase (0.76). Thus the site-level data give no evidence of time-structured change in sign repertoires. This result does not show that change was absent.</w:t>
      </w:r>
    </w:p>
    <w:bookmarkStart w:id="24" w:name="tbl-aur-table"/>
    <w:p>
      <w:pPr>
        <w:pStyle w:val="BodyText"/>
      </w:pPr>
      <w:r>
        <w:rPr>
          <w:bCs/>
          <w:b/>
        </w:rPr>
        <w:t xml:space="preserve">Table 1. Summary of chronological, cultural and environmental characteristics of Aurignacian periods.</w:t>
      </w:r>
    </w:p>
    <w:bookmarkEnd w:id="24"/>
    <w:tbl>
      <w:tblPr>
        <w:tblStyle w:val="Table"/>
        <w:tblW w:type="pct" w:w="5000"/>
        <w:tblLook w:firstRow="1" w:lastRow="0" w:firstColumn="0" w:lastColumn="0" w:noHBand="0" w:noVBand="0" w:val="0020"/>
        <w:jc w:val="start"/>
        <w:tblLayout w:type="fixed"/>
      </w:tblPr>
      <w:tblGrid>
        <w:gridCol w:w="1425"/>
        <w:gridCol w:w="1267"/>
        <w:gridCol w:w="3168"/>
        <w:gridCol w:w="2059"/>
      </w:tblGrid>
      <w:tr>
        <w:trPr>
          <w:tblHeader w:val="true"/>
        </w:trPr>
        <w:tc>
          <w:tcPr/>
          <w:p>
            <w:pPr>
              <w:pStyle w:val="Compact"/>
              <w:jc w:val="left"/>
            </w:pPr>
            <w:r>
              <w:t xml:space="preserve">Time Period Name</w:t>
            </w:r>
          </w:p>
        </w:tc>
        <w:tc>
          <w:tcPr/>
          <w:p>
            <w:pPr>
              <w:pStyle w:val="Compact"/>
              <w:jc w:val="left"/>
            </w:pPr>
            <w:r>
              <w:t xml:space="preserve">Dates (ka cal BP)</w:t>
            </w:r>
          </w:p>
        </w:tc>
        <w:tc>
          <w:tcPr/>
          <w:p>
            <w:pPr>
              <w:pStyle w:val="Compact"/>
              <w:jc w:val="left"/>
            </w:pPr>
            <w:r>
              <w:t xml:space="preserve">Material Culture Markers</w:t>
            </w:r>
          </w:p>
        </w:tc>
        <w:tc>
          <w:tcPr/>
          <w:p>
            <w:pPr>
              <w:pStyle w:val="Compact"/>
              <w:jc w:val="left"/>
            </w:pPr>
            <w:r>
              <w:t xml:space="preserve">Environmental Context</w:t>
            </w:r>
          </w:p>
        </w:tc>
      </w:tr>
      <w:tr>
        <w:tc>
          <w:tcPr/>
          <w:p>
            <w:pPr>
              <w:pStyle w:val="Compact"/>
              <w:jc w:val="left"/>
            </w:pPr>
            <w:r>
              <w:t xml:space="preserve">Aur-P1 (Proto/Early)</w:t>
            </w:r>
          </w:p>
        </w:tc>
        <w:tc>
          <w:tcPr/>
          <w:p>
            <w:pPr>
              <w:pStyle w:val="Compact"/>
              <w:jc w:val="left"/>
            </w:pPr>
            <w:r>
              <w:t xml:space="preserve">43 - 37.8</w:t>
            </w:r>
          </w:p>
        </w:tc>
        <w:tc>
          <w:tcPr/>
          <w:p>
            <w:pPr>
              <w:pStyle w:val="Compact"/>
              <w:jc w:val="left"/>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pPr>
            <w:r>
              <w:t xml:space="preserve">Starts at Greenland Stadial 12, ends at Greenland Interstadial 8</w:t>
            </w:r>
          </w:p>
        </w:tc>
      </w:tr>
      <w:tr>
        <w:tc>
          <w:tcPr/>
          <w:p>
            <w:pPr>
              <w:pStyle w:val="Compact"/>
              <w:jc w:val="left"/>
            </w:pPr>
            <w:r>
              <w:t xml:space="preserve">Aur-P2 (Evolved/Late)</w:t>
            </w:r>
          </w:p>
        </w:tc>
        <w:tc>
          <w:tcPr/>
          <w:p>
            <w:pPr>
              <w:pStyle w:val="Compact"/>
              <w:jc w:val="left"/>
            </w:pPr>
            <w:r>
              <w:t xml:space="preserve">37.8 - 32</w:t>
            </w:r>
          </w:p>
        </w:tc>
        <w:tc>
          <w:tcPr/>
          <w:p>
            <w:pPr>
              <w:pStyle w:val="Compact"/>
              <w:jc w:val="left"/>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pPr>
            <w:r>
              <w:t xml:space="preserve">GI 8 - 6</w:t>
            </w:r>
          </w:p>
        </w:tc>
      </w:tr>
    </w:tbl>
    <w:p>
      <w:pPr>
        <w:pStyle w:val="BodyText"/>
      </w:pPr>
      <w:r>
        <w:t xml:space="preserve">The data in this table come from</w:t>
      </w:r>
      <w:r>
        <w:t xml:space="preserve"> </w:t>
      </w:r>
      <w:r>
        <w:t xml:space="preserve">[12,14,22,28]</w:t>
      </w:r>
      <w:r>
        <w:t xml:space="preserve">.</w:t>
      </w:r>
    </w:p>
    <w:bookmarkEnd w:id="25"/>
    <w:bookmarkStart w:id="29"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 1</w:t>
        </w:r>
      </w:hyperlink>
      <w:r>
        <w:t xml:space="preserve"> </w:t>
      </w:r>
      <w:r>
        <w:t xml:space="preserve">C. To minimize the influence of this skewed distribution, we followed Lycett</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 This result concerns pairwise composition only. It does not remove the separate correlation between object count and sign-type richness per site.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File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Neither phase has a statistically significant positive correlation between sign-type dissimilarity and geographic distance (</w:t>
      </w:r>
      <w:hyperlink w:anchor="tbl-mantel-table">
        <w:r>
          <w:rPr>
            <w:rStyle w:val="Hyperlink"/>
          </w:rPr>
          <w:t xml:space="preserve">Table 2</w:t>
        </w:r>
      </w:hyperlink>
      <w:r>
        <w:t xml:space="preserve">). In Aur-P2 the correlation is negative: sites that are further apart tend to have more similar sign repertoires, which is the opposite of the pattern that isolation by distance predicts. The Mantel test is one-sided, so it does not test this negative association. This result provides no evidence of isolation by distance in the analysed sample. It does not show that isolation by distance is absent. The object-within-site bootstrap intervals in</w:t>
      </w:r>
      <w:r>
        <w:t xml:space="preserve"> </w:t>
      </w:r>
      <w:hyperlink w:anchor="tbl-mantel-table">
        <w:r>
          <w:rPr>
            <w:rStyle w:val="Hyperlink"/>
          </w:rPr>
          <w:t xml:space="preserve">Table 2</w:t>
        </w:r>
      </w:hyperlink>
      <w:r>
        <w:t xml:space="preserve"> </w:t>
      </w:r>
      <w:r>
        <w:t xml:space="preserve">show only how stable R is when objects are resampled within the same sites; they do not measure statistical power. Our design calculations show that, at these sample sizes, the test can detect only correlations of moderate size or larger in Aur-P1, and only strong correlations in Aur-P2 (S1 File §</w:t>
      </w:r>
      <w:r>
        <w:t xml:space="preserve">S1.13</w:t>
      </w:r>
      <w:r>
        <w:t xml:space="preserve">). We also fitted a multiple regression on distance matrices, with sign dissimilarity as the response and geographic, temporal and object-count distances as predictors (S1 File §</w:t>
      </w:r>
      <w:r>
        <w:t xml:space="preserve">S1.8.2</w:t>
      </w:r>
      <w:r>
        <w:t xml:space="preserve">). None of the three predictors is significant in either phase, so this analysis does not identify a specific alternative process. A Mantel correlogram did not detect spatial structure at short distances in either phase; one long-distance class in Aur-P2 is nominally significant (S1 File §</w:t>
      </w:r>
      <w:r>
        <w:t xml:space="preserve">S1.4.3</w:t>
      </w:r>
      <w:r>
        <w:t xml:space="preserve">). As a check outside the Mantel framework, we fitted a distance-based redundancy analysis</w:t>
      </w:r>
      <w:r>
        <w:t xml:space="preserve"> </w:t>
      </w:r>
      <w:r>
        <w:t xml:space="preserve">[33]</w:t>
      </w:r>
      <w:r>
        <w:t xml:space="preserve"> </w:t>
      </w:r>
      <w:r>
        <w:t xml:space="preserve">of the site Jaccard dissimilarity matrix on a linear geographic trend surface (longitude + latitude, with the same specification in both phases; S1 File §</w:t>
      </w:r>
      <w:r>
        <w:t xml:space="preserve">S1.4.4</w:t>
      </w:r>
      <w:r>
        <w:t xml:space="preserve">). It detects a weak linear geographic trend in Aur-P1 (R² = 0.156, adjusted R² = 0.057, p = 0.038) but no signal in Aur-P2 (R² = 0.191, adjusted R² = -0.078, p = 0.85). The Aur-P1 trend explains only 6% of the variation (adjusted R²). A regression of the first PCoA axis on richness, longitude and latitude also finds a significant east–west component in Aur-P1 after richness is controlled (S1 File §</w:t>
      </w:r>
      <w:r>
        <w:t xml:space="preserve">S1.3.3</w:t>
      </w:r>
      <w:r>
        <w:t xml:space="preserve">). We interpret these results, at most, as a weak geographic gradient in Aur-P1, not as discrete geographic groups.</w:t>
      </w:r>
    </w:p>
    <w:bookmarkStart w:id="26" w:name="tbl-mantel-table"/>
    <w:p>
      <w:pPr>
        <w:pStyle w:val="BodyText"/>
      </w:pPr>
      <w:r>
        <w:rPr>
          <w:bCs/>
          <w:b/>
        </w:rPr>
        <w:t xml:space="preserve">Table 2. Mantel test results for sign-type dissimilarity and geographic distance in each phase.</w:t>
      </w:r>
    </w:p>
    <w:bookmarkEnd w:id="26"/>
    <w:tbl>
      <w:tblPr>
        <w:tblStyle w:val="Table"/>
        <w:tblW w:type="pct" w:w="5000"/>
        <w:tblLook w:firstRow="1" w:lastRow="0" w:firstColumn="0" w:lastColumn="0" w:noHBand="0" w:noVBand="0" w:val="0020"/>
        <w:jc w:val="start"/>
        <w:tblLayout w:type="fixed"/>
      </w:tblPr>
      <w:tblGrid>
        <w:gridCol w:w="2376"/>
        <w:gridCol w:w="1584"/>
        <w:gridCol w:w="1425"/>
        <w:gridCol w:w="2534"/>
      </w:tblGrid>
      <w:tr>
        <w:trPr>
          <w:tblHeader w:val="true"/>
        </w:trPr>
        <w:tc>
          <w:tcPr/>
          <w:p>
            <w:pPr>
              <w:pStyle w:val="Compact"/>
              <w:jc w:val="left"/>
            </w:pPr>
            <w:r>
              <w:t xml:space="preserve">Aurignacian phase</w:t>
            </w:r>
          </w:p>
        </w:tc>
        <w:tc>
          <w:tcPr/>
          <w:p>
            <w:pPr>
              <w:pStyle w:val="Compact"/>
              <w:jc w:val="left"/>
            </w:pPr>
            <w:r>
              <w:t xml:space="preserve">Mantel R</w:t>
            </w:r>
          </w:p>
        </w:tc>
        <w:tc>
          <w:tcPr/>
          <w:p>
            <w:pPr>
              <w:pStyle w:val="Compact"/>
              <w:jc w:val="left"/>
            </w:pPr>
            <w:r>
              <w:t xml:space="preserve">Mantel p</w:t>
            </w:r>
          </w:p>
        </w:tc>
        <w:tc>
          <w:tcPr/>
          <w:p>
            <w:pPr>
              <w:pStyle w:val="Compact"/>
              <w:jc w:val="left"/>
            </w:pPr>
            <w:r>
              <w:t xml:space="preserve">Mantel 95% CI</w:t>
            </w:r>
          </w:p>
        </w:tc>
      </w:tr>
      <w:tr>
        <w:tc>
          <w:tcPr/>
          <w:p>
            <w:pPr>
              <w:pStyle w:val="Compact"/>
              <w:jc w:val="left"/>
            </w:pPr>
            <w:r>
              <w:t xml:space="preserve">Aur-P1</w:t>
            </w:r>
          </w:p>
        </w:tc>
        <w:tc>
          <w:tcPr/>
          <w:p>
            <w:pPr>
              <w:pStyle w:val="Compact"/>
              <w:jc w:val="left"/>
            </w:pPr>
            <w:r>
              <w:t xml:space="preserve">0.046</w:t>
            </w:r>
          </w:p>
        </w:tc>
        <w:tc>
          <w:tcPr/>
          <w:p>
            <w:pPr>
              <w:pStyle w:val="Compact"/>
              <w:jc w:val="left"/>
            </w:pPr>
            <w:r>
              <w:t xml:space="preserve">0.301</w:t>
            </w:r>
          </w:p>
        </w:tc>
        <w:tc>
          <w:tcPr/>
          <w:p>
            <w:pPr>
              <w:pStyle w:val="Compact"/>
              <w:jc w:val="left"/>
            </w:pPr>
            <w:r>
              <w:t xml:space="preserve">[-0.022, 0.086]</w:t>
            </w:r>
          </w:p>
        </w:tc>
      </w:tr>
      <w:tr>
        <w:tc>
          <w:tcPr/>
          <w:p>
            <w:pPr>
              <w:pStyle w:val="Compact"/>
              <w:jc w:val="left"/>
            </w:pPr>
            <w:r>
              <w:t xml:space="preserve">Aur-P2</w:t>
            </w:r>
          </w:p>
        </w:tc>
        <w:tc>
          <w:tcPr/>
          <w:p>
            <w:pPr>
              <w:pStyle w:val="Compact"/>
              <w:jc w:val="left"/>
            </w:pPr>
            <w:r>
              <w:t xml:space="preserve">-0.299</w:t>
            </w:r>
          </w:p>
        </w:tc>
        <w:tc>
          <w:tcPr/>
          <w:p>
            <w:pPr>
              <w:pStyle w:val="Compact"/>
              <w:jc w:val="left"/>
            </w:pPr>
            <w:r>
              <w:t xml:space="preserve">0.933</w:t>
            </w:r>
          </w:p>
        </w:tc>
        <w:tc>
          <w:tcPr/>
          <w:p>
            <w:pPr>
              <w:pStyle w:val="Compact"/>
              <w:jc w:val="left"/>
            </w:pPr>
            <w:r>
              <w:t xml:space="preserve">[-0.355, -0.231]</w:t>
            </w:r>
          </w:p>
        </w:tc>
      </w:tr>
    </w:tbl>
    <w:p>
      <w:pPr>
        <w:pStyle w:val="BodyText"/>
      </w:pPr>
      <w:r>
        <w:t xml:space="preserve">The Mantel test compares a Jaccard dissimilarity matrix of sign type composition with a geographic distance matrix. The 95% confidence interval comes from an object-within-site bootstrap (B = 1,000).</w:t>
      </w:r>
    </w:p>
    <w:bookmarkStart w:id="27"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(S1 File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27"/>
    <w:bookmarkStart w:id="28"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cannot be presented as independent confirmation that the groups differ. Thus we interrogate these assignments with several additional cross-validation and permutation methods. These are described in our S1 File §</w:t>
      </w:r>
      <w:r>
        <w:t xml:space="preserve">S1.10</w:t>
      </w:r>
      <w:r>
        <w:t xml:space="preserve"> </w:t>
      </w:r>
      <w:r>
        <w:t xml:space="preserve">and §</w:t>
      </w:r>
      <w:r>
        <w:t xml:space="preserve">S1.10.3</w:t>
      </w:r>
      <w:r>
        <w:t xml:space="preserve"> </w:t>
      </w:r>
      <w:r>
        <w:t xml:space="preserve">and reported briefly below.</w:t>
      </w:r>
    </w:p>
    <w:bookmarkEnd w:id="28"/>
    <w:bookmarkEnd w:id="29"/>
    <w:bookmarkStart w:id="30"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0"/>
    <w:bookmarkStart w:id="38" w:name="results"/>
    <w:p>
      <w:pPr>
        <w:pStyle w:val="Heading1"/>
      </w:pPr>
      <w:r>
        <w:t xml:space="preserve">Results</w:t>
      </w:r>
    </w:p>
    <w:bookmarkStart w:id="35" w:name="X139fdd43ada6f49bb2732b513cbf3cc22c88790"/>
    <w:p>
      <w:pPr>
        <w:pStyle w:val="Heading2"/>
      </w:pPr>
      <w:r>
        <w:t xml:space="preserve">Detection of Groups Differentiated by Sign Repertoire</w:t>
      </w:r>
    </w:p>
    <w:p>
      <w:pPr>
        <w:pStyle w:val="FirstParagraph"/>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have wider repertoires (</w:t>
      </w:r>
      <w:hyperlink w:anchor="fig-seriation">
        <w:r>
          <w:rPr>
            <w:rStyle w:val="Hyperlink"/>
          </w:rPr>
          <w:t xml:space="preserve">Fig 2</w:t>
        </w:r>
      </w:hyperlink>
      <w:r>
        <w:t xml:space="preserve">). Hatching occurs at Bockstein-Törle and Hohle Fels, oblique notch (obnotch) at Bockstein-Törle and Trou Magrite, and cross at Trou Magrite and Hohle Fels. Dashline, dot, zigzag, v and circumspiral occur only at Hohle Fels. While inferring a two-group structure from the Aur-P1 seriation results seems straightforward, this is less clear for Aur-P2 where the partition rests on only 9 sites (S1 File §</w:t>
      </w:r>
      <w:r>
        <w:t xml:space="preserve">S1.13</w:t>
      </w:r>
      <w:r>
        <w:t xml:space="preserve">).</w:t>
      </w:r>
    </w:p>
    <w:bookmarkStart w:id="31" w:name="fig-seriation"/>
    <w:p>
      <w:pPr>
        <w:pStyle w:val="BodyText"/>
      </w:pPr>
      <w:r>
        <w:rPr>
          <w:bCs/>
          <w:b/>
        </w:rPr>
        <w:t xml:space="preserve">Fig 2. Brower-Kile seriation of geometric sign types for each phase.</w:t>
      </w:r>
      <w:r>
        <w:t xml:space="preserve"> </w:t>
      </w:r>
      <w:r>
        <w:t xml:space="preserve">Presence–absence matrices of geometric sign types reordered using Brower‑Kile seriation for (A) Aur-P1 and (B) Aur-P2 phases. Rows represent sites and columns represent sign types. Hypothesized site grouping indicated by colour: restricted group is in orange, broader group is in blue.</w:t>
      </w:r>
    </w:p>
    <w:bookmarkEnd w:id="31"/>
    <w:p>
      <w:pPr>
        <w:pStyle w:val="BodyText"/>
      </w:pPr>
      <w:r>
        <w:t xml:space="preserve">To quantitatively evaluate the two-group hypothesis inferred from the seriation analysis, we used bootstrap resampling and stochastic block models, which we describe in detail in S1 File §</w:t>
      </w:r>
      <w:r>
        <w:t xml:space="preserve">S1.9.2</w:t>
      </w:r>
      <w:r>
        <w:t xml:space="preserve"> </w:t>
      </w:r>
      <w:r>
        <w:t xml:space="preserve">and §</w:t>
      </w:r>
      <w:r>
        <w:t xml:space="preserve">S1.9.3</w:t>
      </w:r>
      <w:r>
        <w:t xml:space="preserve">. Bootstrap resampling tests the stability of the two groups. In each of 1,000 replicates, we drew 80% of the sites without replacement, divided them into two clusters by hierarchical clustering of their Jaccard dissimilarities, and recorded which pairs of sites fell in the same cluster (S1 File §</w:t>
      </w:r>
      <w:r>
        <w:t xml:space="preserve">S1.9.2</w:t>
      </w:r>
      <w:r>
        <w:t xml:space="preserve">).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when sites are subsampled.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File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all three models, most broad-range sites fall in one block and most restricted-range sites fall in other blocks. The Bernoulli and Gaussian models also place Labeko Koba, Les Cottés and Trou al’Wesse in a small separate block, and the Gaussian model divides the remaining restricted-range sites into two blocks. The Poisson model places Les Cottés and Trou al’Wesse in their own block, and places Grotte du Renne with the restricted-range sites (S1 File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File §</w:t>
      </w:r>
      <w:r>
        <w:t xml:space="preserve">S1.9.4</w:t>
      </w:r>
      <w:r>
        <w:t xml:space="preserve">). We therefore consider the restricted/broad division as a dominant axis of sign type composition variation (rich vs. poor sign repertoires), rather than a well-defined two-group partition.</w:t>
      </w:r>
    </w:p>
    <w:p>
      <w:pPr>
        <w:pStyle w:val="BodyText"/>
      </w:pPr>
      <w:r>
        <w:t xml:space="preserve">Distinct groups of sites are not evident in</w:t>
      </w:r>
      <w:r>
        <w:t xml:space="preserve"> </w:t>
      </w:r>
      <w:hyperlink w:anchor="fig-neighbor-net">
        <w:r>
          <w:rPr>
            <w:rStyle w:val="Hyperlink"/>
          </w:rPr>
          <w:t xml:space="preserve">Fig 3</w:t>
        </w:r>
      </w:hyperlink>
      <w:r>
        <w:t xml:space="preserve">, consistent with the hypothesis of a gradient of sign type composition variation.</w:t>
      </w:r>
      <w:r>
        <w:t xml:space="preserve"> </w:t>
      </w:r>
      <w:hyperlink w:anchor="fig-neighbor-net-stats">
        <w:r>
          <w:rPr>
            <w:rStyle w:val="Hyperlink"/>
          </w:rPr>
          <w:t xml:space="preserve">Fig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component count) differs significantly from its null distribution in either phase. All observed values fall within the null 95% confidence intervals and all Benjamini–Hochberg-adjusted p-values are ≥ 0.05. A separate one-sided test examines modularity alone (S1 File §</w:t>
      </w:r>
      <w:r>
        <w:t xml:space="preserve">S1.7.2</w:t>
      </w:r>
      <w:r>
        <w:t xml:space="preserve">). It compares the observed modularity of each phase with the modularity of random sets of site-phase assemblages, drawn from both phases, with the same number of sites as the phase. The observed modularity is not significantly higher than this null expectation in either phase at thresholds of 0.1, 0.2 or 0.3 (smallest p across the six tests = 0.226; threshold 0.2: Aur-P1 observed 0.336, null mean 0.299, p = 0.226; Aur-P2 observed 0.161, null mean 0.243, p = 0.752). The Aur-P1–Aur-P2 contrast is therefore primarily one of network scale rather than a statistically distinguishable community structure. Object-within-site bootstrap stability bands likewise overlap between phases for both mean degree and modularity (S1 File §</w:t>
      </w:r>
      <w:r>
        <w:t xml:space="preserve">S1.7.4</w:t>
      </w:r>
      <w:r>
        <w:t xml:space="preserve">), so the phase contrast could be produced by within-site object sampling alone.</w:t>
      </w:r>
    </w:p>
    <w:bookmarkStart w:id="32" w:name="fig-neighbor-net"/>
    <w:p>
      <w:pPr>
        <w:pStyle w:val="BodyText"/>
      </w:pPr>
      <w:r>
        <w:rPr>
          <w:bCs/>
          <w:b/>
        </w:rPr>
        <w:t xml:space="preserve">Fig 3. Networks of sites that share geometric sign types, for each phase.</w:t>
      </w:r>
      <w:r>
        <w:t xml:space="preserve"> </w:t>
      </w:r>
      <w:r>
        <w:t xml:space="preserve">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shows degree centrality (the number of edges at each site), and each panel has its own size key. Edge thickness shows similarity strength.</w:t>
      </w:r>
    </w:p>
    <w:bookmarkEnd w:id="32"/>
    <w:bookmarkStart w:id="33" w:name="fig-neighbor-net-stats"/>
    <w:p>
      <w:pPr>
        <w:pStyle w:val="BodyText"/>
      </w:pPr>
      <w:r>
        <w:rPr>
          <w:bCs/>
          <w:b/>
        </w:rPr>
        <w:t xml:space="preserve">Fig 4. Network statistics for the two phases.</w:t>
      </w:r>
      <w:r>
        <w:t xml:space="preserve"> </w:t>
      </w:r>
      <w:r>
        <w:t xml:space="preserve">The vertical black lines are the 95% interval of the null distribution,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33"/>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File §</w:t>
      </w:r>
      <w:r>
        <w:t xml:space="preserve">S1.5.5</w:t>
      </w:r>
      <w:r>
        <w:t xml:space="preserve"> </w:t>
      </w:r>
      <w:r>
        <w:t xml:space="preserve">and §</w:t>
      </w:r>
      <w:r>
        <w:t xml:space="preserve">S1.12.7</w:t>
      </w:r>
      <w:r>
        <w:t xml:space="preserve">). Under all three conditions, Aur-P1 keeps a higher raw mean degree than Aur-P2 (Aur-P1: 7.50 at baseline, 7.26 without Vogelherd, 7.40 without figurines, against 4.22 for Aur-P2 at baseline; under the date-based assignment the Aur-P1 mean degree rises and the Aur-P2 mean degree falls, so the ordering also holds; S1 File §</w:t>
      </w:r>
      <w:r>
        <w:t xml:space="preserve">S1.5.5</w:t>
      </w:r>
      <w:r>
        <w:t xml:space="preserve">). This raw difference comes from the larger number of sites in Aur-P1, not from higher connectivity: after correction for network size, the mean-degree ratios are close to 1.0 in both phases (S1 File §</w:t>
      </w:r>
      <w:r>
        <w:t xml:space="preserve">S1.7.6</w:t>
      </w:r>
      <w:r>
        <w:t xml:space="preserve">). Excluding Vogelherd removes 8% of the Aur-P1 edges and reduces the Aur-P1 mean degree by 3.2%, but it does not change the pattern of restricted and broad repertoires within each phase. Thus our conclusions do not depend on Vogelherd or on its precise archaeological attribution.</w:t>
      </w:r>
    </w:p>
    <w:p>
      <w:pPr>
        <w:pStyle w:val="BodyText"/>
      </w:pPr>
      <w:r>
        <w:t xml:space="preserve">Spatial clusters are not strongly evident (</w:t>
      </w:r>
      <w:hyperlink w:anchor="fig-group-map">
        <w:r>
          <w:rPr>
            <w:rStyle w:val="Hyperlink"/>
          </w:rPr>
          <w:t xml:space="preserve">Fig 5</w:t>
        </w:r>
      </w:hyperlink>
      <w:r>
        <w:t xml:space="preserve">), likely due to the small numbers of sites in each phase. In Aur-P1, sites are distributed widely across Western and Central Europe, with some geographic overlapping between the restricted- and broad-range groups, consistent with the connectivity between sign-use groups evident in the network analysis. Sites retained in the Aur-P2 sample appear more widely dispersed on the map. This appearance reflects the much smaller sample of this phase, so these data do not support a claim of demographic expansion. We also divided the sites into groups by location alone, with Partitioning Around Medoids (PAM) on the geodesic distances between sites (S1 File §</w:t>
      </w:r>
      <w:r>
        <w:t xml:space="preserve">S1.8.4</w:t>
      </w:r>
      <w:r>
        <w:t xml:space="preserve">). In Aur-P1, the two-group PAM solution separates western sites, mainly in the Dordogne, where many signs are on limestone blocks, from central European sites, mainly in the Swabian Jura, where many signs are on ivory objects. This geographic division does not explain a significant part of the variation in sign composition in either phase (S1 File §</w:t>
      </w:r>
      <w:r>
        <w:t xml:space="preserve">S1.8.4</w:t>
      </w:r>
      <w:r>
        <w:t xml:space="preserve">). Any regional difference in these data may also reflect differences in the history and intensity of archaeological research and in the types of objects recovered, rather than distinct cultural groups.</w:t>
      </w:r>
    </w:p>
    <w:bookmarkStart w:id="34" w:name="fig-group-map"/>
    <w:p>
      <w:pPr>
        <w:pStyle w:val="BodyText"/>
      </w:pPr>
      <w:r>
        <w:rPr>
          <w:bCs/>
          <w:b/>
        </w:rPr>
        <w:t xml:space="preserve">Fig 5. Geographic distribution of sites with signs in the two Aurignacian phases (Aur-P1, Aur-P2).</w:t>
      </w:r>
      <w:r>
        <w:t xml:space="preserve"> </w:t>
      </w:r>
      <w:r>
        <w:t xml:space="preserve">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w:t>
      </w:r>
      <w:r>
        <w:t xml:space="preserve"> </w:t>
      </w:r>
      <w:r>
        <w:t xml:space="preserve">[26]</w:t>
      </w:r>
      <w:r>
        <w:t xml:space="preserve">.</w:t>
      </w:r>
    </w:p>
    <w:bookmarkEnd w:id="34"/>
    <w:bookmarkEnd w:id="35"/>
    <w:bookmarkStart w:id="37" w:name="Xe37851f0b0c22898e5f832a67b7154932fb4d35"/>
    <w:p>
      <w:pPr>
        <w:pStyle w:val="Heading2"/>
      </w:pPr>
      <w:r>
        <w:t xml:space="preserve">Sign Composition Differences Between Groups</w:t>
      </w:r>
    </w:p>
    <w:p>
      <w:pPr>
        <w:pStyle w:val="FirstParagraph"/>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(p = 0.001) but not in Aur-P2 (p = 0.076), although R² is similar in the two phases (</w:t>
      </w:r>
      <w:hyperlink w:anchor="tbl-strength-table">
        <w:r>
          <w:rPr>
            <w:rStyle w:val="Hyperlink"/>
          </w:rPr>
          <w:t xml:space="preserve">Table 3</w:t>
        </w:r>
      </w:hyperlink>
      <w:r>
        <w:t xml:space="preserve">). However, this separation vanishes under Simpson turnover dissimilarity (which removes the nestedness/richness component), indicating that the Jaccard signal comes from the nestedness component—rich versus poor repertoires—rather than from compositional turnover between the groups (S1 File §</w:t>
      </w:r>
      <w:r>
        <w:t xml:space="preserve">S1.10.3</w:t>
      </w:r>
      <w:r>
        <w:t xml:space="preserve">). Beta dispersion analysis did not detect a significant difference in within-group dispersion in either phase (Aur-P1 p = 0.124, Aur-P2 p = 0.771); this does not establish equal dispersions, so the PerMANOVA results should be interpreted cautiously. Leave-one-out classification indicates that the labels vary smoothly across the Jaccard composition space rather than independently confirming a discrete partition (S1 File §</w:t>
      </w:r>
      <w:r>
        <w:t xml:space="preserve">S1.10</w:t>
      </w:r>
      <w:r>
        <w:t xml:space="preserve">), and the fixed-fixed Curveball test does not show that the optimised split exceeds richness-preserving expectations (Aur-P1 p = 0.139, Aur-P2 p = 1.000; S1 File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Start w:id="36" w:name="tbl-strength-table"/>
    <w:p>
      <w:pPr>
        <w:pStyle w:val="BodyText"/>
      </w:pPr>
      <w:r>
        <w:rPr>
          <w:bCs/>
          <w:b/>
        </w:rPr>
        <w:t xml:space="preserve">Table 3. PerMANOVA results for each phase.</w:t>
      </w:r>
    </w:p>
    <w:bookmarkEnd w:id="36"/>
    <w:tbl>
      <w:tblPr>
        <w:tblStyle w:val="Table"/>
        <w:tblW w:type="pct" w:w="5000"/>
        <w:tblLook w:firstRow="1" w:lastRow="0" w:firstColumn="0" w:lastColumn="0" w:noHBand="0" w:noVBand="0" w:val="0020"/>
        <w:jc w:val="start"/>
        <w:tblLayout w:type="fixed"/>
      </w:tblPr>
      <w:tblGrid>
        <w:gridCol w:w="2059"/>
        <w:gridCol w:w="1425"/>
        <w:gridCol w:w="1267"/>
        <w:gridCol w:w="1267"/>
        <w:gridCol w:w="1900"/>
      </w:tblGrid>
      <w:tr>
        <w:trPr>
          <w:tblHeader w:val="true"/>
        </w:trPr>
        <w:tc>
          <w:tcPr/>
          <w:p>
            <w:pPr>
              <w:pStyle w:val="Compact"/>
              <w:jc w:val="left"/>
            </w:pPr>
            <w:r>
              <w:t xml:space="preserve">Aurignacian phase</w:t>
            </w:r>
          </w:p>
        </w:tc>
        <w:tc>
          <w:tcPr/>
          <w:p>
            <w:pPr>
              <w:pStyle w:val="Compact"/>
              <w:jc w:val="left"/>
            </w:pPr>
            <w:r>
              <w:t xml:space="preserve">PerMANOVA R2</w:t>
            </w:r>
          </w:p>
        </w:tc>
        <w:tc>
          <w:tcPr/>
          <w:p>
            <w:pPr>
              <w:pStyle w:val="Compact"/>
              <w:jc w:val="left"/>
            </w:pPr>
            <w:r>
              <w:t xml:space="preserve">PerMANOVA F</w:t>
            </w:r>
          </w:p>
        </w:tc>
        <w:tc>
          <w:tcPr/>
          <w:p>
            <w:pPr>
              <w:pStyle w:val="Compact"/>
              <w:jc w:val="left"/>
            </w:pPr>
            <w:r>
              <w:t xml:space="preserve">PerMANOVA p</w:t>
            </w:r>
          </w:p>
        </w:tc>
        <w:tc>
          <w:tcPr/>
          <w:p>
            <w:pPr>
              <w:pStyle w:val="Compact"/>
              <w:jc w:val="left"/>
            </w:pPr>
            <w:r>
              <w:t xml:space="preserve">PerMANOVA R2 95% CI</w:t>
            </w:r>
          </w:p>
        </w:tc>
      </w:tr>
      <w:tr>
        <w:tc>
          <w:tcPr/>
          <w:p>
            <w:pPr>
              <w:pStyle w:val="Compact"/>
              <w:jc w:val="left"/>
            </w:pPr>
            <w:r>
              <w:t xml:space="preserve">Aur-P1</w:t>
            </w:r>
          </w:p>
        </w:tc>
        <w:tc>
          <w:tcPr/>
          <w:p>
            <w:pPr>
              <w:pStyle w:val="Compact"/>
              <w:jc w:val="left"/>
            </w:pPr>
            <w:r>
              <w:t xml:space="preserve">0.196</w:t>
            </w:r>
          </w:p>
        </w:tc>
        <w:tc>
          <w:tcPr/>
          <w:p>
            <w:pPr>
              <w:pStyle w:val="Compact"/>
              <w:jc w:val="left"/>
            </w:pPr>
            <w:r>
              <w:t xml:space="preserve">4.382</w:t>
            </w:r>
          </w:p>
        </w:tc>
        <w:tc>
          <w:tcPr/>
          <w:p>
            <w:pPr>
              <w:pStyle w:val="Compact"/>
              <w:jc w:val="left"/>
            </w:pPr>
            <w:r>
              <w:t xml:space="preserve">0.001</w:t>
            </w:r>
          </w:p>
        </w:tc>
        <w:tc>
          <w:tcPr/>
          <w:p>
            <w:pPr>
              <w:pStyle w:val="Compact"/>
              <w:jc w:val="left"/>
            </w:pPr>
            <w:r>
              <w:t xml:space="preserve">[0.145, 0.206]</w:t>
            </w:r>
          </w:p>
        </w:tc>
      </w:tr>
      <w:tr>
        <w:tc>
          <w:tcPr/>
          <w:p>
            <w:pPr>
              <w:pStyle w:val="Compact"/>
              <w:jc w:val="left"/>
            </w:pPr>
            <w:r>
              <w:t xml:space="preserve">Aur-P2</w:t>
            </w:r>
          </w:p>
        </w:tc>
        <w:tc>
          <w:tcPr/>
          <w:p>
            <w:pPr>
              <w:pStyle w:val="Compact"/>
              <w:jc w:val="left"/>
            </w:pPr>
            <w:r>
              <w:t xml:space="preserve">0.223</w:t>
            </w:r>
          </w:p>
        </w:tc>
        <w:tc>
          <w:tcPr/>
          <w:p>
            <w:pPr>
              <w:pStyle w:val="Compact"/>
              <w:jc w:val="left"/>
            </w:pPr>
            <w:r>
              <w:t xml:space="preserve">2.008</w:t>
            </w:r>
          </w:p>
        </w:tc>
        <w:tc>
          <w:tcPr/>
          <w:p>
            <w:pPr>
              <w:pStyle w:val="Compact"/>
              <w:jc w:val="left"/>
            </w:pPr>
            <w:r>
              <w:t xml:space="preserve">0.076</w:t>
            </w:r>
          </w:p>
        </w:tc>
        <w:tc>
          <w:tcPr/>
          <w:p>
            <w:pPr>
              <w:pStyle w:val="Compact"/>
              <w:jc w:val="left"/>
            </w:pPr>
            <w:r>
              <w:t xml:space="preserve">[0.132, 0.229]</w:t>
            </w:r>
          </w:p>
        </w:tc>
      </w:tr>
    </w:tbl>
    <w:p>
      <w:pPr>
        <w:pStyle w:val="BodyText"/>
      </w:pPr>
      <w:r>
        <w:t xml:space="preserve">The R² 95% confidence interval comes from an object-within-site bootstrap (B = 1,000). The bootstrap intervals describe the stability of R² under object resampling with fixed group labels; they should not be interpreted as null-hypothesis tests.</w:t>
      </w:r>
    </w:p>
    <w:bookmarkEnd w:id="37"/>
    <w:bookmarkEnd w:id="38"/>
    <w:bookmarkStart w:id="42" w:name="discussion"/>
    <w:p>
      <w:pPr>
        <w:pStyle w:val="Heading1"/>
      </w:pPr>
      <w:r>
        <w:t xml:space="preserve">Discussion</w:t>
      </w:r>
    </w:p>
    <w:bookmarkStart w:id="40"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 2</w:t>
        </w:r>
      </w:hyperlink>
      <w:r>
        <w:t xml:space="preserve"> </w:t>
      </w:r>
      <w:r>
        <w:t xml:space="preserve">initially suggested a hypothesis of two main sign-use groups, with sign type frequency and diversity serving as the major dividing factor. This parallels a richness-driven split found in sites with ornaments by d’Errico et al.</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that the contrast between the two proposed groups is better described as a gradual axis of variation than as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File §</w:t>
      </w:r>
      <w:r>
        <w:t xml:space="preserve">S1.5.5</w:t>
      </w:r>
      <w:r>
        <w:t xml:space="preserve"> </w:t>
      </w:r>
      <w:r>
        <w:t xml:space="preserve">and §</w:t>
      </w:r>
      <w:r>
        <w:t xml:space="preserve">S1.12.7</w:t>
      </w:r>
      <w:r>
        <w:t xml:space="preserve">). Community-detection algorithms applied to the same data do not all agree (S1 File §</w:t>
      </w:r>
      <w:r>
        <w:t xml:space="preserve">S1.6.8</w:t>
      </w:r>
      <w:r>
        <w:t xml:space="preserve">). At the 0.2 threshold in Aur-P1, Louvain, Infomap and Walktrap give the same partition, but Leiden gives a different partition. At the same threshold in the small Aur-P2 sample, Walktrap gives the same partition as Louvain, but Infomap and Leiden do not divide the sites into communities. The Louvain partition explains more compositional variance than the manual restricted/broad grouping, but it has more groups (S1 File §</w:t>
      </w:r>
      <w:r>
        <w:t xml:space="preserve">S1.6.6</w:t>
      </w:r>
      <w:r>
        <w:t xml:space="preserve"> </w:t>
      </w:r>
      <w:r>
        <w:t xml:space="preserve">and §</w:t>
      </w:r>
      <w:r>
        <w:t xml:space="preserve">S1.6.8</w:t>
      </w:r>
      <w:r>
        <w:t xml:space="preserve">). The pseudo-F statistic takes the number of groups into account. At the 0.2 threshold in Aur-P1, the pseudo-F is lower for the Louvain partition than for the manual grouping. In the same phase, the Leiden partition explains less variance than the manual grouping. These partitions are fitted to the same data, so this is not independent evidence for discrete groups. The communities differ mainly in which of the less common sign types they contain, and several of these types occur in only one multi-site community (S1 File §</w:t>
      </w:r>
      <w:r>
        <w:t xml:space="preserve">S1.11.3</w:t>
      </w:r>
      <w:r>
        <w:t xml:space="preserve">). The sign types of the poorer communities also occur in the richer ones, so the repertoires are nested. This nested pattern is consistent with graded repertoires rather than discrete provinces.</w:t>
      </w:r>
    </w:p>
    <w:p>
      <w:pPr>
        <w:pStyle w:val="BodyText"/>
      </w:pPr>
      <w:hyperlink w:anchor="fig-neighbor-net">
        <w:r>
          <w:rPr>
            <w:rStyle w:val="Hyperlink"/>
          </w:rPr>
          <w:t xml:space="preserve">Fig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File §</w:t>
      </w:r>
      <w:r>
        <w:t xml:space="preserve">S1.7.6</w:t>
      </w:r>
      <w:r>
        <w:t xml:space="preserve">), indicating the Aur-P1–Aur-P2 contrast cannot distinguish a difference in network scale from a difference in connectedness or community structure at these sample sizes (S1 File §</w:t>
      </w:r>
      <w:r>
        <w:t xml:space="preserve">S1.13</w:t>
      </w:r>
      <w:r>
        <w:t xml:space="preserv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File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network degree and diversity excess (reported below)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File §</w:t>
      </w:r>
      <w:r>
        <w:t xml:space="preserve">S1.12.3</w:t>
      </w:r>
      <w:r>
        <w:t xml:space="preserve">). Among the subset of sites that attain comparable coverage (S1 File §</w:t>
      </w:r>
      <w:r>
        <w:t xml:space="preserve">S1.12.4</w:t>
      </w:r>
      <w:r>
        <w:t xml:space="preserve">), broad-range sites remain richer in the observed sample. A negative-binomial model with an estimated exponent estimates higher richness for broad-range sites at equal object count (rate ratio = 2.31, p = 0.003; S1 File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File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File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Variation in social structure is one possible source of this gradient. Ethnographic and archaeological research shows that hunter-gatherer social structures vary greatly</w:t>
      </w:r>
      <w:r>
        <w:t xml:space="preserve"> </w:t>
      </w:r>
      <w:r>
        <w:t xml:space="preserve">[44–51]</w:t>
      </w:r>
      <w:r>
        <w:t xml:space="preserve">, and that ornaments and other material culture can communicate the number and types of social roles and statuses within a group</w:t>
      </w:r>
      <w:r>
        <w:t xml:space="preserve"> </w:t>
      </w:r>
      <w:r>
        <w:t xml:space="preserve">[4,51–62]</w:t>
      </w:r>
      <w:r>
        <w:t xml:space="preserve">. By analogy, sites with a broad range of signs, including visually complex signs, could come from communities with more formalized social roles, and sites with a restricted range of signs could come from communities with fewer formalized social roles. Our data cannot test this interpretation, because the richness of a site’s repertoire also depends on how many objects were recovered there (S1 File §</w:t>
      </w:r>
      <w:r>
        <w:t xml:space="preserve">S1.12.3</w:t>
      </w:r>
      <w:r>
        <w:t xml:space="preserve">).</w:t>
      </w:r>
    </w:p>
    <w:p>
      <w:pPr>
        <w:pStyle w:val="BodyText"/>
      </w:pPr>
      <w:r>
        <w:t xml:space="preserve">Non-utilitarian mobility is one process that could produce the connections between sites in</w:t>
      </w:r>
      <w:r>
        <w:t xml:space="preserve"> </w:t>
      </w:r>
      <w:hyperlink w:anchor="fig-neighbor-net">
        <w:r>
          <w:rPr>
            <w:rStyle w:val="Hyperlink"/>
          </w:rPr>
          <w:t xml:space="preserve">Fig 3</w:t>
        </w:r>
      </w:hyperlink>
      <w:r>
        <w:t xml:space="preserve">.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either phase (</w:t>
      </w:r>
      <w:hyperlink w:anchor="tbl-mantel-table">
        <w:r>
          <w:rPr>
            <w:rStyle w:val="Hyperlink"/>
          </w:rPr>
          <w:t xml:space="preserve">Table 2</w:t>
        </w:r>
      </w:hyperlink>
      <w:r>
        <w:t xml:space="preserve">), although this null result should be interpreted cautiously given the small sample sizes and limited statistical power (S1 File §</w:t>
      </w:r>
      <w:r>
        <w:t xml:space="preserve">S1.13</w:t>
      </w:r>
      <w:r>
        <w:t xml:space="preserve"> </w:t>
      </w:r>
      <w:r>
        <w:t xml:space="preserve">and §</w:t>
      </w:r>
      <w:r>
        <w:t xml:space="preserve">S1.4.3</w:t>
      </w:r>
      <w:r>
        <w:t xml:space="preserve">), and design calculations show that the tests can detect only correlations of moderate size or larger (S1 File §</w:t>
      </w:r>
      <w:r>
        <w:t xml:space="preserve">S1.13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Aggregation and dispersion is one form of longer-term residential movement that can be related to non-utilitarian mobility. In aggregation and dispersion, groups periodically separate and come together again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Most of the sites whose diversity is above the simulated mean (a possible indicator of aggregation) are not the most connected sites in</w:t>
      </w:r>
      <w:r>
        <w:t xml:space="preserve"> </w:t>
      </w:r>
      <w:hyperlink w:anchor="fig-neighbor-net">
        <w:r>
          <w:rPr>
            <w:rStyle w:val="Hyperlink"/>
          </w:rPr>
          <w:t xml:space="preserve">Fig 3</w:t>
        </w:r>
      </w:hyperlink>
      <w:r>
        <w:t xml:space="preserve">. However, the correlation between diversity excess and network degree is not significant (see below), so these data do not show whether aggregation sites were more or less connected than other sites.</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 6</w:t>
        </w:r>
      </w:hyperlink>
      <w:r>
        <w:t xml:space="preserve"> </w:t>
      </w:r>
      <w:r>
        <w:t xml:space="preserve">plots the expected Shannon diversity index for a given sample size against the actual diversity index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bookmarkStart w:id="39" w:name="fig-div-plot"/>
    <w:p>
      <w:pPr>
        <w:pStyle w:val="BodyText"/>
      </w:pPr>
      <w:r>
        <w:rPr>
          <w:bCs/>
          <w:b/>
        </w:rPr>
        <w:t xml:space="preserve">Fig 6. Observed and expected geometric sign diversity at each site.</w:t>
      </w:r>
      <w:r>
        <w:t xml:space="preserve"> </w:t>
      </w:r>
      <w:r>
        <w:t xml:space="preserve">Observed geometric sign diversity at each site compared with expectations derived from randomised assemblages controlling for sample size. The blue expectation curve is the mean simulated diversity index per sample size. The orange lines enclose a band that is the 95% confidence interval of the null distribution. Sites above the blue expectation curve have higher than average diversity, given their sample size. Site names are shown for sites with a sample size of three or more to avoid label overlap. Per-site values for every site are given in S1 File §</w:t>
      </w:r>
      <w:r>
        <w:t xml:space="preserve">S1.12.2</w:t>
      </w:r>
      <w:r>
        <w:t xml:space="preserve">.</w:t>
      </w:r>
    </w:p>
    <w:bookmarkEnd w:id="39"/>
    <w:p>
      <w:pPr>
        <w:pStyle w:val="BodyText"/>
      </w:pPr>
      <w:r>
        <w:t xml:space="preserve">When each site’s observed diversity is compared with the expectation for its sample size, 5 of 20 Aur-P1 sites and 4 of 9 Aur-P2 sites exceed their expected diversity (the mean simulated diversity for the equivalent sample size). Notably, most of these sites are not shown as highly connected in</w:t>
      </w:r>
      <w:r>
        <w:t xml:space="preserve"> </w:t>
      </w:r>
      <w:hyperlink w:anchor="fig-neighbor-net">
        <w:r>
          <w:rPr>
            <w:rStyle w:val="Hyperlink"/>
          </w:rPr>
          <w:t xml:space="preserve">Fig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 3</w:t>
        </w:r>
      </w:hyperlink>
      <w:r>
        <w:t xml:space="preserve">) and longer-term residential movement for aggregation (for example the sites with higher than average diversity in</w:t>
      </w:r>
      <w:r>
        <w:t xml:space="preserve"> </w:t>
      </w:r>
      <w:hyperlink w:anchor="fig-div-plot">
        <w:r>
          <w:rPr>
            <w:rStyle w:val="Hyperlink"/>
          </w:rPr>
          <w:t xml:space="preserve">Fig 6</w:t>
        </w:r>
      </w:hyperlink>
      <w:r>
        <w:t xml:space="preserve">). To test this hypothesis, we correlated the diversity excess of each site with its network degree. The correlation is weak and not significant after Benjamini–Hochberg correction (ρ = -0.35, p = 0.095). Because this association is not significant, it provides no evidence either way about whether these sites are more or less connected. Object count was weakly and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tracks position on the broad-to-restricted gradient.</w:t>
      </w:r>
    </w:p>
    <w:bookmarkEnd w:id="40"/>
    <w:bookmarkStart w:id="41"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We did not detect an association between geographic distance and sign-type composition in Aur-P1 (Mantel R = 0.046;</w:t>
      </w:r>
      <w:r>
        <w:t xml:space="preserve"> </w:t>
      </w:r>
      <w:hyperlink w:anchor="tbl-mantel-table">
        <w:r>
          <w:rPr>
            <w:rStyle w:val="Hyperlink"/>
          </w:rPr>
          <w:t xml:space="preserve">Table 2</w:t>
        </w:r>
      </w:hyperlink>
      <w:r>
        <w:t xml:space="preserve">). In Aur-P2 the correlation is negative (R = -0.299), which is the opposite of the pattern that isolation by distance predicts, and it is not significant. A permutation test of the difference between these two Mantel correlations (D = 0.34, p = 0.153; sites permuted between phases 1,000 times) did not detect a difference between the phases. These null results may reflect the limited power of the tests at these sample sizes (S1 File §</w:t>
      </w:r>
      <w:r>
        <w:t xml:space="preserve">S1.13</w:t>
      </w:r>
      <w:r>
        <w:t xml:space="preserve">); they are not evidence that geography had no effect. D’Errico et al.</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File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w:t>
      </w:r>
      <w:r>
        <w:t xml:space="preserve">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Our results do not establish a causal link between demographic expansion and the use of geometric signs as group-membership markers in the Aurignacian. Quantitative demographic reconstructions suggest that western and central European Aurignacian populations numbered approximately 1500 individuals</w:t>
      </w:r>
      <w:r>
        <w:t xml:space="preserve"> </w:t>
      </w:r>
      <w:r>
        <w:t xml:space="preserve">[21]</w:t>
      </w:r>
      <w:r>
        <w:t xml:space="preserve">, a relatively small population. However, the size of our networks depends mainly on the number of sites with dated, sign-bearing objects in SignBase, not directly on past population size. Schmidt and Zimmermann</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The analyses detected no significant size-adjusted network differences and no isolation by distance in either phase. The only geographic signal is a weak linear trend in Aur-P1 (dbRDA adjusted R² = 0.057, p = 0.038).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File §</w:t>
      </w:r>
      <w:r>
        <w:t xml:space="preserve">S1.12.6</w:t>
      </w:r>
      <w:r>
        <w:t xml:space="preserve">). Neither the networks nor sign diversity patterns can be clearly linked to demographic dynamics with the current sample.</w:t>
      </w:r>
    </w:p>
    <w:p>
      <w:pPr>
        <w:pStyle w:val="BodyText"/>
      </w:pPr>
      <w:r>
        <w:t xml:space="preserve">Banks et al.</w:t>
      </w:r>
      <w:r>
        <w:t xml:space="preserve"> </w:t>
      </w: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We did not detect a change in the networks between the phases. The Proto–Early transition falls within Aur-P1 in our two-phase scheme, so the between-phase comparison is an indirect test of this prediction (S1 File §</w:t>
      </w:r>
      <w:r>
        <w:t xml:space="preserve">S1.5.2</w:t>
      </w:r>
      <w:r>
        <w:t xml:space="preserve"> </w:t>
      </w:r>
      <w:r>
        <w:t xml:space="preserve">examines the Proto and Early components separately). Thus, if the model of Banks et al.</w:t>
      </w:r>
      <w:r>
        <w:t xml:space="preserve"> </w:t>
      </w:r>
      <w:r>
        <w:t xml:space="preserve">[22]</w:t>
      </w:r>
      <w:r>
        <w:t xml:space="preserve"> </w:t>
      </w:r>
      <w:r>
        <w:t xml:space="preserve">is correct, the expansion of social networks that it predicts is not visible in the geometric-sign data, possibly also because our tests have low power (S1 File §</w:t>
      </w:r>
      <w:r>
        <w:t xml:space="preserve">S1.13</w:t>
      </w:r>
      <w:r>
        <w:t xml:space="preserve">). Neither phase shows significant isolation by distance (Aur-P1 Mantel R = 0.046, Aur-P2 Mantel R = -0.299). The weak linear trend in Aur-P1 explains only 6% of the variation in sign composition. We therefore did not detect sign sharing driven primarily by expansion into new, spatially structured niches in this sample. Similarly, Shao et al.</w:t>
      </w:r>
      <w:r>
        <w:t xml:space="preserve"> </w:t>
      </w:r>
      <w:r>
        <w:t xml:space="preserve">[12]</w:t>
      </w:r>
      <w:r>
        <w:t xml:space="preserve"> </w:t>
      </w:r>
      <w:r>
        <w:t xml:space="preserve">developed a human-existence probability model for the Aurignacian, finding an expanded, more dispersed settlement area for the Evolved/Late Aurignacian, and Shao et al.</w:t>
      </w:r>
      <w:r>
        <w:t xml:space="preserve"> </w:t>
      </w:r>
      <w:r>
        <w:t xml:space="preserve">[85]</w:t>
      </w:r>
      <w:r>
        <w:t xml:space="preserve"> </w:t>
      </w:r>
      <w:r>
        <w:t xml:space="preserve">also identify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[3,4]</w:t>
      </w:r>
      <w:r>
        <w:t xml:space="preserve">, our results did not identify geographically distinct groups differentiated by sign repertoire. We did not detect isolation by distance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File §</w:t>
      </w:r>
      <w:r>
        <w:t xml:space="preserve">S1.8.4</w:t>
      </w:r>
      <w:r>
        <w:t xml:space="preserve">). Thus our findings contrast with previous work such as Vanhaeren and d’Errico</w:t>
      </w:r>
      <w:r>
        <w:t xml:space="preserve"> </w:t>
      </w:r>
      <w:r>
        <w:t xml:space="preserve">[6]</w:t>
      </w:r>
      <w:r>
        <w:t xml:space="preserve"> </w:t>
      </w:r>
      <w:r>
        <w:t xml:space="preserve">and Baker et al.</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 Vanhaeren and d’Errico</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 Baker et al.</w:t>
      </w:r>
      <w:r>
        <w:t xml:space="preserve"> </w:t>
      </w:r>
      <w:r>
        <w:t xml:space="preserve">[3]</w:t>
      </w:r>
      <w:r>
        <w:t xml:space="preserve">. Future work could explore the hypothesis that the distribution found in Aur-P2 (</w:t>
      </w:r>
      <w:hyperlink w:anchor="fig-group-map">
        <w:r>
          <w:rPr>
            <w:rStyle w:val="Hyperlink"/>
          </w:rPr>
          <w:t xml:space="preserve">Fig 5</w:t>
        </w:r>
      </w:hyperlink>
      <w:r>
        <w:t xml:space="preserve">) eventually evolved into the clusters proposed by Baker et al.</w:t>
      </w:r>
      <w:r>
        <w:t xml:space="preserve"> </w:t>
      </w:r>
      <w:r>
        <w:t xml:space="preserve">[3]</w:t>
      </w:r>
      <w:r>
        <w:t xml:space="preserve"> </w:t>
      </w:r>
      <w:r>
        <w:t xml:space="preserve">for the Gravettian period.</w:t>
      </w:r>
    </w:p>
    <w:p>
      <w:pPr>
        <w:pStyle w:val="BodyText"/>
      </w:pPr>
      <w:r>
        <w:t xml:space="preserve">The data used by Vanhaeren and d’Errico</w:t>
      </w:r>
      <w:r>
        <w:t xml:space="preserve"> </w:t>
      </w:r>
      <w:r>
        <w:t xml:space="preserve">[6]</w:t>
      </w:r>
      <w:r>
        <w:t xml:space="preserve"> </w:t>
      </w:r>
      <w:r>
        <w:t xml:space="preserve">was also analyzed by Kovacevic et al.</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 Kovacevic et al.</w:t>
      </w:r>
      <w:r>
        <w:t xml:space="preserve"> </w:t>
      </w:r>
      <w:r>
        <w:t xml:space="preserve">[95]</w:t>
      </w:r>
      <w:r>
        <w:t xml:space="preserve"> </w:t>
      </w:r>
      <w:r>
        <w:t xml:space="preserve">complicate claims by Vanhaeren and d’Errico</w:t>
      </w:r>
      <w:r>
        <w:t xml:space="preserve"> </w:t>
      </w:r>
      <w:r>
        <w:t xml:space="preserve">[6]</w:t>
      </w:r>
      <w:r>
        <w:t xml:space="preserve"> </w:t>
      </w:r>
      <w:r>
        <w:t xml:space="preserve">for geographically distinct cultural groups in the Aurignacian. Like ours, their results do not establish the absence of geographically structured identity; our analyses are also underpowered for that claim (S1 File §</w:t>
      </w:r>
      <w:r>
        <w:t xml:space="preserve">S1.13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This process could potentially explain the larger sign-type pool in Aur-P1 (26 types) compared with Aur-P2 (15 types). However, our equal-effort sensitivity analysis shows the sign-type pool sizes overlap once sample size is standardized (S1 File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We found no statistically significant differences in connectivity metrics between the two phases. Because these tests have low power (S1 File §</w:t>
      </w:r>
      <w:r>
        <w:t xml:space="preserve">S1.13</w:t>
      </w:r>
      <w:r>
        <w:t xml:space="preserve">), this result does not show that the level of interaction stayed the same; a moderate change could be present but was not detected. If the level of interaction did stay the same, the pattern would parallel the Iberian Mesolithic, where peninsular-scale ornament networks persisted without topological change from the Early to the Late Mesolithic despite population growth and technocomplex replacement</w:t>
      </w:r>
      <w:r>
        <w:t xml:space="preserve"> </w:t>
      </w:r>
      <w:r>
        <w:t xml:space="preserve">[103]</w:t>
      </w:r>
      <w:r>
        <w:t xml:space="preserve">. We did not detect the decline in sign similarity with distance that simple isolation-by-distance models predict</w:t>
      </w:r>
      <w:r>
        <w:t xml:space="preserve"> </w:t>
      </w:r>
      <w:r>
        <w:t xml:space="preserve">[29,41]</w:t>
      </w:r>
      <w:r>
        <w:t xml:space="preserve">. Our Mantel tests can detect only moderate (Aur-P1) or strong (Aur-P2) correlations (S1 File §</w:t>
      </w:r>
      <w:r>
        <w:t xml:space="preserve">S1.13</w:t>
      </w:r>
      <w:r>
        <w:t xml:space="preserve">), so this result does not rule out isolation by distance.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 that of Intxaurbe</w:t>
      </w:r>
      <w:r>
        <w:t xml:space="preserve"> </w:t>
      </w:r>
      <w:r>
        <w:t xml:space="preserve">[104]</w:t>
      </w:r>
      <w:r>
        <w:t xml:space="preserve">, who treats stable bison-horse-ibex centrality in Magdalenian parietal art along the Bay of Biscay 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 Vanhaeren and d’Errico</w:t>
      </w:r>
      <w:r>
        <w:t xml:space="preserve"> </w:t>
      </w:r>
      <w:r>
        <w:t xml:space="preserve">[6]</w:t>
      </w:r>
      <w:r>
        <w:t xml:space="preserve"> </w:t>
      </w:r>
      <w:r>
        <w:t xml:space="preserve">identified fourteen geographically structured Aurignacian groups using ornaments; Baker et al.</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Geometric signs have been argued to function as notation</w:t>
      </w:r>
      <w:r>
        <w:t xml:space="preserve"> </w:t>
      </w:r>
      <w:r>
        <w:t xml:space="preserve">[105]</w:t>
      </w:r>
      <w:r>
        <w:t xml:space="preserve"> </w:t>
      </w:r>
      <w:r>
        <w:t xml:space="preserve">or calendrical recording</w:t>
      </w:r>
      <w:r>
        <w:t xml:space="preserve"> </w:t>
      </w:r>
      <w:r>
        <w:t xml:space="preserve">[106]</w:t>
      </w:r>
      <w:r>
        <w:t xml:space="preserve"> </w:t>
      </w:r>
      <w:r>
        <w:t xml:space="preserve">systems. However, recent work on these notational and calendrical hypotheses has been disputed</w:t>
      </w:r>
      <w:r>
        <w:t xml:space="preserve"> </w:t>
      </w:r>
      <w:r>
        <w:t xml:space="preserve">[107–110]</w:t>
      </w:r>
      <w:r>
        <w:t xml:space="preserve">, suggesting there is still much work to be done. Our results neither confirm nor rule out these hypotheses, and sign-type ambiguity limits how well these hypotheses can be tested.</w:t>
      </w:r>
    </w:p>
    <w:bookmarkEnd w:id="41"/>
    <w:bookmarkEnd w:id="42"/>
    <w:bookmarkStart w:id="43" w:name="conclusion"/>
    <w:p>
      <w:pPr>
        <w:pStyle w:val="Heading1"/>
      </w:pPr>
      <w:r>
        <w:t xml:space="preserve">Conclusion</w:t>
      </w:r>
    </w:p>
    <w:p>
      <w:pPr>
        <w:pStyle w:val="FirstParagraph"/>
      </w:pPr>
      <w:r>
        <w:t xml:space="preserve">Previous work</w:t>
      </w:r>
      <w:r>
        <w:t xml:space="preserve"> </w:t>
      </w:r>
      <w:r>
        <w:t xml:space="preserve">[3,77,111–114]</w:t>
      </w:r>
      <w:r>
        <w:t xml:space="preserve"> </w:t>
      </w:r>
      <w:r>
        <w:t xml:space="preserve">has used material culture analysis to reconstruct Upper Palaeolithic social networks, which have been argued to be a driver of cultural and evolutionary change</w:t>
      </w:r>
      <w:r>
        <w:t xml:space="preserve"> </w:t>
      </w:r>
      <w:r>
        <w:t xml:space="preserve">[2,70,115–119]</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in Aur-P1, stochastic block models place most broad-range and most restricted-range sites in different blocks. However, the split does not exceed fixed-fixed Curveball expectations in either phase, and the Jaccard separation disappears under Simpson turnover, which removes the nestedness component (S1 File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Design calculations show that these tests can detect only moderate (Aur-P1) or strong (Aur-P2) correlations (S1 File §</w:t>
      </w:r>
      <w:r>
        <w:t xml:space="preserve">S1.13</w:t>
      </w:r>
      <w:r>
        <w:t xml:space="preserve">), so these null results are a lack of evidence, not evidence that geography had no effect. There is weak evidence for a broad geographic gradient in Aur-P1, but insufficient evidence for discrete geographic clusters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[105–110]</w:t>
      </w:r>
      <w:r>
        <w:t xml:space="preserve">.</w:t>
      </w:r>
    </w:p>
    <w:p>
      <w:pPr>
        <w:pStyle w:val="BodyText"/>
      </w:pPr>
      <w:r>
        <w:t xml:space="preserve">Our study has three limitations. First is the ambiguity of some of the sign types. While von Petzinger</w:t>
      </w:r>
      <w:r>
        <w:t xml:space="preserve"> </w:t>
      </w:r>
      <w:r>
        <w:t xml:space="preserve">[120]</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[121]</w:t>
      </w:r>
      <w:r>
        <w:t xml:space="preserve">, and additionally, including more sign types strengthens the basis for identifying connections between sites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[105]</w:t>
      </w:r>
      <w:r>
        <w:t xml:space="preserve">.</w:t>
      </w:r>
    </w:p>
    <w:p>
      <w:pPr>
        <w:pStyle w:val="BodyText"/>
      </w:pPr>
      <w:r>
        <w:t xml:space="preserve">A second limitation concerns the effects of time-averaging on our network reconstructions. Daems et al.</w:t>
      </w:r>
      <w:r>
        <w:t xml:space="preserve"> </w:t>
      </w:r>
      <w:r>
        <w:t xml:space="preserve">[123]</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 Padilla-Iglesias and Bischoff</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For seven sites, our primary analysis follows specialist technological attributions from the published literature rather than radiocarbon dates alone, because the dates can conflict with the archaeological content of a layer: Abri Pataud’s lithic technology places it in the Early Aurignacian despite basal dates within the Proto-Aurignacian range</w:t>
      </w:r>
      <w:r>
        <w:t xml:space="preserve"> </w:t>
      </w:r>
      <w:r>
        <w:t xml:space="preserve">[124,125]</w:t>
      </w:r>
      <w:r>
        <w:t xml:space="preserve">, La Ferrassie’s Aurignacian begins with the Early Aurignacian directly above the Châtelperronian</w:t>
      </w:r>
      <w:r>
        <w:t xml:space="preserve"> </w:t>
      </w:r>
      <w:r>
        <w:t xml:space="preserve">[126]</w:t>
      </w:r>
      <w:r>
        <w:t xml:space="preserve">, and Mladeč’s massive-base bone points and ~31 ka ¹⁴C BP (~35–36 ka cal BP) dates indicate an Evolved (Aur-P2) attribution</w:t>
      </w:r>
      <w:r>
        <w:t xml:space="preserve"> </w:t>
      </w:r>
      <w:r>
        <w:t xml:space="preserve">[127]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[128]</w:t>
      </w:r>
      <w:r>
        <w:t xml:space="preserve">. After exclusions, Aur-P2 rests on only 9 sites and 63 objects, so its two-group structural analyses and network statistical tests have limited power. Date parsing also removes sites whose reported dates have no stated uncertainty (S1 File §</w:t>
      </w:r>
      <w:r>
        <w:t xml:space="preserve">S1.1</w:t>
      </w:r>
      <w:r>
        <w:t xml:space="preserve">; S2 File). Under the older-end rule of our main analysis, most of these sites, including the largest (Grotte de Goyet), would probably fall in Aur-P1, so this filter does not explain the small size of the Aur-P2 sample. The choice of date end is important: if we use the midpoint or the younger end of each date range instead of the older end, several date-assigned sites move from Aur-P1 to Aur-P2 (S1 File §</w:t>
      </w:r>
      <w:r>
        <w:t xml:space="preserve">S1.5.3</w:t>
      </w:r>
      <w:r>
        <w:t xml:space="preserve">). When we repeat the full network analysis with each date end, the phase that holds more sites has the higher raw mean degree: Aur-P1 under the older end and the midpoint, and Aur-P2 under the younger end (S1 File §</w:t>
      </w:r>
      <w:r>
        <w:t xml:space="preserve">S1.5.3</w:t>
      </w:r>
      <w:r>
        <w:t xml:space="preserve">). This dependence supports reading the raw between-phase contrast as an effect of network size, not of connectivity. Shifting the phase boundary by up to 1,000 years moves at most a few sites and does not change the raw mean-degree ordering of the phases (S1 File §</w:t>
      </w:r>
      <w:r>
        <w:t xml:space="preserve">S1.5.4</w:t>
      </w:r>
      <w:r>
        <w:t xml:space="preserve">).</w:t>
      </w:r>
    </w:p>
    <w:bookmarkEnd w:id="43"/>
    <w:bookmarkStart w:id="289" w:name="references"/>
    <w:p>
      <w:pPr>
        <w:pStyle w:val="Heading1"/>
      </w:pPr>
      <w:r>
        <w:t xml:space="preserve">References</w:t>
      </w:r>
    </w:p>
    <w:bookmarkStart w:id="288" w:name="refs"/>
    <w:bookmarkStart w:id="45" w:name="ref-Boyd_Silk_2020"/>
    <w:p>
      <w:pPr>
        <w:pStyle w:val="Bibliography"/>
      </w:pPr>
      <w:r>
        <w:t xml:space="preserve">1.</w:t>
      </w:r>
      <w:r>
        <w:t xml:space="preserve"> </w:t>
      </w:r>
      <w:r>
        <w:t xml:space="preserve">	</w:t>
      </w:r>
      <w:r>
        <w:t xml:space="preserve">Boyd R, Silk JB. How humans evolved. New York: W.W. Norton; 2020. Available:</w:t>
      </w:r>
      <w:r>
        <w:t xml:space="preserve"> </w:t>
      </w:r>
      <w:hyperlink r:id="rId44">
        <w:r>
          <w:rPr>
            <w:rStyle w:val="Hyperlink"/>
          </w:rPr>
          <w:t xml:space="preserve">https://books.google.com/books?id=XmrazQEACAAJ</w:t>
        </w:r>
      </w:hyperlink>
    </w:p>
    <w:bookmarkEnd w:id="45"/>
    <w:bookmarkStart w:id="47"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 e0323148. doi:</w:t>
      </w:r>
      <w:hyperlink r:id="rId46">
        <w:r>
          <w:rPr>
            <w:rStyle w:val="Hyperlink"/>
          </w:rPr>
          <w:t xml:space="preserve">10.1371/journal.pone.0323148</w:t>
        </w:r>
      </w:hyperlink>
    </w:p>
    <w:bookmarkEnd w:id="47"/>
    <w:bookmarkStart w:id="49"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 Hum Behav. 2024;8: 431–444. doi:</w:t>
      </w:r>
      <w:hyperlink r:id="rId48">
        <w:r>
          <w:rPr>
            <w:rStyle w:val="Hyperlink"/>
          </w:rPr>
          <w:t xml:space="preserve">10.1038/s41562-023-01803-6</w:t>
        </w:r>
      </w:hyperlink>
    </w:p>
    <w:bookmarkEnd w:id="49"/>
    <w:bookmarkStart w:id="51"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 Int. 2018;491: 99–109. doi:</w:t>
      </w:r>
      <w:hyperlink r:id="rId50">
        <w:r>
          <w:rPr>
            <w:rStyle w:val="Hyperlink"/>
          </w:rPr>
          <w:t xml:space="preserve">10.1016/j.quaint.2017.01.039</w:t>
        </w:r>
      </w:hyperlink>
    </w:p>
    <w:bookmarkEnd w:id="51"/>
    <w:bookmarkStart w:id="53"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 40–48. doi:</w:t>
      </w:r>
      <w:hyperlink r:id="rId52">
        <w:r>
          <w:rPr>
            <w:rStyle w:val="Hyperlink"/>
          </w:rPr>
          <w:t xml:space="preserve">10.1177/0392192107076870</w:t>
        </w:r>
      </w:hyperlink>
    </w:p>
    <w:bookmarkEnd w:id="53"/>
    <w:bookmarkStart w:id="55"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 Archaeol Sci. 2006;33: 1105–1128. doi:</w:t>
      </w:r>
      <w:hyperlink r:id="rId54">
        <w:r>
          <w:rPr>
            <w:rStyle w:val="Hyperlink"/>
          </w:rPr>
          <w:t xml:space="preserve">10.1016/j.jas.2005.11.017</w:t>
        </w:r>
      </w:hyperlink>
    </w:p>
    <w:bookmarkEnd w:id="55"/>
    <w:bookmarkStart w:id="57"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 Int. 2019;503: 233–247. doi:</w:t>
      </w:r>
      <w:hyperlink r:id="rId56">
        <w:r>
          <w:rPr>
            <w:rStyle w:val="Hyperlink"/>
          </w:rPr>
          <w:t xml:space="preserve">10.1016/j.quaint.2017.12.017</w:t>
        </w:r>
      </w:hyperlink>
    </w:p>
    <w:bookmarkEnd w:id="57"/>
    <w:bookmarkStart w:id="59"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 Archaeol Sci. 2015;61: 59–77. doi:</w:t>
      </w:r>
      <w:hyperlink r:id="rId58">
        <w:r>
          <w:rPr>
            <w:rStyle w:val="Hyperlink"/>
          </w:rPr>
          <w:t xml:space="preserve">10.1016/j.jas.2015.05.003</w:t>
        </w:r>
      </w:hyperlink>
    </w:p>
    <w:bookmarkEnd w:id="59"/>
    <w:bookmarkStart w:id="61"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 Archaeol Sci. 2012;39: 2348–2360. doi:</w:t>
      </w:r>
      <w:hyperlink r:id="rId60">
        <w:r>
          <w:rPr>
            <w:rStyle w:val="Hyperlink"/>
          </w:rPr>
          <w:t xml:space="preserve">10.1016/j.jas.2012.02.003</w:t>
        </w:r>
      </w:hyperlink>
    </w:p>
    <w:bookmarkEnd w:id="61"/>
    <w:bookmarkStart w:id="63"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 Data. 2020;7: 364. doi:</w:t>
      </w:r>
      <w:hyperlink r:id="rId62">
        <w:r>
          <w:rPr>
            <w:rStyle w:val="Hyperlink"/>
          </w:rPr>
          <w:t xml:space="preserve">10.1038/s41597-020-00704-x</w:t>
        </w:r>
      </w:hyperlink>
    </w:p>
    <w:bookmarkEnd w:id="63"/>
    <w:bookmarkStart w:id="65"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 Rep. 2021;11: 22078. doi:</w:t>
      </w:r>
      <w:hyperlink r:id="rId64">
        <w:r>
          <w:rPr>
            <w:rStyle w:val="Hyperlink"/>
          </w:rPr>
          <w:t xml:space="preserve">10.1038/s41598-021-01221-6</w:t>
        </w:r>
      </w:hyperlink>
    </w:p>
    <w:bookmarkEnd w:id="65"/>
    <w:bookmarkStart w:id="67"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 Sci Rev. 2021;263: 106995. doi:</w:t>
      </w:r>
      <w:hyperlink r:id="rId66">
        <w:r>
          <w:rPr>
            <w:rStyle w:val="Hyperlink"/>
          </w:rPr>
          <w:t xml:space="preserve">10.1016/j.quascirev.2021.106995</w:t>
        </w:r>
      </w:hyperlink>
    </w:p>
    <w:bookmarkEnd w:id="67"/>
    <w:bookmarkStart w:id="69" w:name="ref-doyon2022"/>
    <w:p>
      <w:pPr>
        <w:pStyle w:val="Bibliography"/>
      </w:pPr>
      <w:r>
        <w:t xml:space="preserve">13.</w:t>
      </w:r>
      <w:r>
        <w:t xml:space="preserve"> </w:t>
      </w:r>
      <w:r>
        <w:t xml:space="preserve">	</w:t>
      </w:r>
      <w:r>
        <w:t xml:space="preserve">Doyon L. Le paysage socio-symbolique aurignacien : Regards crois</w:t>
      </w:r>
      <w:r>
        <w:t xml:space="preserve">é</w:t>
      </w:r>
      <w:r>
        <w:t xml:space="preserve">s entre les parures, les symboles et la morphologie des armatures en mati</w:t>
      </w:r>
      <w:r>
        <w:t xml:space="preserve">è</w:t>
      </w:r>
      <w:r>
        <w:t xml:space="preserve">re osseuse. Bull Mus Anthropol Prehist Monaco. 2022. Available:</w:t>
      </w:r>
      <w:r>
        <w:t xml:space="preserve"> </w:t>
      </w:r>
      <w:hyperlink r:id="rId68">
        <w:r>
          <w:rPr>
            <w:rStyle w:val="Hyperlink"/>
          </w:rPr>
          <w:t xml:space="preserve">https://shs.hal.science/halshs-03925722/</w:t>
        </w:r>
      </w:hyperlink>
    </w:p>
    <w:bookmarkEnd w:id="69"/>
    <w:bookmarkStart w:id="71"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2nd ed. In: Smith C, editor. Encyclopedia of global archaeology. 2nd ed. Cham: Springer International Publishing; 2020. pp. 1–10. doi:</w:t>
      </w:r>
      <w:hyperlink r:id="rId70">
        <w:r>
          <w:rPr>
            <w:rStyle w:val="Hyperlink"/>
          </w:rPr>
          <w:t xml:space="preserve">10.1007/978-3-319-51726-1_3441-1</w:t>
        </w:r>
      </w:hyperlink>
    </w:p>
    <w:bookmarkEnd w:id="71"/>
    <w:bookmarkStart w:id="73"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 Prehist Soc. 2019;85: 29–60. doi:</w:t>
      </w:r>
      <w:hyperlink r:id="rId72">
        <w:r>
          <w:rPr>
            <w:rStyle w:val="Hyperlink"/>
          </w:rPr>
          <w:t xml:space="preserve">10.1017/ppr.2019.11</w:t>
        </w:r>
      </w:hyperlink>
    </w:p>
    <w:bookmarkEnd w:id="73"/>
    <w:bookmarkStart w:id="75"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 Anthropol Sci. 2020;98: 99–140. doi:</w:t>
      </w:r>
      <w:hyperlink r:id="rId74">
        <w:r>
          <w:rPr>
            <w:rStyle w:val="Hyperlink"/>
          </w:rPr>
          <w:t xml:space="preserve">10.4436/JASS.98021</w:t>
        </w:r>
      </w:hyperlink>
    </w:p>
    <w:bookmarkEnd w:id="75"/>
    <w:bookmarkStart w:id="76"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pp. 323–338.</w:t>
      </w:r>
      <w:r>
        <w:t xml:space="preserve"> </w:t>
      </w:r>
    </w:p>
    <w:bookmarkEnd w:id="76"/>
    <w:bookmarkStart w:id="78"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 Environ Hum. 2024;2: 100037. doi:</w:t>
      </w:r>
      <w:hyperlink r:id="rId77">
        <w:r>
          <w:rPr>
            <w:rStyle w:val="Hyperlink"/>
          </w:rPr>
          <w:t xml:space="preserve">10.1016/j.qeh.2024.100037</w:t>
        </w:r>
      </w:hyperlink>
    </w:p>
    <w:bookmarkEnd w:id="78"/>
    <w:bookmarkStart w:id="79"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Lisbon: Instituto Portugu</w:t>
      </w:r>
      <w:r>
        <w:t xml:space="preserve">ê</w:t>
      </w:r>
      <w:r>
        <w:t xml:space="preserve">s de Arqueologia; 2006. pp. 147–171.</w:t>
      </w:r>
      <w:r>
        <w:t xml:space="preserve"> </w:t>
      </w:r>
    </w:p>
    <w:bookmarkEnd w:id="79"/>
    <w:bookmarkStart w:id="81"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 e0345202. doi:</w:t>
      </w:r>
      <w:hyperlink r:id="rId80">
        <w:r>
          <w:rPr>
            <w:rStyle w:val="Hyperlink"/>
          </w:rPr>
          <w:t xml:space="preserve">10.1371/journal.pone.0345202</w:t>
        </w:r>
      </w:hyperlink>
    </w:p>
    <w:bookmarkEnd w:id="81"/>
    <w:bookmarkStart w:id="83"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 e0211562. doi:</w:t>
      </w:r>
      <w:hyperlink r:id="rId82">
        <w:r>
          <w:rPr>
            <w:rStyle w:val="Hyperlink"/>
          </w:rPr>
          <w:t xml:space="preserve">10.1371/journal.pone.0211562</w:t>
        </w:r>
      </w:hyperlink>
    </w:p>
    <w:bookmarkEnd w:id="83"/>
    <w:bookmarkStart w:id="85"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 Hum Evol. 2013;64: 39–55. doi:</w:t>
      </w:r>
      <w:hyperlink r:id="rId84">
        <w:r>
          <w:rPr>
            <w:rStyle w:val="Hyperlink"/>
          </w:rPr>
          <w:t xml:space="preserve">10.1016/j.jhevol.2012.10.001</w:t>
        </w:r>
      </w:hyperlink>
    </w:p>
    <w:bookmarkEnd w:id="85"/>
    <w:bookmarkStart w:id="87"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 e0189241. doi:</w:t>
      </w:r>
      <w:hyperlink r:id="rId86">
        <w:r>
          <w:rPr>
            <w:rStyle w:val="Hyperlink"/>
          </w:rPr>
          <w:t xml:space="preserve">10.1371/journal.pone.0189241</w:t>
        </w:r>
      </w:hyperlink>
    </w:p>
    <w:bookmarkEnd w:id="87"/>
    <w:bookmarkStart w:id="89"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Quartar. 2018;65: 7–49. doi:</w:t>
      </w:r>
      <w:hyperlink r:id="rId88">
        <w:r>
          <w:rPr>
            <w:rStyle w:val="Hyperlink"/>
          </w:rPr>
          <w:t xml:space="preserve">10.7485/QU65_1</w:t>
        </w:r>
      </w:hyperlink>
    </w:p>
    <w:bookmarkEnd w:id="89"/>
    <w:bookmarkStart w:id="91" w:name="ref-Pebesma_2018"/>
    <w:p>
      <w:pPr>
        <w:pStyle w:val="Bibliography"/>
      </w:pPr>
      <w:r>
        <w:t xml:space="preserve">25.</w:t>
      </w:r>
      <w:r>
        <w:t xml:space="preserve"> </w:t>
      </w:r>
      <w:r>
        <w:t xml:space="preserve">	</w:t>
      </w:r>
      <w:r>
        <w:t xml:space="preserve">Pebesma E. Simple features for</w:t>
      </w:r>
      <w:r>
        <w:t xml:space="preserve"> </w:t>
      </w:r>
      <w:r>
        <w:t xml:space="preserve">R</w:t>
      </w:r>
      <w:r>
        <w:t xml:space="preserve">: Standardized support for spatial vector data. R J. 2018;10: 439–446. doi:</w:t>
      </w:r>
      <w:hyperlink r:id="rId90">
        <w:r>
          <w:rPr>
            <w:rStyle w:val="Hyperlink"/>
          </w:rPr>
          <w:t xml:space="preserve">10.32614/rj-2018-009</w:t>
        </w:r>
      </w:hyperlink>
    </w:p>
    <w:bookmarkEnd w:id="91"/>
    <w:bookmarkStart w:id="93" w:name="ref-rnaturalearth"/>
    <w:p>
      <w:pPr>
        <w:pStyle w:val="Bibliography"/>
      </w:pPr>
      <w:r>
        <w:t xml:space="preserve">26.</w:t>
      </w:r>
      <w:r>
        <w:t xml:space="preserve"> </w:t>
      </w:r>
      <w:r>
        <w:t xml:space="preserve">	</w:t>
      </w:r>
      <w:r>
        <w:t xml:space="preserve">Massicotte P, South A.</w:t>
      </w:r>
      <w:r>
        <w:t xml:space="preserve"> </w:t>
      </w:r>
      <w:r>
        <w:t xml:space="preserve">rnaturalearth</w:t>
      </w:r>
      <w:r>
        <w:t xml:space="preserve">: World map data from</w:t>
      </w:r>
      <w:r>
        <w:t xml:space="preserve"> </w:t>
      </w:r>
      <w:r>
        <w:t xml:space="preserve">Natural Earth</w:t>
      </w:r>
      <w:r>
        <w:t xml:space="preserve">. 2026. doi:</w:t>
      </w:r>
      <w:hyperlink r:id="rId92">
        <w:r>
          <w:rPr>
            <w:rStyle w:val="Hyperlink"/>
          </w:rPr>
          <w:t xml:space="preserve">10.32614/CRAN.package.rnaturalearth</w:t>
        </w:r>
      </w:hyperlink>
    </w:p>
    <w:bookmarkEnd w:id="93"/>
    <w:bookmarkStart w:id="95" w:name="ref-Crema_Bevan_2021"/>
    <w:p>
      <w:pPr>
        <w:pStyle w:val="Bibliography"/>
      </w:pPr>
      <w:r>
        <w:t xml:space="preserve">27.</w:t>
      </w:r>
      <w:r>
        <w:t xml:space="preserve"> </w:t>
      </w:r>
      <w:r>
        <w:t xml:space="preserve">	</w:t>
      </w:r>
      <w:r>
        <w:t xml:space="preserve">Crema ER, Bevan A. Inference from large sets of radiocarbon dates: Software and methods. Radiocarbon. 2021;63: 23–39. doi:</w:t>
      </w:r>
      <w:hyperlink r:id="rId94">
        <w:r>
          <w:rPr>
            <w:rStyle w:val="Hyperlink"/>
          </w:rPr>
          <w:t xml:space="preserve">10.1017/RDC.2020.95</w:t>
        </w:r>
      </w:hyperlink>
    </w:p>
    <w:bookmarkEnd w:id="95"/>
    <w:bookmarkStart w:id="97" w:name="ref-Fletcher_Sánchez"/>
    <w:p>
      <w:pPr>
        <w:pStyle w:val="Bibliography"/>
      </w:pPr>
      <w:r>
        <w:t xml:space="preserve">28.</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 Sci Rev. 2010;29: 2839–2864. doi:</w:t>
      </w:r>
      <w:hyperlink r:id="rId96">
        <w:r>
          <w:rPr>
            <w:rStyle w:val="Hyperlink"/>
          </w:rPr>
          <w:t xml:space="preserve">10.1016/j.quascirev.2009.11.015</w:t>
        </w:r>
      </w:hyperlink>
    </w:p>
    <w:bookmarkEnd w:id="97"/>
    <w:bookmarkStart w:id="99"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 Anthropol Sci. 2019;11: 2837–2847. doi:</w:t>
      </w:r>
      <w:hyperlink r:id="rId98">
        <w:r>
          <w:rPr>
            <w:rStyle w:val="Hyperlink"/>
          </w:rPr>
          <w:t xml:space="preserve">10.1007/s12520-018-0742-3</w:t>
        </w:r>
      </w:hyperlink>
    </w:p>
    <w:bookmarkEnd w:id="99"/>
    <w:bookmarkStart w:id="101" w:name="ref-Mantel_Smouse"/>
    <w:p>
      <w:pPr>
        <w:pStyle w:val="Bibliography"/>
      </w:pPr>
      <w:r>
        <w:t xml:space="preserve">30.</w:t>
      </w:r>
      <w:r>
        <w:t xml:space="preserve"> </w:t>
      </w:r>
      <w:r>
        <w:t xml:space="preserve">	</w:t>
      </w:r>
      <w:r>
        <w:t xml:space="preserve">Smouse PE, Long JC. Matrix correlation analysis in anthropology and genetics. Am J Phys Anthropol. 1992;35: 187–213. doi:</w:t>
      </w:r>
      <w:hyperlink r:id="rId100">
        <w:r>
          <w:rPr>
            <w:rStyle w:val="Hyperlink"/>
          </w:rPr>
          <w:t xml:space="preserve">10.1002/ajpa.1330350608</w:t>
        </w:r>
      </w:hyperlink>
    </w:p>
    <w:bookmarkEnd w:id="101"/>
    <w:bookmarkStart w:id="103" w:name="ref-Vegan2001"/>
    <w:p>
      <w:pPr>
        <w:pStyle w:val="Bibliography"/>
      </w:pPr>
      <w:r>
        <w:t xml:space="preserve">31.</w:t>
      </w:r>
      <w:r>
        <w:t xml:space="preserve"> </w:t>
      </w:r>
      <w:r>
        <w:t xml:space="preserve">	</w:t>
      </w:r>
      <w:r>
        <w:t xml:space="preserve">Oksanen J, Simpson GL, Blanchet FG, Kindt R, Legendre P, Minchin PR, et al. Vegan: Community ecology package. 2022. doi:</w:t>
      </w:r>
      <w:hyperlink r:id="rId102">
        <w:r>
          <w:rPr>
            <w:rStyle w:val="Hyperlink"/>
          </w:rPr>
          <w:t xml:space="preserve">10.32614/CRAN.package.vegan</w:t>
        </w:r>
      </w:hyperlink>
    </w:p>
    <w:bookmarkEnd w:id="103"/>
    <w:bookmarkStart w:id="105"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 e0121166. doi:</w:t>
      </w:r>
      <w:hyperlink r:id="rId104">
        <w:r>
          <w:rPr>
            <w:rStyle w:val="Hyperlink"/>
          </w:rPr>
          <w:t xml:space="preserve">10.1371/journal.pone.0121166</w:t>
        </w:r>
      </w:hyperlink>
    </w:p>
    <w:bookmarkEnd w:id="105"/>
    <w:bookmarkStart w:id="107"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 Monogr. 1999;69: 1–24. doi:</w:t>
      </w:r>
      <w:hyperlink r:id="rId106">
        <w:r>
          <w:rPr>
            <w:rStyle w:val="Hyperlink"/>
          </w:rPr>
          <w:t xml:space="preserve">10.1890/0012-9615(1999)069[0001:DBRATM]2.0.CO;2</w:t>
        </w:r>
      </w:hyperlink>
    </w:p>
    <w:bookmarkEnd w:id="107"/>
    <w:bookmarkStart w:id="109"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 Stat Softw. 2008;25: 1–34. doi:</w:t>
      </w:r>
      <w:hyperlink r:id="rId108">
        <w:r>
          <w:rPr>
            <w:rStyle w:val="Hyperlink"/>
          </w:rPr>
          <w:t xml:space="preserve">10.18637/jss.v025.i03</w:t>
        </w:r>
      </w:hyperlink>
    </w:p>
    <w:bookmarkEnd w:id="109"/>
    <w:bookmarkStart w:id="111" w:name="ref-Brower_Kile_1988"/>
    <w:p>
      <w:pPr>
        <w:pStyle w:val="Bibliography"/>
      </w:pPr>
      <w:r>
        <w:t xml:space="preserve">35.</w:t>
      </w:r>
      <w:r>
        <w:t xml:space="preserve"> </w:t>
      </w:r>
      <w:r>
        <w:t xml:space="preserve">	</w:t>
      </w:r>
      <w:r>
        <w:t xml:space="preserve">Brower JC, Kile KM. Seriation of an original data matrix as applied to paleoecology. Lethaia. 1988;21: 79–93. doi:</w:t>
      </w:r>
      <w:hyperlink r:id="rId110">
        <w:r>
          <w:rPr>
            <w:rStyle w:val="Hyperlink"/>
          </w:rPr>
          <w:t xml:space="preserve">10.1111/j.1502-3931.1988.tb01756.x</w:t>
        </w:r>
      </w:hyperlink>
    </w:p>
    <w:bookmarkEnd w:id="111"/>
    <w:bookmarkStart w:id="113" w:name="ref-Mills_2017"/>
    <w:p>
      <w:pPr>
        <w:pStyle w:val="Bibliography"/>
      </w:pPr>
      <w:r>
        <w:t xml:space="preserve">36.</w:t>
      </w:r>
      <w:r>
        <w:t xml:space="preserve"> </w:t>
      </w:r>
      <w:r>
        <w:t xml:space="preserve">	</w:t>
      </w:r>
      <w:r>
        <w:t xml:space="preserve">Mills BJ. Social network analysis in archaeology. Annu Rev Anthropol. 2017;46: 379–397. doi:</w:t>
      </w:r>
      <w:hyperlink r:id="rId112">
        <w:r>
          <w:rPr>
            <w:rStyle w:val="Hyperlink"/>
          </w:rPr>
          <w:t xml:space="preserve">10.1146/annurev-anthro-102116-041423</w:t>
        </w:r>
      </w:hyperlink>
    </w:p>
    <w:bookmarkEnd w:id="113"/>
    <w:bookmarkStart w:id="115" w:name="ref-Fruchterman_Reingold_1991"/>
    <w:p>
      <w:pPr>
        <w:pStyle w:val="Bibliography"/>
      </w:pPr>
      <w:r>
        <w:t xml:space="preserve">37.</w:t>
      </w:r>
      <w:r>
        <w:t xml:space="preserve"> </w:t>
      </w:r>
      <w:r>
        <w:t xml:space="preserve">	</w:t>
      </w:r>
      <w:r>
        <w:t xml:space="preserve">Fruchterman TMJ, Reingold EM. Graph drawing by force-directed placement. Softw Pract Exp. 1991;21: 1129–1164. doi:</w:t>
      </w:r>
      <w:hyperlink r:id="rId114">
        <w:r>
          <w:rPr>
            <w:rStyle w:val="Hyperlink"/>
          </w:rPr>
          <w:t xml:space="preserve">10.1002/spe.4380211102</w:t>
        </w:r>
      </w:hyperlink>
    </w:p>
    <w:bookmarkEnd w:id="115"/>
    <w:bookmarkStart w:id="117" w:name="ref-statnet_package"/>
    <w:p>
      <w:pPr>
        <w:pStyle w:val="Bibliography"/>
      </w:pPr>
      <w:r>
        <w:t xml:space="preserve">38.</w:t>
      </w:r>
      <w:r>
        <w:t xml:space="preserve"> </w:t>
      </w:r>
      <w:r>
        <w:t xml:space="preserve">	</w:t>
      </w:r>
      <w:r>
        <w:t xml:space="preserve">Handcock MS, Hunter DR, Butts CT, Goodreau SM, Krivitsky PN, Bender-deMoll S, et al. Statnet: Software tools for the statistical analysis of network data. Statnet Development Team; 2019. doi:</w:t>
      </w:r>
      <w:hyperlink r:id="rId116">
        <w:r>
          <w:rPr>
            <w:rStyle w:val="Hyperlink"/>
          </w:rPr>
          <w:t xml:space="preserve">10.32614/CRAN.package.statnet</w:t>
        </w:r>
      </w:hyperlink>
    </w:p>
    <w:bookmarkEnd w:id="117"/>
    <w:bookmarkStart w:id="119" w:name="ref-igraph_package"/>
    <w:p>
      <w:pPr>
        <w:pStyle w:val="Bibliography"/>
      </w:pPr>
      <w:r>
        <w:t xml:space="preserve">39.</w:t>
      </w:r>
      <w:r>
        <w:t xml:space="preserve"> </w:t>
      </w:r>
      <w:r>
        <w:t xml:space="preserve">	</w:t>
      </w:r>
      <w:r>
        <w:t xml:space="preserve">Csardi G, Nepusz T. The igraph software package for complex network research. InterJournal. 2006. p. 1695. Available:</w:t>
      </w:r>
      <w:r>
        <w:t xml:space="preserve"> </w:t>
      </w:r>
      <w:hyperlink r:id="rId118">
        <w:r>
          <w:rPr>
            <w:rStyle w:val="Hyperlink"/>
          </w:rPr>
          <w:t xml:space="preserve">https://igraph.org</w:t>
        </w:r>
      </w:hyperlink>
    </w:p>
    <w:bookmarkEnd w:id="119"/>
    <w:bookmarkStart w:id="121"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pp. 1–15. doi:</w:t>
      </w:r>
      <w:hyperlink r:id="rId120">
        <w:r>
          <w:rPr>
            <w:rStyle w:val="Hyperlink"/>
          </w:rPr>
          <w:t xml:space="preserve">10.1002/9781118445112.stat07841</w:t>
        </w:r>
      </w:hyperlink>
    </w:p>
    <w:bookmarkEnd w:id="121"/>
    <w:bookmarkStart w:id="123"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 Hum Behav. 2015;36: 103–109. doi:</w:t>
      </w:r>
      <w:hyperlink r:id="rId122">
        <w:r>
          <w:rPr>
            <w:rStyle w:val="Hyperlink"/>
          </w:rPr>
          <w:t xml:space="preserve">10.1016/j.evolhumbehav.2014.09.006</w:t>
        </w:r>
      </w:hyperlink>
    </w:p>
    <w:bookmarkEnd w:id="123"/>
    <w:bookmarkStart w:id="125"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 Archaeol Method Theory. 2017;24: 424–450. doi:</w:t>
      </w:r>
      <w:hyperlink r:id="rId124">
        <w:r>
          <w:rPr>
            <w:rStyle w:val="Hyperlink"/>
          </w:rPr>
          <w:t xml:space="preserve">10.1007/s10816-015-9272-9</w:t>
        </w:r>
      </w:hyperlink>
    </w:p>
    <w:bookmarkEnd w:id="125"/>
    <w:bookmarkStart w:id="127"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 Archaeol Sci. 2025;180: 106281. doi:</w:t>
      </w:r>
      <w:hyperlink r:id="rId126">
        <w:r>
          <w:rPr>
            <w:rStyle w:val="Hyperlink"/>
          </w:rPr>
          <w:t xml:space="preserve">10.1016/j.jas.2025.106281</w:t>
        </w:r>
      </w:hyperlink>
    </w:p>
    <w:bookmarkEnd w:id="127"/>
    <w:bookmarkStart w:id="129" w:name="ref-Finlayson_Warren_2017"/>
    <w:p>
      <w:pPr>
        <w:pStyle w:val="Bibliography"/>
      </w:pPr>
      <w:r>
        <w:t xml:space="preserve">44.</w:t>
      </w:r>
      <w:r>
        <w:t xml:space="preserve"> </w:t>
      </w:r>
      <w:r>
        <w:t xml:space="preserve">	</w:t>
      </w:r>
      <w:r>
        <w:t xml:space="preserve">Finlayson B, Warren G. The diversity of hunter-gatherer pasts: An introduction. In: Finlayson B, Warren G, editors. The diversity of hunter gatherer pasts. Oxford: Oxbow Books; 2017. pp. 1–14. Available:</w:t>
      </w:r>
      <w:r>
        <w:t xml:space="preserve"> </w:t>
      </w:r>
      <w:hyperlink r:id="rId128">
        <w:r>
          <w:rPr>
            <w:rStyle w:val="Hyperlink"/>
          </w:rPr>
          <w:t xml:space="preserve">http://www.jstor.org/stable/j.ctt1pk86rr.5</w:t>
        </w:r>
      </w:hyperlink>
    </w:p>
    <w:bookmarkEnd w:id="129"/>
    <w:bookmarkStart w:id="131" w:name="ref-Riches_1995"/>
    <w:p>
      <w:pPr>
        <w:pStyle w:val="Bibliography"/>
      </w:pPr>
      <w:r>
        <w:t xml:space="preserve">45.</w:t>
      </w:r>
      <w:r>
        <w:t xml:space="preserve"> </w:t>
      </w:r>
      <w:r>
        <w:t xml:space="preserve">	</w:t>
      </w:r>
      <w:r>
        <w:t xml:space="preserve">Riches D. Hunter-gatherer structural transformations. J R Anthropol Inst. 1995;1: 679–701. doi:</w:t>
      </w:r>
      <w:hyperlink r:id="rId130">
        <w:r>
          <w:rPr>
            <w:rStyle w:val="Hyperlink"/>
          </w:rPr>
          <w:t xml:space="preserve">10.2307/3034956</w:t>
        </w:r>
      </w:hyperlink>
    </w:p>
    <w:bookmarkEnd w:id="131"/>
    <w:bookmarkStart w:id="133"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Orlando: Academic Press; 1985. pp. 3–20. doi:</w:t>
      </w:r>
      <w:hyperlink r:id="rId132">
        <w:r>
          <w:rPr>
            <w:rStyle w:val="Hyperlink"/>
          </w:rPr>
          <w:t xml:space="preserve">10.1016/B978-0-12-564750-2.50006-8</w:t>
        </w:r>
      </w:hyperlink>
    </w:p>
    <w:bookmarkEnd w:id="133"/>
    <w:bookmarkStart w:id="135" w:name="ref-Lane_2017"/>
    <w:p>
      <w:pPr>
        <w:pStyle w:val="Bibliography"/>
      </w:pPr>
      <w:r>
        <w:t xml:space="preserve">47.</w:t>
      </w:r>
      <w:r>
        <w:t xml:space="preserve"> </w:t>
      </w:r>
      <w:r>
        <w:t xml:space="preserve">	</w:t>
      </w:r>
      <w:r>
        <w:t xml:space="preserve">Lane PJ. Archaeological dimensions of past and present hunter-fisher-gatherer diversity. In: Finlayson B, Warren G, editors. The diversity of hunter gatherer pasts. Oxford: Oxbow Books; 2017. pp. 185–196. Available:</w:t>
      </w:r>
      <w:r>
        <w:t xml:space="preserve"> </w:t>
      </w:r>
      <w:hyperlink r:id="rId134">
        <w:r>
          <w:rPr>
            <w:rStyle w:val="Hyperlink"/>
          </w:rPr>
          <w:t xml:space="preserve">http://www.jstor.org/stable/j.ctt1pk86rr.16</w:t>
        </w:r>
      </w:hyperlink>
    </w:p>
    <w:bookmarkEnd w:id="135"/>
    <w:bookmarkStart w:id="136"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Canberra: Aboriginal Studies Press; 2006. pp. 226–241.</w:t>
      </w:r>
      <w:r>
        <w:t xml:space="preserve"> </w:t>
      </w:r>
    </w:p>
    <w:bookmarkEnd w:id="136"/>
    <w:bookmarkStart w:id="138"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 Archaeol Res. 2014;22: 1–42. doi:</w:t>
      </w:r>
      <w:hyperlink r:id="rId137">
        <w:r>
          <w:rPr>
            <w:rStyle w:val="Hyperlink"/>
          </w:rPr>
          <w:t xml:space="preserve">10.1007/s10814-013-9068-y</w:t>
        </w:r>
      </w:hyperlink>
    </w:p>
    <w:bookmarkEnd w:id="138"/>
    <w:bookmarkStart w:id="140"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 Hum Behav. 2022;43: 418–431. doi:</w:t>
      </w:r>
      <w:hyperlink r:id="rId139">
        <w:r>
          <w:rPr>
            <w:rStyle w:val="Hyperlink"/>
          </w:rPr>
          <w:t xml:space="preserve">10.1016/j.evolhumbehav.2022.07.003</w:t>
        </w:r>
      </w:hyperlink>
    </w:p>
    <w:bookmarkEnd w:id="140"/>
    <w:bookmarkStart w:id="142"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 Int. 2012;272–273: 333–353. doi:</w:t>
      </w:r>
      <w:hyperlink r:id="rId141">
        <w:r>
          <w:rPr>
            <w:rStyle w:val="Hyperlink"/>
          </w:rPr>
          <w:t xml:space="preserve">10.1016/j.quaint.2012.03.054</w:t>
        </w:r>
      </w:hyperlink>
    </w:p>
    <w:bookmarkEnd w:id="142"/>
    <w:bookmarkStart w:id="144"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 Prehist Soc. 1987;53: 337–350. doi:</w:t>
      </w:r>
      <w:hyperlink r:id="rId143">
        <w:r>
          <w:rPr>
            <w:rStyle w:val="Hyperlink"/>
          </w:rPr>
          <w:t xml:space="preserve">10.1017/S0079497X00006265</w:t>
        </w:r>
      </w:hyperlink>
    </w:p>
    <w:bookmarkEnd w:id="144"/>
    <w:bookmarkStart w:id="146"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Oxford: Oxbow Books; 2021. pp. 1–24. doi:</w:t>
      </w:r>
      <w:hyperlink r:id="rId145">
        <w:r>
          <w:rPr>
            <w:rStyle w:val="Hyperlink"/>
          </w:rPr>
          <w:t xml:space="preserve">10.2307/j.ctv24q4z2g.5</w:t>
        </w:r>
      </w:hyperlink>
    </w:p>
    <w:bookmarkEnd w:id="146"/>
    <w:bookmarkStart w:id="147"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Stockholm: Almqvist &amp; Wiksell International; 2006. pp. 253–287.</w:t>
      </w:r>
      <w:r>
        <w:t xml:space="preserve"> </w:t>
      </w:r>
    </w:p>
    <w:bookmarkEnd w:id="147"/>
    <w:bookmarkStart w:id="149"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 Archaeol. 2010;29: 197–221. doi:</w:t>
      </w:r>
      <w:hyperlink r:id="rId148">
        <w:r>
          <w:rPr>
            <w:rStyle w:val="Hyperlink"/>
          </w:rPr>
          <w:t xml:space="preserve">10.1179/sea.2010.29.1.013</w:t>
        </w:r>
      </w:hyperlink>
    </w:p>
    <w:bookmarkEnd w:id="149"/>
    <w:bookmarkStart w:id="151"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 J Phys Anthropol. 2015;158: 607–623. doi:</w:t>
      </w:r>
      <w:hyperlink r:id="rId150">
        <w:r>
          <w:rPr>
            <w:rStyle w:val="Hyperlink"/>
          </w:rPr>
          <w:t xml:space="preserve">10.1002/ajpa.22832</w:t>
        </w:r>
      </w:hyperlink>
    </w:p>
    <w:bookmarkEnd w:id="151"/>
    <w:bookmarkStart w:id="152"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Johannesburg: Wits University Press; 2005. pp. 525–554.</w:t>
      </w:r>
      <w:r>
        <w:t xml:space="preserve"> </w:t>
      </w:r>
    </w:p>
    <w:bookmarkEnd w:id="152"/>
    <w:bookmarkStart w:id="154"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Orlando: Academic Press; 1985. pp. 299–323. doi:</w:t>
      </w:r>
      <w:hyperlink r:id="rId153">
        <w:r>
          <w:rPr>
            <w:rStyle w:val="Hyperlink"/>
          </w:rPr>
          <w:t xml:space="preserve">10.1016/B978-0-12-564750-2.50016-0</w:t>
        </w:r>
      </w:hyperlink>
    </w:p>
    <w:bookmarkEnd w:id="154"/>
    <w:bookmarkStart w:id="155"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WT Jr., Versaggi NM, Wanser JC, editors. Social archaeology: Beyond subsistence and dating. New York: Academic Press; 1978. pp. 61–85.</w:t>
      </w:r>
      <w:r>
        <w:t xml:space="preserve"> </w:t>
      </w:r>
    </w:p>
    <w:bookmarkEnd w:id="155"/>
    <w:bookmarkStart w:id="157"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pp. 26–38. doi:</w:t>
      </w:r>
      <w:hyperlink r:id="rId156">
        <w:r>
          <w:rPr>
            <w:rStyle w:val="Hyperlink"/>
          </w:rPr>
          <w:t xml:space="preserve">10.1017/CBO9780511558252.004</w:t>
        </w:r>
      </w:hyperlink>
    </w:p>
    <w:bookmarkEnd w:id="157"/>
    <w:bookmarkStart w:id="159" w:name="ref-Hodder1979"/>
    <w:p>
      <w:pPr>
        <w:pStyle w:val="Bibliography"/>
      </w:pPr>
      <w:r>
        <w:t xml:space="preserve">61.</w:t>
      </w:r>
      <w:r>
        <w:t xml:space="preserve"> </w:t>
      </w:r>
      <w:r>
        <w:t xml:space="preserve">	</w:t>
      </w:r>
      <w:r>
        <w:t xml:space="preserve">Hodder I. Economic and social stress and material culture patterning. Am Antiq. 1979;44: 446–454. doi:</w:t>
      </w:r>
      <w:hyperlink r:id="rId158">
        <w:r>
          <w:rPr>
            <w:rStyle w:val="Hyperlink"/>
          </w:rPr>
          <w:t xml:space="preserve">10.2307/279544</w:t>
        </w:r>
      </w:hyperlink>
    </w:p>
    <w:bookmarkEnd w:id="159"/>
    <w:bookmarkStart w:id="161"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 239–269. doi:</w:t>
      </w:r>
      <w:hyperlink r:id="rId160">
        <w:r>
          <w:rPr>
            <w:rStyle w:val="Hyperlink"/>
          </w:rPr>
          <w:t xml:space="preserve">10.2307/2800797</w:t>
        </w:r>
      </w:hyperlink>
    </w:p>
    <w:bookmarkEnd w:id="161"/>
    <w:bookmarkStart w:id="163" w:name="ref-Binford_1990"/>
    <w:p>
      <w:pPr>
        <w:pStyle w:val="Bibliography"/>
      </w:pPr>
      <w:r>
        <w:t xml:space="preserve">63.</w:t>
      </w:r>
      <w:r>
        <w:t xml:space="preserve"> </w:t>
      </w:r>
      <w:r>
        <w:t xml:space="preserve">	</w:t>
      </w:r>
      <w:r>
        <w:t xml:space="preserve">Binford LR. Mobility, housing, and environment: A comparative study. J Anthropol Res. 1990;46: 119–152. doi:</w:t>
      </w:r>
      <w:hyperlink r:id="rId162">
        <w:r>
          <w:rPr>
            <w:rStyle w:val="Hyperlink"/>
          </w:rPr>
          <w:t xml:space="preserve">10.1086/jar.46.2.3630069</w:t>
        </w:r>
      </w:hyperlink>
    </w:p>
    <w:bookmarkEnd w:id="163"/>
    <w:bookmarkStart w:id="165" w:name="ref-Kelly_1983"/>
    <w:p>
      <w:pPr>
        <w:pStyle w:val="Bibliography"/>
      </w:pPr>
      <w:r>
        <w:t xml:space="preserve">64.</w:t>
      </w:r>
      <w:r>
        <w:t xml:space="preserve"> </w:t>
      </w:r>
      <w:r>
        <w:t xml:space="preserve">	</w:t>
      </w:r>
      <w:r>
        <w:t xml:space="preserve">Kelly RL. Hunter-gatherer mobility strategies. J Anthropol Res. 1983;39: 277–306. doi:</w:t>
      </w:r>
      <w:hyperlink r:id="rId164">
        <w:r>
          <w:rPr>
            <w:rStyle w:val="Hyperlink"/>
          </w:rPr>
          <w:t xml:space="preserve">10.1086/jar.39.3.3629672</w:t>
        </w:r>
      </w:hyperlink>
    </w:p>
    <w:bookmarkEnd w:id="165"/>
    <w:bookmarkStart w:id="167"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 Archaeol Sci Rep. 2024;59: 104798. doi:</w:t>
      </w:r>
      <w:hyperlink r:id="rId166">
        <w:r>
          <w:rPr>
            <w:rStyle w:val="Hyperlink"/>
          </w:rPr>
          <w:t xml:space="preserve">10.1016/j.jasrep.2024.104798</w:t>
        </w:r>
      </w:hyperlink>
    </w:p>
    <w:bookmarkEnd w:id="167"/>
    <w:bookmarkStart w:id="169"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 Anthropol Archaeol. 2006;25: 259–270. doi:</w:t>
      </w:r>
      <w:hyperlink r:id="rId168">
        <w:r>
          <w:rPr>
            <w:rStyle w:val="Hyperlink"/>
          </w:rPr>
          <w:t xml:space="preserve">10.1016/j.jaa.2005.11.004</w:t>
        </w:r>
      </w:hyperlink>
    </w:p>
    <w:bookmarkEnd w:id="169"/>
    <w:bookmarkStart w:id="171"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Los Angeles: Cotsen Institute of Archaeology Press at UCLA; 2011. pp. 85–116. doi:</w:t>
      </w:r>
      <w:hyperlink r:id="rId170">
        <w:r>
          <w:rPr>
            <w:rStyle w:val="Hyperlink"/>
          </w:rPr>
          <w:t xml:space="preserve">10.2307/j.ctvdmwwz4.8</w:t>
        </w:r>
      </w:hyperlink>
    </w:p>
    <w:bookmarkEnd w:id="171"/>
    <w:bookmarkStart w:id="173"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Los Angeles: Cotsen Institute of Archaeology Press at UCLA; 2011. pp. 59–84. doi:</w:t>
      </w:r>
      <w:hyperlink r:id="rId172">
        <w:r>
          <w:rPr>
            <w:rStyle w:val="Hyperlink"/>
          </w:rPr>
          <w:t xml:space="preserve">10.2307/j.ctvdmwwz4.7</w:t>
        </w:r>
      </w:hyperlink>
    </w:p>
    <w:bookmarkEnd w:id="173"/>
    <w:bookmarkStart w:id="175"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Los Angeles: Cotsen Institute of Archaeology Press at UCLA; 2011. pp. 133–166. doi:</w:t>
      </w:r>
      <w:hyperlink r:id="rId174">
        <w:r>
          <w:rPr>
            <w:rStyle w:val="Hyperlink"/>
          </w:rPr>
          <w:t xml:space="preserve">10.2307/j.ctvdmwwz4.10</w:t>
        </w:r>
      </w:hyperlink>
    </w:p>
    <w:bookmarkEnd w:id="175"/>
    <w:bookmarkStart w:id="177"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 Trans R Soc Lond B Biol Sci. 2022;377: 20200318. doi:</w:t>
      </w:r>
      <w:hyperlink r:id="rId176">
        <w:r>
          <w:rPr>
            <w:rStyle w:val="Hyperlink"/>
          </w:rPr>
          <w:t xml:space="preserve">10.1098/rstb.2020.0318</w:t>
        </w:r>
      </w:hyperlink>
    </w:p>
    <w:bookmarkEnd w:id="177"/>
    <w:bookmarkStart w:id="179"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 Cogn Sci. 2026;18: 126–146. doi:</w:t>
      </w:r>
      <w:hyperlink r:id="rId178">
        <w:r>
          <w:rPr>
            <w:rStyle w:val="Hyperlink"/>
          </w:rPr>
          <w:t xml:space="preserve">10.1111/tops.12762</w:t>
        </w:r>
      </w:hyperlink>
    </w:p>
    <w:bookmarkEnd w:id="179"/>
    <w:bookmarkStart w:id="181"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 Afr Archaeol. 2013;11: 197–209. doi:</w:t>
      </w:r>
      <w:hyperlink r:id="rId180">
        <w:r>
          <w:rPr>
            <w:rStyle w:val="Hyperlink"/>
          </w:rPr>
          <w:t xml:space="preserve">10.3213/2191-5784-10243</w:t>
        </w:r>
      </w:hyperlink>
    </w:p>
    <w:bookmarkEnd w:id="181"/>
    <w:bookmarkStart w:id="183" w:name="ref-Newlander_2012"/>
    <w:p>
      <w:pPr>
        <w:pStyle w:val="Bibliography"/>
      </w:pPr>
      <w:r>
        <w:t xml:space="preserve">73.</w:t>
      </w:r>
      <w:r>
        <w:t xml:space="preserve"> </w:t>
      </w:r>
      <w:r>
        <w:t xml:space="preserve">	</w:t>
      </w:r>
      <w:r>
        <w:t xml:space="preserve">Newlander KS. Exchange, embedded procurement, and hunter-gatherer mobility: A case study from the</w:t>
      </w:r>
      <w:r>
        <w:t xml:space="preserve"> </w:t>
      </w:r>
      <w:r>
        <w:t xml:space="preserve">North</w:t>
      </w:r>
      <w:r>
        <w:t xml:space="preserve"> </w:t>
      </w:r>
      <w:r>
        <w:t xml:space="preserve">American</w:t>
      </w:r>
      <w:r>
        <w:t xml:space="preserve"> </w:t>
      </w:r>
      <w:r>
        <w:t xml:space="preserve">Great</w:t>
      </w:r>
      <w:r>
        <w:t xml:space="preserve"> </w:t>
      </w:r>
      <w:r>
        <w:t xml:space="preserve">Basin</w:t>
      </w:r>
      <w:r>
        <w:t xml:space="preserve">. Ph.D., University of Michigan. 2012. Available:</w:t>
      </w:r>
      <w:r>
        <w:t xml:space="preserve"> </w:t>
      </w:r>
      <w:hyperlink r:id="rId182">
        <w:r>
          <w:rPr>
            <w:rStyle w:val="Hyperlink"/>
          </w:rPr>
          <w:t xml:space="preserve">https://www.proquest.com/dissertations-theses/exchange-embedded-procurement-hunter-gatherer/docview/1026968975/se-2?accountid=14784</w:t>
        </w:r>
      </w:hyperlink>
    </w:p>
    <w:bookmarkEnd w:id="183"/>
    <w:bookmarkStart w:id="185"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 e0265329. doi:</w:t>
      </w:r>
      <w:hyperlink r:id="rId184">
        <w:r>
          <w:rPr>
            <w:rStyle w:val="Hyperlink"/>
          </w:rPr>
          <w:t xml:space="preserve">10.1371/journal.pone.0265329</w:t>
        </w:r>
      </w:hyperlink>
    </w:p>
    <w:bookmarkEnd w:id="185"/>
    <w:bookmarkStart w:id="187"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 Anthropol. 1980;21: 609–630. doi:</w:t>
      </w:r>
      <w:hyperlink r:id="rId186">
        <w:r>
          <w:rPr>
            <w:rStyle w:val="Hyperlink"/>
          </w:rPr>
          <w:t xml:space="preserve">10.1086/202540</w:t>
        </w:r>
      </w:hyperlink>
    </w:p>
    <w:bookmarkEnd w:id="187"/>
    <w:bookmarkStart w:id="189"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 Anthropol. 2019;60: 91–137. doi:</w:t>
      </w:r>
      <w:hyperlink r:id="rId188">
        <w:r>
          <w:rPr>
            <w:rStyle w:val="Hyperlink"/>
          </w:rPr>
          <w:t xml:space="preserve">10.1086/701523</w:t>
        </w:r>
      </w:hyperlink>
    </w:p>
    <w:bookmarkEnd w:id="189"/>
    <w:bookmarkStart w:id="191"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 J Archaeol. 1982;1: 247–268. doi:</w:t>
      </w:r>
      <w:hyperlink r:id="rId190">
        <w:r>
          <w:rPr>
            <w:rStyle w:val="Hyperlink"/>
          </w:rPr>
          <w:t xml:space="preserve">10.1111/j.1468-0092.1982.tb00313.x</w:t>
        </w:r>
      </w:hyperlink>
    </w:p>
    <w:bookmarkEnd w:id="191"/>
    <w:bookmarkStart w:id="193"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 Anthropol Archaeol. 2013;32: 368–382. doi:</w:t>
      </w:r>
      <w:hyperlink r:id="rId192">
        <w:r>
          <w:rPr>
            <w:rStyle w:val="Hyperlink"/>
          </w:rPr>
          <w:t xml:space="preserve">10.1016/j.jaa.2013.05.005</w:t>
        </w:r>
      </w:hyperlink>
    </w:p>
    <w:bookmarkEnd w:id="193"/>
    <w:bookmarkStart w:id="195"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2013;5. doi:</w:t>
      </w:r>
      <w:hyperlink r:id="rId194">
        <w:r>
          <w:rPr>
            <w:rStyle w:val="Hyperlink"/>
          </w:rPr>
          <w:t xml:space="preserve">10.4000/palethnologie.4945</w:t>
        </w:r>
      </w:hyperlink>
    </w:p>
    <w:bookmarkEnd w:id="195"/>
    <w:bookmarkStart w:id="197"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 Anthropol. 1982;23: 169–192. doi:</w:t>
      </w:r>
      <w:hyperlink r:id="rId196">
        <w:r>
          <w:rPr>
            <w:rStyle w:val="Hyperlink"/>
          </w:rPr>
          <w:t xml:space="preserve">10.1086/202802</w:t>
        </w:r>
      </w:hyperlink>
    </w:p>
    <w:bookmarkEnd w:id="197"/>
    <w:bookmarkStart w:id="198"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Albany: SUNY Press; 2010. pp. 235–244.</w:t>
      </w:r>
      <w:r>
        <w:t xml:space="preserve"> </w:t>
      </w:r>
    </w:p>
    <w:bookmarkEnd w:id="198"/>
    <w:bookmarkStart w:id="200"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 Rev Anthropol. 1994;23: 483–506. doi:</w:t>
      </w:r>
      <w:hyperlink r:id="rId199">
        <w:r>
          <w:rPr>
            <w:rStyle w:val="Hyperlink"/>
          </w:rPr>
          <w:t xml:space="preserve">10.1146/annurev.an.23.100194.002411</w:t>
        </w:r>
      </w:hyperlink>
    </w:p>
    <w:bookmarkEnd w:id="200"/>
    <w:bookmarkStart w:id="202" w:name="ref-Frerebeau_2025"/>
    <w:p>
      <w:pPr>
        <w:pStyle w:val="Bibliography"/>
      </w:pPr>
      <w:r>
        <w:t xml:space="preserve">83.</w:t>
      </w:r>
      <w:r>
        <w:t xml:space="preserve"> </w:t>
      </w:r>
      <w:r>
        <w:t xml:space="preserve">	</w:t>
      </w:r>
      <w:r>
        <w:t xml:space="preserve">Frerebeau N. Tabula: Analysis and visualization of archaeological count data. Zenodo; 2025. doi:</w:t>
      </w:r>
      <w:hyperlink r:id="rId201">
        <w:r>
          <w:rPr>
            <w:rStyle w:val="Hyperlink"/>
          </w:rPr>
          <w:t xml:space="preserve">10.5281/zenodo.15397990</w:t>
        </w:r>
      </w:hyperlink>
    </w:p>
    <w:bookmarkEnd w:id="202"/>
    <w:bookmarkStart w:id="204" w:name="ref-Kintigh_1984"/>
    <w:p>
      <w:pPr>
        <w:pStyle w:val="Bibliography"/>
      </w:pPr>
      <w:r>
        <w:t xml:space="preserve">84.</w:t>
      </w:r>
      <w:r>
        <w:t xml:space="preserve"> </w:t>
      </w:r>
      <w:r>
        <w:t xml:space="preserve">	</w:t>
      </w:r>
      <w:r>
        <w:t xml:space="preserve">Kintigh KW. Measuring archaeological diversity by comparison with simulated assemblages. Am Antiq. 1984;49: 44–54. doi:</w:t>
      </w:r>
      <w:hyperlink r:id="rId203">
        <w:r>
          <w:rPr>
            <w:rStyle w:val="Hyperlink"/>
          </w:rPr>
          <w:t xml:space="preserve">10.2307/280511</w:t>
        </w:r>
      </w:hyperlink>
    </w:p>
    <w:bookmarkEnd w:id="204"/>
    <w:bookmarkStart w:id="206"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 Commun. 2024;15: 7406. doi:</w:t>
      </w:r>
      <w:hyperlink r:id="rId205">
        <w:r>
          <w:rPr>
            <w:rStyle w:val="Hyperlink"/>
          </w:rPr>
          <w:t xml:space="preserve">10.1038/s41467-024-51349-y</w:t>
        </w:r>
      </w:hyperlink>
    </w:p>
    <w:bookmarkEnd w:id="206"/>
    <w:bookmarkStart w:id="208"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 Archaeol. 1992;34: 51. doi:</w:t>
      </w:r>
      <w:hyperlink r:id="rId207">
        <w:r>
          <w:rPr>
            <w:rStyle w:val="Hyperlink"/>
          </w:rPr>
          <w:t xml:space="preserve">10.1080/03122417.1992.11681454</w:t>
        </w:r>
      </w:hyperlink>
    </w:p>
    <w:bookmarkEnd w:id="208"/>
    <w:bookmarkStart w:id="210"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Cambridge University Press; 1993. pp. 81–92. doi:</w:t>
      </w:r>
      <w:hyperlink r:id="rId209">
        <w:r>
          <w:rPr>
            <w:rStyle w:val="Hyperlink"/>
          </w:rPr>
          <w:t xml:space="preserve">10.1017/cbo9780511720277.008</w:t>
        </w:r>
      </w:hyperlink>
    </w:p>
    <w:bookmarkEnd w:id="210"/>
    <w:bookmarkStart w:id="212"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pp. 96–115. doi:</w:t>
      </w:r>
      <w:hyperlink r:id="rId211">
        <w:r>
          <w:rPr>
            <w:rStyle w:val="Hyperlink"/>
          </w:rPr>
          <w:t xml:space="preserve">10.1002/9780470773475.ch5</w:t>
        </w:r>
      </w:hyperlink>
    </w:p>
    <w:bookmarkEnd w:id="212"/>
    <w:bookmarkStart w:id="214"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Orlando: Academic Press; 1985. pp. 385–423. doi:</w:t>
      </w:r>
      <w:hyperlink r:id="rId213">
        <w:r>
          <w:rPr>
            <w:rStyle w:val="Hyperlink"/>
          </w:rPr>
          <w:t xml:space="preserve">10.1016/B978-0-12-564750-2.50020-2</w:t>
        </w:r>
      </w:hyperlink>
    </w:p>
    <w:bookmarkEnd w:id="214"/>
    <w:bookmarkStart w:id="216"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 1994;26: 185–207. doi:</w:t>
      </w:r>
      <w:hyperlink r:id="rId215">
        <w:r>
          <w:rPr>
            <w:rStyle w:val="Hyperlink"/>
          </w:rPr>
          <w:t xml:space="preserve">10.1080/00438243.1994.9980272</w:t>
        </w:r>
      </w:hyperlink>
    </w:p>
    <w:bookmarkEnd w:id="216"/>
    <w:bookmarkStart w:id="218"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pp. 90–102. doi:</w:t>
      </w:r>
      <w:hyperlink r:id="rId217">
        <w:r>
          <w:rPr>
            <w:rStyle w:val="Hyperlink"/>
          </w:rPr>
          <w:t xml:space="preserve">10.1002/9781118253892.ch6</w:t>
        </w:r>
      </w:hyperlink>
    </w:p>
    <w:bookmarkEnd w:id="218"/>
    <w:bookmarkStart w:id="220"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 Antiq. 2005;70: 31–54. doi:</w:t>
      </w:r>
      <w:hyperlink r:id="rId219">
        <w:r>
          <w:rPr>
            <w:rStyle w:val="Hyperlink"/>
          </w:rPr>
          <w:t xml:space="preserve">10.2307/40035267</w:t>
        </w:r>
      </w:hyperlink>
    </w:p>
    <w:bookmarkEnd w:id="220"/>
    <w:bookmarkStart w:id="222"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 Anthropol Archaeol. 1984;3: 190–234. doi:</w:t>
      </w:r>
      <w:hyperlink r:id="rId221">
        <w:r>
          <w:rPr>
            <w:rStyle w:val="Hyperlink"/>
          </w:rPr>
          <w:t xml:space="preserve">10.1016/0278-4165(84)90002-3</w:t>
        </w:r>
      </w:hyperlink>
    </w:p>
    <w:bookmarkEnd w:id="222"/>
    <w:bookmarkStart w:id="224"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 Archaeol. 1992;34: 34–42. doi:</w:t>
      </w:r>
      <w:hyperlink r:id="rId223">
        <w:r>
          <w:rPr>
            <w:rStyle w:val="Hyperlink"/>
          </w:rPr>
          <w:t xml:space="preserve">10.1080/03122417.1992.11681450</w:t>
        </w:r>
      </w:hyperlink>
    </w:p>
    <w:bookmarkEnd w:id="224"/>
    <w:bookmarkStart w:id="226"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Tokyo: Springer Japan; 2015. pp. 103–120. doi:</w:t>
      </w:r>
      <w:hyperlink r:id="rId225">
        <w:r>
          <w:rPr>
            <w:rStyle w:val="Hyperlink"/>
          </w:rPr>
          <w:t xml:space="preserve">10.1007/978-4-431-55363-2_8</w:t>
        </w:r>
      </w:hyperlink>
    </w:p>
    <w:bookmarkEnd w:id="226"/>
    <w:bookmarkStart w:id="227"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Princeton University Press; 1981.</w:t>
      </w:r>
      <w:r>
        <w:t xml:space="preserve"> </w:t>
      </w:r>
    </w:p>
    <w:bookmarkEnd w:id="227"/>
    <w:bookmarkStart w:id="228" w:name="ref-Boyd_Richerson_1985"/>
    <w:p>
      <w:pPr>
        <w:pStyle w:val="Bibliography"/>
      </w:pPr>
      <w:r>
        <w:t xml:space="preserve">97.</w:t>
      </w:r>
      <w:r>
        <w:t xml:space="preserve"> </w:t>
      </w:r>
      <w:r>
        <w:t xml:space="preserve">	</w:t>
      </w:r>
      <w:r>
        <w:t xml:space="preserve">Boyd R, Richerson PJ. Culture and the evolutionary process. Chicago: University of Chicago Press; 1985.</w:t>
      </w:r>
      <w:r>
        <w:t xml:space="preserve"> </w:t>
      </w:r>
    </w:p>
    <w:bookmarkEnd w:id="228"/>
    <w:bookmarkStart w:id="229" w:name="ref-Richerson_Boyd_2005"/>
    <w:p>
      <w:pPr>
        <w:pStyle w:val="Bibliography"/>
      </w:pPr>
      <w:r>
        <w:t xml:space="preserve">98.</w:t>
      </w:r>
      <w:r>
        <w:t xml:space="preserve"> </w:t>
      </w:r>
      <w:r>
        <w:t xml:space="preserve">	</w:t>
      </w:r>
      <w:r>
        <w:t xml:space="preserve">Richerson PJ, Boyd R. Not by genes alone: How culture transformed human evolution. Chicago: University of Chicago Press; 2005.</w:t>
      </w:r>
      <w:r>
        <w:t xml:space="preserve"> </w:t>
      </w:r>
    </w:p>
    <w:bookmarkEnd w:id="229"/>
    <w:bookmarkStart w:id="231"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 Antiq. 2004;69: 197–214. doi:</w:t>
      </w:r>
      <w:hyperlink r:id="rId230">
        <w:r>
          <w:rPr>
            <w:rStyle w:val="Hyperlink"/>
          </w:rPr>
          <w:t xml:space="preserve">10.2307/4128416</w:t>
        </w:r>
      </w:hyperlink>
    </w:p>
    <w:bookmarkEnd w:id="231"/>
    <w:bookmarkStart w:id="233"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 Adv. 2020;6: eaax5913. doi:</w:t>
      </w:r>
      <w:hyperlink r:id="rId232">
        <w:r>
          <w:rPr>
            <w:rStyle w:val="Hyperlink"/>
          </w:rPr>
          <w:t xml:space="preserve">10.1126/sciadv.aax5913</w:t>
        </w:r>
      </w:hyperlink>
    </w:p>
    <w:bookmarkEnd w:id="233"/>
    <w:bookmarkStart w:id="235"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 Rev Camb Philos Soc. 2020;95: 1020–1035. doi:</w:t>
      </w:r>
      <w:hyperlink r:id="rId234">
        <w:r>
          <w:rPr>
            <w:rStyle w:val="Hyperlink"/>
          </w:rPr>
          <w:t xml:space="preserve">10.1111/brv.12599</w:t>
        </w:r>
      </w:hyperlink>
    </w:p>
    <w:bookmarkEnd w:id="235"/>
    <w:bookmarkStart w:id="237"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Oxford University Press; 2023. pp. 459–474. doi:</w:t>
      </w:r>
      <w:hyperlink r:id="rId236">
        <w:r>
          <w:rPr>
            <w:rStyle w:val="Hyperlink"/>
          </w:rPr>
          <w:t xml:space="preserve">10.1093/oxfordhb/9780198854265.013.34</w:t>
        </w:r>
      </w:hyperlink>
    </w:p>
    <w:bookmarkEnd w:id="237"/>
    <w:bookmarkStart w:id="239"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 Anthropol Sci. 2022;14: 174. doi:</w:t>
      </w:r>
      <w:hyperlink r:id="rId238">
        <w:r>
          <w:rPr>
            <w:rStyle w:val="Hyperlink"/>
          </w:rPr>
          <w:t xml:space="preserve">10.1007/s12520-022-01641-z</w:t>
        </w:r>
      </w:hyperlink>
    </w:p>
    <w:bookmarkEnd w:id="239"/>
    <w:bookmarkStart w:id="241" w:name="ref-Intxaurbe_2026"/>
    <w:p>
      <w:pPr>
        <w:pStyle w:val="Bibliography"/>
      </w:pPr>
      <w:r>
        <w:t xml:space="preserve">104.</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 Archaeol Method Theory. 2026;33. doi:</w:t>
      </w:r>
      <w:hyperlink r:id="rId240">
        <w:r>
          <w:rPr>
            <w:rStyle w:val="Hyperlink"/>
          </w:rPr>
          <w:t xml:space="preserve">10.1007/s10816-026-09796-y</w:t>
        </w:r>
      </w:hyperlink>
    </w:p>
    <w:bookmarkEnd w:id="241"/>
    <w:bookmarkStart w:id="243" w:name="ref-Bentz_Dutkiewicz_2026"/>
    <w:p>
      <w:pPr>
        <w:pStyle w:val="Bibliography"/>
      </w:pPr>
      <w:r>
        <w:t xml:space="preserve">105.</w:t>
      </w:r>
      <w:r>
        <w:t xml:space="preserve"> </w:t>
      </w:r>
      <w:r>
        <w:t xml:space="preserve">	</w:t>
      </w:r>
      <w:r>
        <w:t xml:space="preserve">Bentz C, Dutkiewicz E. Humans 40,000 y ago developed a system of conventional signs. Proc Natl Acad Sci U S A. 2026;123: e2520385123. doi:</w:t>
      </w:r>
      <w:hyperlink r:id="rId242">
        <w:r>
          <w:rPr>
            <w:rStyle w:val="Hyperlink"/>
          </w:rPr>
          <w:t xml:space="preserve">10.1073/pnas.2520385123</w:t>
        </w:r>
      </w:hyperlink>
    </w:p>
    <w:bookmarkEnd w:id="243"/>
    <w:bookmarkStart w:id="245" w:name="ref-Bacon_2023"/>
    <w:p>
      <w:pPr>
        <w:pStyle w:val="Bibliography"/>
      </w:pPr>
      <w:r>
        <w:t xml:space="preserve">106.</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 Archaeol J. 2023;33: 371–389. doi:</w:t>
      </w:r>
      <w:hyperlink r:id="rId244">
        <w:r>
          <w:rPr>
            <w:rStyle w:val="Hyperlink"/>
          </w:rPr>
          <w:t xml:space="preserve">10.1017/S0959774322000415</w:t>
        </w:r>
      </w:hyperlink>
    </w:p>
    <w:bookmarkEnd w:id="245"/>
    <w:bookmarkStart w:id="247" w:name="Xa4990169aeb885a690070ab4fd90972c31994f8"/>
    <w:p>
      <w:pPr>
        <w:pStyle w:val="Bibliography"/>
      </w:pPr>
      <w:r>
        <w:t xml:space="preserve">107.</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 J. 2026. doi:</w:t>
      </w:r>
      <w:hyperlink r:id="rId246">
        <w:r>
          <w:rPr>
            <w:rStyle w:val="Hyperlink"/>
          </w:rPr>
          <w:t xml:space="preserve">10.2139/ssrn.7053279</w:t>
        </w:r>
      </w:hyperlink>
    </w:p>
    <w:bookmarkEnd w:id="247"/>
    <w:bookmarkStart w:id="249" w:name="X8ea620419c64d551554c48b7075c9934881930b"/>
    <w:p>
      <w:pPr>
        <w:pStyle w:val="Bibliography"/>
      </w:pPr>
      <w:r>
        <w:t xml:space="preserve">108.</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 Paleolit Archaeol. 2023;6: 32. doi:</w:t>
      </w:r>
      <w:hyperlink r:id="rId248">
        <w:r>
          <w:rPr>
            <w:rStyle w:val="Hyperlink"/>
          </w:rPr>
          <w:t xml:space="preserve">10.1007/s41982-023-00158-8</w:t>
        </w:r>
      </w:hyperlink>
    </w:p>
    <w:bookmarkEnd w:id="249"/>
    <w:bookmarkStart w:id="251" w:name="ref-Magli_2024"/>
    <w:p>
      <w:pPr>
        <w:pStyle w:val="Bibliography"/>
      </w:pPr>
      <w:r>
        <w:t xml:space="preserve">109.</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Mind. 2024;17: 181–189. doi:</w:t>
      </w:r>
      <w:hyperlink r:id="rId250">
        <w:r>
          <w:rPr>
            <w:rStyle w:val="Hyperlink"/>
          </w:rPr>
          <w:t xml:space="preserve">10.1080/1751696X.2024.2441115</w:t>
        </w:r>
      </w:hyperlink>
    </w:p>
    <w:bookmarkEnd w:id="251"/>
    <w:bookmarkStart w:id="253" w:name="ref-Nowell_2024_evidence"/>
    <w:p>
      <w:pPr>
        <w:pStyle w:val="Bibliography"/>
      </w:pPr>
      <w:r>
        <w:t xml:space="preserve">110.</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 Archaeol J. 2025;35: 38–55. doi:</w:t>
      </w:r>
      <w:hyperlink r:id="rId252">
        <w:r>
          <w:rPr>
            <w:rStyle w:val="Hyperlink"/>
          </w:rPr>
          <w:t xml:space="preserve">10.1017/S0959774324000155</w:t>
        </w:r>
      </w:hyperlink>
    </w:p>
    <w:bookmarkEnd w:id="253"/>
    <w:bookmarkStart w:id="255" w:name="ref-Horiuchi_Takakura_2019"/>
    <w:p>
      <w:pPr>
        <w:pStyle w:val="Bibliography"/>
      </w:pPr>
      <w:r>
        <w:t xml:space="preserve">111.</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Singapore: Springer Nature Singapore; 2019. pp. 179–191. doi:</w:t>
      </w:r>
      <w:hyperlink r:id="rId254">
        <w:r>
          <w:rPr>
            <w:rStyle w:val="Hyperlink"/>
          </w:rPr>
          <w:t xml:space="preserve">10.1007/978-981-13-8980-1_12</w:t>
        </w:r>
      </w:hyperlink>
    </w:p>
    <w:bookmarkEnd w:id="255"/>
    <w:bookmarkStart w:id="256" w:name="ref-Rogers_2018"/>
    <w:p>
      <w:pPr>
        <w:pStyle w:val="Bibliography"/>
      </w:pPr>
      <w:r>
        <w:t xml:space="preserve">112.</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r>
        <w:t xml:space="preserve"> </w:t>
      </w:r>
    </w:p>
    <w:bookmarkEnd w:id="256"/>
    <w:bookmarkStart w:id="258" w:name="X94f875be1b7e5d23641daff5d53857bec24e739"/>
    <w:p>
      <w:pPr>
        <w:pStyle w:val="Bibliography"/>
      </w:pPr>
      <w:r>
        <w:t xml:space="preserve">113.</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 Archaeol Sci Rep. 2021;39: 103118. doi:</w:t>
      </w:r>
      <w:hyperlink r:id="rId257">
        <w:r>
          <w:rPr>
            <w:rStyle w:val="Hyperlink"/>
          </w:rPr>
          <w:t xml:space="preserve">10.1016/j.jasrep.2021.103118</w:t>
        </w:r>
      </w:hyperlink>
    </w:p>
    <w:bookmarkEnd w:id="258"/>
    <w:bookmarkStart w:id="260" w:name="ref-Gamble_1982"/>
    <w:p>
      <w:pPr>
        <w:pStyle w:val="Bibliography"/>
      </w:pPr>
      <w:r>
        <w:t xml:space="preserve">114.</w:t>
      </w:r>
      <w:r>
        <w:t xml:space="preserve"> </w:t>
      </w:r>
      <w:r>
        <w:t xml:space="preserve">	</w:t>
      </w:r>
      <w:r>
        <w:t xml:space="preserve">Gamble C. Interaction and alliance in</w:t>
      </w:r>
      <w:r>
        <w:t xml:space="preserve"> </w:t>
      </w:r>
      <w:r>
        <w:t xml:space="preserve">Palaeolithic</w:t>
      </w:r>
      <w:r>
        <w:t xml:space="preserve"> </w:t>
      </w:r>
      <w:r>
        <w:t xml:space="preserve">society. Man. 1982;17: 92–107. doi:</w:t>
      </w:r>
      <w:hyperlink r:id="rId259">
        <w:r>
          <w:rPr>
            <w:rStyle w:val="Hyperlink"/>
          </w:rPr>
          <w:t xml:space="preserve">10.2307/2802103</w:t>
        </w:r>
      </w:hyperlink>
    </w:p>
    <w:bookmarkEnd w:id="260"/>
    <w:bookmarkStart w:id="262" w:name="Xba346573845225b1b1d5ef358e2fea0d893a789"/>
    <w:p>
      <w:pPr>
        <w:pStyle w:val="Bibliography"/>
      </w:pPr>
      <w:r>
        <w:t xml:space="preserve">115.</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 Sci Rev. 2019;217: 316–329. doi:</w:t>
      </w:r>
      <w:hyperlink r:id="rId261">
        <w:r>
          <w:rPr>
            <w:rStyle w:val="Hyperlink"/>
          </w:rPr>
          <w:t xml:space="preserve">10.1016/j.quascirev.2018.12.011</w:t>
        </w:r>
      </w:hyperlink>
    </w:p>
    <w:bookmarkEnd w:id="262"/>
    <w:bookmarkStart w:id="264" w:name="ref-Creanza_Kolodny_Feldman_2017"/>
    <w:p>
      <w:pPr>
        <w:pStyle w:val="Bibliography"/>
      </w:pPr>
      <w:r>
        <w:t xml:space="preserve">116.</w:t>
      </w:r>
      <w:r>
        <w:t xml:space="preserve"> </w:t>
      </w:r>
      <w:r>
        <w:t xml:space="preserve">	</w:t>
      </w:r>
      <w:r>
        <w:t xml:space="preserve">Creanza N, Kolodny O, Feldman MW. Greater than the sum of its parts? Modelling population contact and interaction of cultural repertoires. J R Soc Interface. 2017;14: 20170171. doi:</w:t>
      </w:r>
      <w:hyperlink r:id="rId263">
        <w:r>
          <w:rPr>
            <w:rStyle w:val="Hyperlink"/>
          </w:rPr>
          <w:t xml:space="preserve">10.1098/rsif.2017.0171</w:t>
        </w:r>
      </w:hyperlink>
    </w:p>
    <w:bookmarkEnd w:id="264"/>
    <w:bookmarkStart w:id="266" w:name="ref-Cullen_1996"/>
    <w:p>
      <w:pPr>
        <w:pStyle w:val="Bibliography"/>
      </w:pPr>
      <w:r>
        <w:t xml:space="preserve">117.</w:t>
      </w:r>
      <w:r>
        <w:t xml:space="preserve"> </w:t>
      </w:r>
      <w:r>
        <w:t xml:space="preserve">	</w:t>
      </w:r>
      <w:r>
        <w:t xml:space="preserve">Cullen BRS. Cultural virus theory and the eusocial pottery assemblage. In: Maschner HDG, editor. Darwinian archaeologies. Boston, MA: Springer US; 1996. pp. 43–59. doi:</w:t>
      </w:r>
      <w:hyperlink r:id="rId265">
        <w:r>
          <w:rPr>
            <w:rStyle w:val="Hyperlink"/>
          </w:rPr>
          <w:t xml:space="preserve">10.1007/978-1-4757-9945-3_4</w:t>
        </w:r>
      </w:hyperlink>
    </w:p>
    <w:bookmarkEnd w:id="266"/>
    <w:bookmarkStart w:id="268" w:name="ref-Hill_Wood_Baggio_Hurtado_Boyd_2014"/>
    <w:p>
      <w:pPr>
        <w:pStyle w:val="Bibliography"/>
      </w:pPr>
      <w:r>
        <w:t xml:space="preserve">118.</w:t>
      </w:r>
      <w:r>
        <w:t xml:space="preserve"> </w:t>
      </w:r>
      <w:r>
        <w:t xml:space="preserve">	</w:t>
      </w:r>
      <w:r>
        <w:t xml:space="preserve">Hill KR, Wood BM, Baggio J, Hurtado AM, Boyd RT. Hunter-gatherer inter-band interaction rates: Implications for cumulative culture. PLoS One. 2014;9: e102806. doi:</w:t>
      </w:r>
      <w:hyperlink r:id="rId267">
        <w:r>
          <w:rPr>
            <w:rStyle w:val="Hyperlink"/>
          </w:rPr>
          <w:t xml:space="preserve">10.1371/journal.pone.0102806</w:t>
        </w:r>
      </w:hyperlink>
    </w:p>
    <w:bookmarkEnd w:id="268"/>
    <w:bookmarkStart w:id="270" w:name="ref-Derex_Boyd_2016"/>
    <w:p>
      <w:pPr>
        <w:pStyle w:val="Bibliography"/>
      </w:pPr>
      <w:r>
        <w:t xml:space="preserve">119.</w:t>
      </w:r>
      <w:r>
        <w:t xml:space="preserve"> </w:t>
      </w:r>
      <w:r>
        <w:t xml:space="preserve">	</w:t>
      </w:r>
      <w:r>
        <w:t xml:space="preserve">Derex M, Boyd R. Partial connectivity increases cultural accumulation within groups. Proc Natl Acad Sci U S A. 2016;113: 2982–2987. doi:</w:t>
      </w:r>
      <w:hyperlink r:id="rId269">
        <w:r>
          <w:rPr>
            <w:rStyle w:val="Hyperlink"/>
          </w:rPr>
          <w:t xml:space="preserve">10.1073/pnas.1518798113</w:t>
        </w:r>
      </w:hyperlink>
    </w:p>
    <w:bookmarkEnd w:id="270"/>
    <w:bookmarkStart w:id="271" w:name="ref-Von_Petzinger_2009"/>
    <w:p>
      <w:pPr>
        <w:pStyle w:val="Bibliography"/>
      </w:pPr>
      <w:r>
        <w:t xml:space="preserve">120.</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r>
        <w:t xml:space="preserve"> </w:t>
      </w:r>
    </w:p>
    <w:bookmarkEnd w:id="271"/>
    <w:bookmarkStart w:id="273" w:name="ref-Herskind2023"/>
    <w:p>
      <w:pPr>
        <w:pStyle w:val="Bibliography"/>
      </w:pPr>
      <w:r>
        <w:t xml:space="preserve">121.</w:t>
      </w:r>
      <w:r>
        <w:t xml:space="preserve"> </w:t>
      </w:r>
      <w:r>
        <w:t xml:space="preserve">	</w:t>
      </w:r>
      <w:r>
        <w:t xml:space="preserve">Herskind LLP. A case for idle graffiti: Challenging the semiotic resurgence within prehistoric art research. Hunt Gatherer Res. 2023;9: 59–93. doi:</w:t>
      </w:r>
      <w:hyperlink r:id="rId272">
        <w:r>
          <w:rPr>
            <w:rStyle w:val="Hyperlink"/>
          </w:rPr>
          <w:t xml:space="preserve">10.3828/hgr.2023.12</w:t>
        </w:r>
      </w:hyperlink>
    </w:p>
    <w:bookmarkEnd w:id="273"/>
    <w:bookmarkStart w:id="275" w:name="ref-Gravel-Miguel_Coward_2023"/>
    <w:p>
      <w:pPr>
        <w:pStyle w:val="Bibliography"/>
      </w:pPr>
      <w:r>
        <w:t xml:space="preserve">122.</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Oxford University Press; 2023. pp. 443–458. doi:</w:t>
      </w:r>
      <w:hyperlink r:id="rId274">
        <w:r>
          <w:rPr>
            <w:rStyle w:val="Hyperlink"/>
          </w:rPr>
          <w:t xml:space="preserve">10.1093/oxfordhb/9780198854265.013.31</w:t>
        </w:r>
      </w:hyperlink>
    </w:p>
    <w:bookmarkEnd w:id="275"/>
    <w:bookmarkStart w:id="277" w:name="X42e36537dda68556aeacf852410efd6ac3bb1ca"/>
    <w:p>
      <w:pPr>
        <w:pStyle w:val="Bibliography"/>
      </w:pPr>
      <w:r>
        <w:t xml:space="preserve">123.</w:t>
      </w:r>
      <w:r>
        <w:t xml:space="preserve"> </w:t>
      </w:r>
      <w:r>
        <w:t xml:space="preserve">	</w:t>
      </w:r>
      <w:r>
        <w:t xml:space="preserve">Daems D, Coco E, Gillreath-Brown A, Kafetzaki D. The effects of time-averaging on archaeological networks. J Archaeol Method Theory. 2024;31: 473–506. doi:</w:t>
      </w:r>
      <w:hyperlink r:id="rId276">
        <w:r>
          <w:rPr>
            <w:rStyle w:val="Hyperlink"/>
          </w:rPr>
          <w:t xml:space="preserve">10.1007/s10816-023-09608-7</w:t>
        </w:r>
      </w:hyperlink>
    </w:p>
    <w:bookmarkEnd w:id="277"/>
    <w:bookmarkStart w:id="279" w:name="ref-Chiotti_2005"/>
    <w:p>
      <w:pPr>
        <w:pStyle w:val="Bibliography"/>
      </w:pPr>
      <w:r>
        <w:t xml:space="preserve">124.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278">
        <w:r>
          <w:rPr>
            <w:rStyle w:val="Hyperlink"/>
          </w:rPr>
          <w:t xml:space="preserve">10.30861/9781841718309</w:t>
        </w:r>
      </w:hyperlink>
    </w:p>
    <w:bookmarkEnd w:id="279"/>
    <w:bookmarkStart w:id="281" w:name="ref-Higham_Abri_Pataud_2011"/>
    <w:p>
      <w:pPr>
        <w:pStyle w:val="Bibliography"/>
      </w:pPr>
      <w:r>
        <w:t xml:space="preserve">125.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280">
        <w:r>
          <w:rPr>
            <w:rStyle w:val="Hyperlink"/>
          </w:rPr>
          <w:t xml:space="preserve">10.1016/j.jhevol.2011.06.005</w:t>
        </w:r>
      </w:hyperlink>
    </w:p>
    <w:bookmarkEnd w:id="281"/>
    <w:bookmarkStart w:id="283" w:name="ref-Talamo_La_Ferrassie_2020"/>
    <w:p>
      <w:pPr>
        <w:pStyle w:val="Bibliography"/>
      </w:pPr>
      <w:r>
        <w:t xml:space="preserve">126.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282">
        <w:r>
          <w:rPr>
            <w:rStyle w:val="Hyperlink"/>
          </w:rPr>
          <w:t xml:space="preserve">10.1002/jqs.3236</w:t>
        </w:r>
      </w:hyperlink>
    </w:p>
    <w:bookmarkEnd w:id="283"/>
    <w:bookmarkStart w:id="285" w:name="ref-Wild_et_al_2005"/>
    <w:p>
      <w:pPr>
        <w:pStyle w:val="Bibliography"/>
      </w:pPr>
      <w:r>
        <w:t xml:space="preserve">127.</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284">
        <w:r>
          <w:rPr>
            <w:rStyle w:val="Hyperlink"/>
          </w:rPr>
          <w:t xml:space="preserve">10.1038/nature03585</w:t>
        </w:r>
      </w:hyperlink>
    </w:p>
    <w:bookmarkEnd w:id="285"/>
    <w:bookmarkStart w:id="287" w:name="ref-Schurch_Conard_2026_reassess"/>
    <w:p>
      <w:pPr>
        <w:pStyle w:val="Bibliography"/>
      </w:pPr>
      <w:r>
        <w:t xml:space="preserve">128.</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286">
        <w:r>
          <w:rPr>
            <w:rStyle w:val="Hyperlink"/>
          </w:rPr>
          <w:t xml:space="preserve">10.1007/s41982-025-00246-x</w:t>
        </w:r>
      </w:hyperlink>
    </w:p>
    <w:bookmarkEnd w:id="287"/>
    <w:bookmarkEnd w:id="288"/>
    <w:bookmarkEnd w:id="289"/>
    <w:bookmarkStart w:id="290" w:name="supporting-information"/>
    <w:p>
      <w:pPr>
        <w:pStyle w:val="Heading1"/>
      </w:pPr>
      <w:r>
        <w:t xml:space="preserve">Supporting information</w:t>
      </w:r>
    </w:p>
    <w:p>
      <w:pPr>
        <w:pStyle w:val="FirstParagraph"/>
      </w:pPr>
      <w:r>
        <w:rPr>
          <w:bCs/>
          <w:b/>
        </w:rPr>
        <w:t xml:space="preserve">S1 File. Sensitivity analyses.</w:t>
      </w:r>
      <w:r>
        <w:t xml:space="preserve"> </w:t>
      </w:r>
      <w:r>
        <w:t xml:space="preserve">Detailed sensitivity and robustness analyses for the results in the main text.</w:t>
      </w:r>
    </w:p>
    <w:p>
      <w:pPr>
        <w:pStyle w:val="BodyText"/>
      </w:pPr>
      <w:r>
        <w:rPr>
          <w:bCs/>
          <w:b/>
        </w:rPr>
        <w:t xml:space="preserve">S2 File. Site phase assignments.</w:t>
      </w:r>
      <w:r>
        <w:t xml:space="preserve"> </w:t>
      </w:r>
      <w:r>
        <w:t xml:space="preserve">Rationale, data pipeline, and evidence for assigning sites to Aurignacian phases.</w:t>
      </w:r>
    </w:p>
    <w:bookmarkEnd w:id="290"/>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www.jstor.org/stable/j.ctt1pk86rr.16" TargetMode="External" /><Relationship Type="http://schemas.openxmlformats.org/officeDocument/2006/relationships/hyperlink" Id="rId128" Target="http://www.jstor.org/stable/j.ctt1pk86rr.5" TargetMode="External" /><Relationship Type="http://schemas.openxmlformats.org/officeDocument/2006/relationships/hyperlink" Id="rId44" Target="https://books.google.com/books?id=XmrazQEACAAJ" TargetMode="External" /><Relationship Type="http://schemas.openxmlformats.org/officeDocument/2006/relationships/hyperlink" Id="rId211" Target="https://doi.org/10.1002/9780470773475.ch5" TargetMode="External" /><Relationship Type="http://schemas.openxmlformats.org/officeDocument/2006/relationships/hyperlink" Id="rId217" Target="https://doi.org/10.1002/9781118253892.ch6" TargetMode="External" /><Relationship Type="http://schemas.openxmlformats.org/officeDocument/2006/relationships/hyperlink" Id="rId120" Target="https://doi.org/10.1002/9781118445112.stat07841" TargetMode="External" /><Relationship Type="http://schemas.openxmlformats.org/officeDocument/2006/relationships/hyperlink" Id="rId100" Target="https://doi.org/10.1002/ajpa.1330350608" TargetMode="External" /><Relationship Type="http://schemas.openxmlformats.org/officeDocument/2006/relationships/hyperlink" Id="rId150" Target="https://doi.org/10.1002/ajpa.22832" TargetMode="External" /><Relationship Type="http://schemas.openxmlformats.org/officeDocument/2006/relationships/hyperlink" Id="rId282" Target="https://doi.org/10.1002/jqs.3236" TargetMode="External" /><Relationship Type="http://schemas.openxmlformats.org/officeDocument/2006/relationships/hyperlink" Id="rId114" Target="https://doi.org/10.1002/spe.4380211102" TargetMode="External" /><Relationship Type="http://schemas.openxmlformats.org/officeDocument/2006/relationships/hyperlink" Id="rId265" Target="https://doi.org/10.1007/978-1-4757-9945-3_4" TargetMode="External" /><Relationship Type="http://schemas.openxmlformats.org/officeDocument/2006/relationships/hyperlink" Id="rId70" Target="https://doi.org/10.1007/978-3-319-51726-1_3441-1" TargetMode="External" /><Relationship Type="http://schemas.openxmlformats.org/officeDocument/2006/relationships/hyperlink" Id="rId225" Target="https://doi.org/10.1007/978-4-431-55363-2_8" TargetMode="External" /><Relationship Type="http://schemas.openxmlformats.org/officeDocument/2006/relationships/hyperlink" Id="rId254" Target="https://doi.org/10.1007/978-981-13-8980-1_12" TargetMode="External" /><Relationship Type="http://schemas.openxmlformats.org/officeDocument/2006/relationships/hyperlink" Id="rId137" Target="https://doi.org/10.1007/s10814-013-9068-y" TargetMode="External" /><Relationship Type="http://schemas.openxmlformats.org/officeDocument/2006/relationships/hyperlink" Id="rId124" Target="https://doi.org/10.1007/s10816-015-9272-9" TargetMode="External" /><Relationship Type="http://schemas.openxmlformats.org/officeDocument/2006/relationships/hyperlink" Id="rId276" Target="https://doi.org/10.1007/s10816-023-09608-7" TargetMode="External" /><Relationship Type="http://schemas.openxmlformats.org/officeDocument/2006/relationships/hyperlink" Id="rId240" Target="https://doi.org/10.1007/s10816-026-09796-y" TargetMode="External" /><Relationship Type="http://schemas.openxmlformats.org/officeDocument/2006/relationships/hyperlink" Id="rId98" Target="https://doi.org/10.1007/s12520-018-0742-3" TargetMode="External" /><Relationship Type="http://schemas.openxmlformats.org/officeDocument/2006/relationships/hyperlink" Id="rId238" Target="https://doi.org/10.1007/s12520-022-01641-z" TargetMode="External" /><Relationship Type="http://schemas.openxmlformats.org/officeDocument/2006/relationships/hyperlink" Id="rId248" Target="https://doi.org/10.1007/s41982-023-00158-8" TargetMode="External" /><Relationship Type="http://schemas.openxmlformats.org/officeDocument/2006/relationships/hyperlink" Id="rId286" Target="https://doi.org/10.1007/s41982-025-00246-x" TargetMode="External" /><Relationship Type="http://schemas.openxmlformats.org/officeDocument/2006/relationships/hyperlink" Id="rId221" Target="https://doi.org/10.1016/0278-4165(84)90002-3" TargetMode="External" /><Relationship Type="http://schemas.openxmlformats.org/officeDocument/2006/relationships/hyperlink" Id="rId132" Target="https://doi.org/10.1016/B978-0-12-564750-2.50006-8" TargetMode="External" /><Relationship Type="http://schemas.openxmlformats.org/officeDocument/2006/relationships/hyperlink" Id="rId153" Target="https://doi.org/10.1016/B978-0-12-564750-2.50016-0" TargetMode="External" /><Relationship Type="http://schemas.openxmlformats.org/officeDocument/2006/relationships/hyperlink" Id="rId213" Target="https://doi.org/10.1016/B978-0-12-564750-2.50020-2" TargetMode="External" /><Relationship Type="http://schemas.openxmlformats.org/officeDocument/2006/relationships/hyperlink" Id="rId122" Target="https://doi.org/10.1016/j.evolhumbehav.2014.09.006" TargetMode="External" /><Relationship Type="http://schemas.openxmlformats.org/officeDocument/2006/relationships/hyperlink" Id="rId139" Target="https://doi.org/10.1016/j.evolhumbehav.2022.07.003" TargetMode="External" /><Relationship Type="http://schemas.openxmlformats.org/officeDocument/2006/relationships/hyperlink" Id="rId168" Target="https://doi.org/10.1016/j.jaa.2005.11.004" TargetMode="External" /><Relationship Type="http://schemas.openxmlformats.org/officeDocument/2006/relationships/hyperlink" Id="rId192" Target="https://doi.org/10.1016/j.jaa.2013.05.005" TargetMode="External" /><Relationship Type="http://schemas.openxmlformats.org/officeDocument/2006/relationships/hyperlink" Id="rId54" Target="https://doi.org/10.1016/j.jas.2005.11.017" TargetMode="External" /><Relationship Type="http://schemas.openxmlformats.org/officeDocument/2006/relationships/hyperlink" Id="rId60" Target="https://doi.org/10.1016/j.jas.2012.02.003" TargetMode="External" /><Relationship Type="http://schemas.openxmlformats.org/officeDocument/2006/relationships/hyperlink" Id="rId58" Target="https://doi.org/10.1016/j.jas.2015.05.003" TargetMode="External" /><Relationship Type="http://schemas.openxmlformats.org/officeDocument/2006/relationships/hyperlink" Id="rId126" Target="https://doi.org/10.1016/j.jas.2025.106281" TargetMode="External" /><Relationship Type="http://schemas.openxmlformats.org/officeDocument/2006/relationships/hyperlink" Id="rId257" Target="https://doi.org/10.1016/j.jasrep.2021.103118" TargetMode="External" /><Relationship Type="http://schemas.openxmlformats.org/officeDocument/2006/relationships/hyperlink" Id="rId166" Target="https://doi.org/10.1016/j.jasrep.2024.104798" TargetMode="External" /><Relationship Type="http://schemas.openxmlformats.org/officeDocument/2006/relationships/hyperlink" Id="rId280" Target="https://doi.org/10.1016/j.jhevol.2011.06.005" TargetMode="External" /><Relationship Type="http://schemas.openxmlformats.org/officeDocument/2006/relationships/hyperlink" Id="rId84" Target="https://doi.org/10.1016/j.jhevol.2012.10.001" TargetMode="External" /><Relationship Type="http://schemas.openxmlformats.org/officeDocument/2006/relationships/hyperlink" Id="rId77" Target="https://doi.org/10.1016/j.qeh.2024.100037" TargetMode="External" /><Relationship Type="http://schemas.openxmlformats.org/officeDocument/2006/relationships/hyperlink" Id="rId141" Target="https://doi.org/10.1016/j.quaint.2012.03.054" TargetMode="External" /><Relationship Type="http://schemas.openxmlformats.org/officeDocument/2006/relationships/hyperlink" Id="rId50" Target="https://doi.org/10.1016/j.quaint.2017.01.039" TargetMode="External" /><Relationship Type="http://schemas.openxmlformats.org/officeDocument/2006/relationships/hyperlink" Id="rId56" Target="https://doi.org/10.1016/j.quaint.2017.12.017" TargetMode="External" /><Relationship Type="http://schemas.openxmlformats.org/officeDocument/2006/relationships/hyperlink" Id="rId96" Target="https://doi.org/10.1016/j.quascirev.2009.11.015" TargetMode="External" /><Relationship Type="http://schemas.openxmlformats.org/officeDocument/2006/relationships/hyperlink" Id="rId261" Target="https://doi.org/10.1016/j.quascirev.2018.12.011" TargetMode="External" /><Relationship Type="http://schemas.openxmlformats.org/officeDocument/2006/relationships/hyperlink" Id="rId66" Target="https://doi.org/10.1016/j.quascirev.2021.106995" TargetMode="External" /><Relationship Type="http://schemas.openxmlformats.org/officeDocument/2006/relationships/hyperlink" Id="rId156" Target="https://doi.org/10.1017/CBO9780511558252.004" TargetMode="External" /><Relationship Type="http://schemas.openxmlformats.org/officeDocument/2006/relationships/hyperlink" Id="rId94" Target="https://doi.org/10.1017/RDC.2020.95" TargetMode="External" /><Relationship Type="http://schemas.openxmlformats.org/officeDocument/2006/relationships/hyperlink" Id="rId143" Target="https://doi.org/10.1017/S0079497X00006265" TargetMode="External" /><Relationship Type="http://schemas.openxmlformats.org/officeDocument/2006/relationships/hyperlink" Id="rId244" Target="https://doi.org/10.1017/S0959774322000415" TargetMode="External" /><Relationship Type="http://schemas.openxmlformats.org/officeDocument/2006/relationships/hyperlink" Id="rId252" Target="https://doi.org/10.1017/S0959774324000155" TargetMode="External" /><Relationship Type="http://schemas.openxmlformats.org/officeDocument/2006/relationships/hyperlink" Id="rId209" Target="https://doi.org/10.1017/cbo9780511720277.008" TargetMode="External" /><Relationship Type="http://schemas.openxmlformats.org/officeDocument/2006/relationships/hyperlink" Id="rId72" Target="https://doi.org/10.1017/ppr.2019.11" TargetMode="External" /><Relationship Type="http://schemas.openxmlformats.org/officeDocument/2006/relationships/hyperlink" Id="rId284" Target="https://doi.org/10.1038/nature03585" TargetMode="External" /><Relationship Type="http://schemas.openxmlformats.org/officeDocument/2006/relationships/hyperlink" Id="rId205" Target="https://doi.org/10.1038/s41467-024-51349-y" TargetMode="External" /><Relationship Type="http://schemas.openxmlformats.org/officeDocument/2006/relationships/hyperlink" Id="rId48" Target="https://doi.org/10.1038/s41562-023-01803-6" TargetMode="External" /><Relationship Type="http://schemas.openxmlformats.org/officeDocument/2006/relationships/hyperlink" Id="rId62" Target="https://doi.org/10.1038/s41597-020-00704-x" TargetMode="External" /><Relationship Type="http://schemas.openxmlformats.org/officeDocument/2006/relationships/hyperlink" Id="rId64" Target="https://doi.org/10.1038/s41598-021-01221-6" TargetMode="External" /><Relationship Type="http://schemas.openxmlformats.org/officeDocument/2006/relationships/hyperlink" Id="rId269" Target="https://doi.org/10.1073/pnas.1518798113" TargetMode="External" /><Relationship Type="http://schemas.openxmlformats.org/officeDocument/2006/relationships/hyperlink" Id="rId242" Target="https://doi.org/10.1073/pnas.2520385123" TargetMode="External" /><Relationship Type="http://schemas.openxmlformats.org/officeDocument/2006/relationships/hyperlink" Id="rId215" Target="https://doi.org/10.1080/00438243.1994.9980272" TargetMode="External" /><Relationship Type="http://schemas.openxmlformats.org/officeDocument/2006/relationships/hyperlink" Id="rId223" Target="https://doi.org/10.1080/03122417.1992.11681450" TargetMode="External" /><Relationship Type="http://schemas.openxmlformats.org/officeDocument/2006/relationships/hyperlink" Id="rId207" Target="https://doi.org/10.1080/03122417.1992.11681454" TargetMode="External" /><Relationship Type="http://schemas.openxmlformats.org/officeDocument/2006/relationships/hyperlink" Id="rId250" Target="https://doi.org/10.1080/1751696X.2024.2441115" TargetMode="External" /><Relationship Type="http://schemas.openxmlformats.org/officeDocument/2006/relationships/hyperlink" Id="rId186" Target="https://doi.org/10.1086/202540" TargetMode="External" /><Relationship Type="http://schemas.openxmlformats.org/officeDocument/2006/relationships/hyperlink" Id="rId196" Target="https://doi.org/10.1086/202802" TargetMode="External" /><Relationship Type="http://schemas.openxmlformats.org/officeDocument/2006/relationships/hyperlink" Id="rId188" Target="https://doi.org/10.1086/701523" TargetMode="External" /><Relationship Type="http://schemas.openxmlformats.org/officeDocument/2006/relationships/hyperlink" Id="rId164" Target="https://doi.org/10.1086/jar.39.3.3629672" TargetMode="External" /><Relationship Type="http://schemas.openxmlformats.org/officeDocument/2006/relationships/hyperlink" Id="rId162" Target="https://doi.org/10.1086/jar.46.2.3630069" TargetMode="External" /><Relationship Type="http://schemas.openxmlformats.org/officeDocument/2006/relationships/hyperlink" Id="rId274" Target="https://doi.org/10.1093/oxfordhb/9780198854265.013.31" TargetMode="External" /><Relationship Type="http://schemas.openxmlformats.org/officeDocument/2006/relationships/hyperlink" Id="rId236" Target="https://doi.org/10.1093/oxfordhb/9780198854265.013.34" TargetMode="External" /><Relationship Type="http://schemas.openxmlformats.org/officeDocument/2006/relationships/hyperlink" Id="rId263" Target="https://doi.org/10.1098/rsif.2017.0171" TargetMode="External" /><Relationship Type="http://schemas.openxmlformats.org/officeDocument/2006/relationships/hyperlink" Id="rId176" Target="https://doi.org/10.1098/rstb.2020.0318" TargetMode="External" /><Relationship Type="http://schemas.openxmlformats.org/officeDocument/2006/relationships/hyperlink" Id="rId234" Target="https://doi.org/10.1111/brv.12599" TargetMode="External" /><Relationship Type="http://schemas.openxmlformats.org/officeDocument/2006/relationships/hyperlink" Id="rId190" Target="https://doi.org/10.1111/j.1468-0092.1982.tb00313.x" TargetMode="External" /><Relationship Type="http://schemas.openxmlformats.org/officeDocument/2006/relationships/hyperlink" Id="rId110" Target="https://doi.org/10.1111/j.1502-3931.1988.tb01756.x" TargetMode="External" /><Relationship Type="http://schemas.openxmlformats.org/officeDocument/2006/relationships/hyperlink" Id="rId178" Target="https://doi.org/10.1111/tops.12762" TargetMode="External" /><Relationship Type="http://schemas.openxmlformats.org/officeDocument/2006/relationships/hyperlink" Id="rId232" Target="https://doi.org/10.1126/sciadv.aax5913" TargetMode="External" /><Relationship Type="http://schemas.openxmlformats.org/officeDocument/2006/relationships/hyperlink" Id="rId112" Target="https://doi.org/10.1146/annurev-anthro-102116-041423" TargetMode="External" /><Relationship Type="http://schemas.openxmlformats.org/officeDocument/2006/relationships/hyperlink" Id="rId199" Target="https://doi.org/10.1146/annurev.an.23.100194.002411" TargetMode="External" /><Relationship Type="http://schemas.openxmlformats.org/officeDocument/2006/relationships/hyperlink" Id="rId52" Target="https://doi.org/10.1177/0392192107076870" TargetMode="External" /><Relationship Type="http://schemas.openxmlformats.org/officeDocument/2006/relationships/hyperlink" Id="rId148" Target="https://doi.org/10.1179/sea.2010.29.1.013" TargetMode="External" /><Relationship Type="http://schemas.openxmlformats.org/officeDocument/2006/relationships/hyperlink" Id="rId267" Target="https://doi.org/10.1371/journal.pone.0102806" TargetMode="External" /><Relationship Type="http://schemas.openxmlformats.org/officeDocument/2006/relationships/hyperlink" Id="rId104" Target="https://doi.org/10.1371/journal.pone.0121166" TargetMode="External" /><Relationship Type="http://schemas.openxmlformats.org/officeDocument/2006/relationships/hyperlink" Id="rId86" Target="https://doi.org/10.1371/journal.pone.0189241" TargetMode="External" /><Relationship Type="http://schemas.openxmlformats.org/officeDocument/2006/relationships/hyperlink" Id="rId82" Target="https://doi.org/10.1371/journal.pone.0211562" TargetMode="External" /><Relationship Type="http://schemas.openxmlformats.org/officeDocument/2006/relationships/hyperlink" Id="rId184" Target="https://doi.org/10.1371/journal.pone.0265329" TargetMode="External" /><Relationship Type="http://schemas.openxmlformats.org/officeDocument/2006/relationships/hyperlink" Id="rId46" Target="https://doi.org/10.1371/journal.pone.0323148" TargetMode="External" /><Relationship Type="http://schemas.openxmlformats.org/officeDocument/2006/relationships/hyperlink" Id="rId80" Target="https://doi.org/10.1371/journal.pone.0345202" TargetMode="External" /><Relationship Type="http://schemas.openxmlformats.org/officeDocument/2006/relationships/hyperlink" Id="rId108" Target="https://doi.org/10.18637/jss.v025.i03" TargetMode="External" /><Relationship Type="http://schemas.openxmlformats.org/officeDocument/2006/relationships/hyperlink" Id="rId106" Target="https://doi.org/10.1890/0012-9615(1999)069[0001:DBRATM]2.0.CO;2" TargetMode="External" /><Relationship Type="http://schemas.openxmlformats.org/officeDocument/2006/relationships/hyperlink" Id="rId246" Target="https://doi.org/10.2139/ssrn.7053279" TargetMode="External" /><Relationship Type="http://schemas.openxmlformats.org/officeDocument/2006/relationships/hyperlink" Id="rId158" Target="https://doi.org/10.2307/279544" TargetMode="External" /><Relationship Type="http://schemas.openxmlformats.org/officeDocument/2006/relationships/hyperlink" Id="rId160" Target="https://doi.org/10.2307/2800797" TargetMode="External" /><Relationship Type="http://schemas.openxmlformats.org/officeDocument/2006/relationships/hyperlink" Id="rId259" Target="https://doi.org/10.2307/2802103" TargetMode="External" /><Relationship Type="http://schemas.openxmlformats.org/officeDocument/2006/relationships/hyperlink" Id="rId203" Target="https://doi.org/10.2307/280511" TargetMode="External" /><Relationship Type="http://schemas.openxmlformats.org/officeDocument/2006/relationships/hyperlink" Id="rId130" Target="https://doi.org/10.2307/3034956" TargetMode="External" /><Relationship Type="http://schemas.openxmlformats.org/officeDocument/2006/relationships/hyperlink" Id="rId219" Target="https://doi.org/10.2307/40035267" TargetMode="External" /><Relationship Type="http://schemas.openxmlformats.org/officeDocument/2006/relationships/hyperlink" Id="rId230" Target="https://doi.org/10.2307/4128416" TargetMode="External" /><Relationship Type="http://schemas.openxmlformats.org/officeDocument/2006/relationships/hyperlink" Id="rId145" Target="https://doi.org/10.2307/j.ctv24q4z2g.5" TargetMode="External" /><Relationship Type="http://schemas.openxmlformats.org/officeDocument/2006/relationships/hyperlink" Id="rId174" Target="https://doi.org/10.2307/j.ctvdmwwz4.10" TargetMode="External" /><Relationship Type="http://schemas.openxmlformats.org/officeDocument/2006/relationships/hyperlink" Id="rId172" Target="https://doi.org/10.2307/j.ctvdmwwz4.7" TargetMode="External" /><Relationship Type="http://schemas.openxmlformats.org/officeDocument/2006/relationships/hyperlink" Id="rId170" Target="https://doi.org/10.2307/j.ctvdmwwz4.8" TargetMode="External" /><Relationship Type="http://schemas.openxmlformats.org/officeDocument/2006/relationships/hyperlink" Id="rId278" Target="https://doi.org/10.30861/9781841718309" TargetMode="External" /><Relationship Type="http://schemas.openxmlformats.org/officeDocument/2006/relationships/hyperlink" Id="rId180" Target="https://doi.org/10.3213/2191-5784-10243" TargetMode="External" /><Relationship Type="http://schemas.openxmlformats.org/officeDocument/2006/relationships/hyperlink" Id="rId92" Target="https://doi.org/10.32614/CRAN.package.rnaturalearth" TargetMode="External" /><Relationship Type="http://schemas.openxmlformats.org/officeDocument/2006/relationships/hyperlink" Id="rId116" Target="https://doi.org/10.32614/CRAN.package.statnet" TargetMode="External" /><Relationship Type="http://schemas.openxmlformats.org/officeDocument/2006/relationships/hyperlink" Id="rId102" Target="https://doi.org/10.32614/CRAN.package.vegan" TargetMode="External" /><Relationship Type="http://schemas.openxmlformats.org/officeDocument/2006/relationships/hyperlink" Id="rId90" Target="https://doi.org/10.32614/rj-2018-009" TargetMode="External" /><Relationship Type="http://schemas.openxmlformats.org/officeDocument/2006/relationships/hyperlink" Id="rId272" Target="https://doi.org/10.3828/hgr.2023.12" TargetMode="External" /><Relationship Type="http://schemas.openxmlformats.org/officeDocument/2006/relationships/hyperlink" Id="rId194" Target="https://doi.org/10.4000/palethnologie.4945" TargetMode="External" /><Relationship Type="http://schemas.openxmlformats.org/officeDocument/2006/relationships/hyperlink" Id="rId74" Target="https://doi.org/10.4436/JASS.98021" TargetMode="External" /><Relationship Type="http://schemas.openxmlformats.org/officeDocument/2006/relationships/hyperlink" Id="rId201" Target="https://doi.org/10.5281/zenodo.15397990" TargetMode="External" /><Relationship Type="http://schemas.openxmlformats.org/officeDocument/2006/relationships/hyperlink" Id="rId88" Target="https://doi.org/10.7485/QU65_1" TargetMode="External" /><Relationship Type="http://schemas.openxmlformats.org/officeDocument/2006/relationships/hyperlink" Id="rId118" Target="https://igraph.org" TargetMode="External" /><Relationship Type="http://schemas.openxmlformats.org/officeDocument/2006/relationships/hyperlink" Id="rId68" Target="https://shs.hal.science/halshs-03925722/" TargetMode="External" /><Relationship Type="http://schemas.openxmlformats.org/officeDocument/2006/relationships/hyperlink" Id="rId182"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34" Target="http://www.jstor.org/stable/j.ctt1pk86rr.16" TargetMode="External" /><Relationship Type="http://schemas.openxmlformats.org/officeDocument/2006/relationships/hyperlink" Id="rId128" Target="http://www.jstor.org/stable/j.ctt1pk86rr.5" TargetMode="External" /><Relationship Type="http://schemas.openxmlformats.org/officeDocument/2006/relationships/hyperlink" Id="rId44" Target="https://books.google.com/books?id=XmrazQEACAAJ" TargetMode="External" /><Relationship Type="http://schemas.openxmlformats.org/officeDocument/2006/relationships/hyperlink" Id="rId211" Target="https://doi.org/10.1002/9780470773475.ch5" TargetMode="External" /><Relationship Type="http://schemas.openxmlformats.org/officeDocument/2006/relationships/hyperlink" Id="rId217" Target="https://doi.org/10.1002/9781118253892.ch6" TargetMode="External" /><Relationship Type="http://schemas.openxmlformats.org/officeDocument/2006/relationships/hyperlink" Id="rId120" Target="https://doi.org/10.1002/9781118445112.stat07841" TargetMode="External" /><Relationship Type="http://schemas.openxmlformats.org/officeDocument/2006/relationships/hyperlink" Id="rId100" Target="https://doi.org/10.1002/ajpa.1330350608" TargetMode="External" /><Relationship Type="http://schemas.openxmlformats.org/officeDocument/2006/relationships/hyperlink" Id="rId150" Target="https://doi.org/10.1002/ajpa.22832" TargetMode="External" /><Relationship Type="http://schemas.openxmlformats.org/officeDocument/2006/relationships/hyperlink" Id="rId282" Target="https://doi.org/10.1002/jqs.3236" TargetMode="External" /><Relationship Type="http://schemas.openxmlformats.org/officeDocument/2006/relationships/hyperlink" Id="rId114" Target="https://doi.org/10.1002/spe.4380211102" TargetMode="External" /><Relationship Type="http://schemas.openxmlformats.org/officeDocument/2006/relationships/hyperlink" Id="rId265" Target="https://doi.org/10.1007/978-1-4757-9945-3_4" TargetMode="External" /><Relationship Type="http://schemas.openxmlformats.org/officeDocument/2006/relationships/hyperlink" Id="rId70" Target="https://doi.org/10.1007/978-3-319-51726-1_3441-1" TargetMode="External" /><Relationship Type="http://schemas.openxmlformats.org/officeDocument/2006/relationships/hyperlink" Id="rId225" Target="https://doi.org/10.1007/978-4-431-55363-2_8" TargetMode="External" /><Relationship Type="http://schemas.openxmlformats.org/officeDocument/2006/relationships/hyperlink" Id="rId254" Target="https://doi.org/10.1007/978-981-13-8980-1_12" TargetMode="External" /><Relationship Type="http://schemas.openxmlformats.org/officeDocument/2006/relationships/hyperlink" Id="rId137" Target="https://doi.org/10.1007/s10814-013-9068-y" TargetMode="External" /><Relationship Type="http://schemas.openxmlformats.org/officeDocument/2006/relationships/hyperlink" Id="rId124" Target="https://doi.org/10.1007/s10816-015-9272-9" TargetMode="External" /><Relationship Type="http://schemas.openxmlformats.org/officeDocument/2006/relationships/hyperlink" Id="rId276" Target="https://doi.org/10.1007/s10816-023-09608-7" TargetMode="External" /><Relationship Type="http://schemas.openxmlformats.org/officeDocument/2006/relationships/hyperlink" Id="rId240" Target="https://doi.org/10.1007/s10816-026-09796-y" TargetMode="External" /><Relationship Type="http://schemas.openxmlformats.org/officeDocument/2006/relationships/hyperlink" Id="rId98" Target="https://doi.org/10.1007/s12520-018-0742-3" TargetMode="External" /><Relationship Type="http://schemas.openxmlformats.org/officeDocument/2006/relationships/hyperlink" Id="rId238" Target="https://doi.org/10.1007/s12520-022-01641-z" TargetMode="External" /><Relationship Type="http://schemas.openxmlformats.org/officeDocument/2006/relationships/hyperlink" Id="rId248" Target="https://doi.org/10.1007/s41982-023-00158-8" TargetMode="External" /><Relationship Type="http://schemas.openxmlformats.org/officeDocument/2006/relationships/hyperlink" Id="rId286" Target="https://doi.org/10.1007/s41982-025-00246-x" TargetMode="External" /><Relationship Type="http://schemas.openxmlformats.org/officeDocument/2006/relationships/hyperlink" Id="rId221" Target="https://doi.org/10.1016/0278-4165(84)90002-3" TargetMode="External" /><Relationship Type="http://schemas.openxmlformats.org/officeDocument/2006/relationships/hyperlink" Id="rId132" Target="https://doi.org/10.1016/B978-0-12-564750-2.50006-8" TargetMode="External" /><Relationship Type="http://schemas.openxmlformats.org/officeDocument/2006/relationships/hyperlink" Id="rId153" Target="https://doi.org/10.1016/B978-0-12-564750-2.50016-0" TargetMode="External" /><Relationship Type="http://schemas.openxmlformats.org/officeDocument/2006/relationships/hyperlink" Id="rId213" Target="https://doi.org/10.1016/B978-0-12-564750-2.50020-2" TargetMode="External" /><Relationship Type="http://schemas.openxmlformats.org/officeDocument/2006/relationships/hyperlink" Id="rId122" Target="https://doi.org/10.1016/j.evolhumbehav.2014.09.006" TargetMode="External" /><Relationship Type="http://schemas.openxmlformats.org/officeDocument/2006/relationships/hyperlink" Id="rId139" Target="https://doi.org/10.1016/j.evolhumbehav.2022.07.003" TargetMode="External" /><Relationship Type="http://schemas.openxmlformats.org/officeDocument/2006/relationships/hyperlink" Id="rId168" Target="https://doi.org/10.1016/j.jaa.2005.11.004" TargetMode="External" /><Relationship Type="http://schemas.openxmlformats.org/officeDocument/2006/relationships/hyperlink" Id="rId192" Target="https://doi.org/10.1016/j.jaa.2013.05.005" TargetMode="External" /><Relationship Type="http://schemas.openxmlformats.org/officeDocument/2006/relationships/hyperlink" Id="rId54" Target="https://doi.org/10.1016/j.jas.2005.11.017" TargetMode="External" /><Relationship Type="http://schemas.openxmlformats.org/officeDocument/2006/relationships/hyperlink" Id="rId60" Target="https://doi.org/10.1016/j.jas.2012.02.003" TargetMode="External" /><Relationship Type="http://schemas.openxmlformats.org/officeDocument/2006/relationships/hyperlink" Id="rId58" Target="https://doi.org/10.1016/j.jas.2015.05.003" TargetMode="External" /><Relationship Type="http://schemas.openxmlformats.org/officeDocument/2006/relationships/hyperlink" Id="rId126" Target="https://doi.org/10.1016/j.jas.2025.106281" TargetMode="External" /><Relationship Type="http://schemas.openxmlformats.org/officeDocument/2006/relationships/hyperlink" Id="rId257" Target="https://doi.org/10.1016/j.jasrep.2021.103118" TargetMode="External" /><Relationship Type="http://schemas.openxmlformats.org/officeDocument/2006/relationships/hyperlink" Id="rId166" Target="https://doi.org/10.1016/j.jasrep.2024.104798" TargetMode="External" /><Relationship Type="http://schemas.openxmlformats.org/officeDocument/2006/relationships/hyperlink" Id="rId280" Target="https://doi.org/10.1016/j.jhevol.2011.06.005" TargetMode="External" /><Relationship Type="http://schemas.openxmlformats.org/officeDocument/2006/relationships/hyperlink" Id="rId84" Target="https://doi.org/10.1016/j.jhevol.2012.10.001" TargetMode="External" /><Relationship Type="http://schemas.openxmlformats.org/officeDocument/2006/relationships/hyperlink" Id="rId77" Target="https://doi.org/10.1016/j.qeh.2024.100037" TargetMode="External" /><Relationship Type="http://schemas.openxmlformats.org/officeDocument/2006/relationships/hyperlink" Id="rId141" Target="https://doi.org/10.1016/j.quaint.2012.03.054" TargetMode="External" /><Relationship Type="http://schemas.openxmlformats.org/officeDocument/2006/relationships/hyperlink" Id="rId50" Target="https://doi.org/10.1016/j.quaint.2017.01.039" TargetMode="External" /><Relationship Type="http://schemas.openxmlformats.org/officeDocument/2006/relationships/hyperlink" Id="rId56" Target="https://doi.org/10.1016/j.quaint.2017.12.017" TargetMode="External" /><Relationship Type="http://schemas.openxmlformats.org/officeDocument/2006/relationships/hyperlink" Id="rId96" Target="https://doi.org/10.1016/j.quascirev.2009.11.015" TargetMode="External" /><Relationship Type="http://schemas.openxmlformats.org/officeDocument/2006/relationships/hyperlink" Id="rId261" Target="https://doi.org/10.1016/j.quascirev.2018.12.011" TargetMode="External" /><Relationship Type="http://schemas.openxmlformats.org/officeDocument/2006/relationships/hyperlink" Id="rId66" Target="https://doi.org/10.1016/j.quascirev.2021.106995" TargetMode="External" /><Relationship Type="http://schemas.openxmlformats.org/officeDocument/2006/relationships/hyperlink" Id="rId156" Target="https://doi.org/10.1017/CBO9780511558252.004" TargetMode="External" /><Relationship Type="http://schemas.openxmlformats.org/officeDocument/2006/relationships/hyperlink" Id="rId94" Target="https://doi.org/10.1017/RDC.2020.95" TargetMode="External" /><Relationship Type="http://schemas.openxmlformats.org/officeDocument/2006/relationships/hyperlink" Id="rId143" Target="https://doi.org/10.1017/S0079497X00006265" TargetMode="External" /><Relationship Type="http://schemas.openxmlformats.org/officeDocument/2006/relationships/hyperlink" Id="rId244" Target="https://doi.org/10.1017/S0959774322000415" TargetMode="External" /><Relationship Type="http://schemas.openxmlformats.org/officeDocument/2006/relationships/hyperlink" Id="rId252" Target="https://doi.org/10.1017/S0959774324000155" TargetMode="External" /><Relationship Type="http://schemas.openxmlformats.org/officeDocument/2006/relationships/hyperlink" Id="rId209" Target="https://doi.org/10.1017/cbo9780511720277.008" TargetMode="External" /><Relationship Type="http://schemas.openxmlformats.org/officeDocument/2006/relationships/hyperlink" Id="rId72" Target="https://doi.org/10.1017/ppr.2019.11" TargetMode="External" /><Relationship Type="http://schemas.openxmlformats.org/officeDocument/2006/relationships/hyperlink" Id="rId284" Target="https://doi.org/10.1038/nature03585" TargetMode="External" /><Relationship Type="http://schemas.openxmlformats.org/officeDocument/2006/relationships/hyperlink" Id="rId205" Target="https://doi.org/10.1038/s41467-024-51349-y" TargetMode="External" /><Relationship Type="http://schemas.openxmlformats.org/officeDocument/2006/relationships/hyperlink" Id="rId48" Target="https://doi.org/10.1038/s41562-023-01803-6" TargetMode="External" /><Relationship Type="http://schemas.openxmlformats.org/officeDocument/2006/relationships/hyperlink" Id="rId62" Target="https://doi.org/10.1038/s41597-020-00704-x" TargetMode="External" /><Relationship Type="http://schemas.openxmlformats.org/officeDocument/2006/relationships/hyperlink" Id="rId64" Target="https://doi.org/10.1038/s41598-021-01221-6" TargetMode="External" /><Relationship Type="http://schemas.openxmlformats.org/officeDocument/2006/relationships/hyperlink" Id="rId269" Target="https://doi.org/10.1073/pnas.1518798113" TargetMode="External" /><Relationship Type="http://schemas.openxmlformats.org/officeDocument/2006/relationships/hyperlink" Id="rId242" Target="https://doi.org/10.1073/pnas.2520385123" TargetMode="External" /><Relationship Type="http://schemas.openxmlformats.org/officeDocument/2006/relationships/hyperlink" Id="rId215" Target="https://doi.org/10.1080/00438243.1994.9980272" TargetMode="External" /><Relationship Type="http://schemas.openxmlformats.org/officeDocument/2006/relationships/hyperlink" Id="rId223" Target="https://doi.org/10.1080/03122417.1992.11681450" TargetMode="External" /><Relationship Type="http://schemas.openxmlformats.org/officeDocument/2006/relationships/hyperlink" Id="rId207" Target="https://doi.org/10.1080/03122417.1992.11681454" TargetMode="External" /><Relationship Type="http://schemas.openxmlformats.org/officeDocument/2006/relationships/hyperlink" Id="rId250" Target="https://doi.org/10.1080/1751696X.2024.2441115" TargetMode="External" /><Relationship Type="http://schemas.openxmlformats.org/officeDocument/2006/relationships/hyperlink" Id="rId186" Target="https://doi.org/10.1086/202540" TargetMode="External" /><Relationship Type="http://schemas.openxmlformats.org/officeDocument/2006/relationships/hyperlink" Id="rId196" Target="https://doi.org/10.1086/202802" TargetMode="External" /><Relationship Type="http://schemas.openxmlformats.org/officeDocument/2006/relationships/hyperlink" Id="rId188" Target="https://doi.org/10.1086/701523" TargetMode="External" /><Relationship Type="http://schemas.openxmlformats.org/officeDocument/2006/relationships/hyperlink" Id="rId164" Target="https://doi.org/10.1086/jar.39.3.3629672" TargetMode="External" /><Relationship Type="http://schemas.openxmlformats.org/officeDocument/2006/relationships/hyperlink" Id="rId162" Target="https://doi.org/10.1086/jar.46.2.3630069" TargetMode="External" /><Relationship Type="http://schemas.openxmlformats.org/officeDocument/2006/relationships/hyperlink" Id="rId274" Target="https://doi.org/10.1093/oxfordhb/9780198854265.013.31" TargetMode="External" /><Relationship Type="http://schemas.openxmlformats.org/officeDocument/2006/relationships/hyperlink" Id="rId236" Target="https://doi.org/10.1093/oxfordhb/9780198854265.013.34" TargetMode="External" /><Relationship Type="http://schemas.openxmlformats.org/officeDocument/2006/relationships/hyperlink" Id="rId263" Target="https://doi.org/10.1098/rsif.2017.0171" TargetMode="External" /><Relationship Type="http://schemas.openxmlformats.org/officeDocument/2006/relationships/hyperlink" Id="rId176" Target="https://doi.org/10.1098/rstb.2020.0318" TargetMode="External" /><Relationship Type="http://schemas.openxmlformats.org/officeDocument/2006/relationships/hyperlink" Id="rId234" Target="https://doi.org/10.1111/brv.12599" TargetMode="External" /><Relationship Type="http://schemas.openxmlformats.org/officeDocument/2006/relationships/hyperlink" Id="rId190" Target="https://doi.org/10.1111/j.1468-0092.1982.tb00313.x" TargetMode="External" /><Relationship Type="http://schemas.openxmlformats.org/officeDocument/2006/relationships/hyperlink" Id="rId110" Target="https://doi.org/10.1111/j.1502-3931.1988.tb01756.x" TargetMode="External" /><Relationship Type="http://schemas.openxmlformats.org/officeDocument/2006/relationships/hyperlink" Id="rId178" Target="https://doi.org/10.1111/tops.12762" TargetMode="External" /><Relationship Type="http://schemas.openxmlformats.org/officeDocument/2006/relationships/hyperlink" Id="rId232" Target="https://doi.org/10.1126/sciadv.aax5913" TargetMode="External" /><Relationship Type="http://schemas.openxmlformats.org/officeDocument/2006/relationships/hyperlink" Id="rId112" Target="https://doi.org/10.1146/annurev-anthro-102116-041423" TargetMode="External" /><Relationship Type="http://schemas.openxmlformats.org/officeDocument/2006/relationships/hyperlink" Id="rId199" Target="https://doi.org/10.1146/annurev.an.23.100194.002411" TargetMode="External" /><Relationship Type="http://schemas.openxmlformats.org/officeDocument/2006/relationships/hyperlink" Id="rId52" Target="https://doi.org/10.1177/0392192107076870" TargetMode="External" /><Relationship Type="http://schemas.openxmlformats.org/officeDocument/2006/relationships/hyperlink" Id="rId148" Target="https://doi.org/10.1179/sea.2010.29.1.013" TargetMode="External" /><Relationship Type="http://schemas.openxmlformats.org/officeDocument/2006/relationships/hyperlink" Id="rId267" Target="https://doi.org/10.1371/journal.pone.0102806" TargetMode="External" /><Relationship Type="http://schemas.openxmlformats.org/officeDocument/2006/relationships/hyperlink" Id="rId104" Target="https://doi.org/10.1371/journal.pone.0121166" TargetMode="External" /><Relationship Type="http://schemas.openxmlformats.org/officeDocument/2006/relationships/hyperlink" Id="rId86" Target="https://doi.org/10.1371/journal.pone.0189241" TargetMode="External" /><Relationship Type="http://schemas.openxmlformats.org/officeDocument/2006/relationships/hyperlink" Id="rId82" Target="https://doi.org/10.1371/journal.pone.0211562" TargetMode="External" /><Relationship Type="http://schemas.openxmlformats.org/officeDocument/2006/relationships/hyperlink" Id="rId184" Target="https://doi.org/10.1371/journal.pone.0265329" TargetMode="External" /><Relationship Type="http://schemas.openxmlformats.org/officeDocument/2006/relationships/hyperlink" Id="rId46" Target="https://doi.org/10.1371/journal.pone.0323148" TargetMode="External" /><Relationship Type="http://schemas.openxmlformats.org/officeDocument/2006/relationships/hyperlink" Id="rId80" Target="https://doi.org/10.1371/journal.pone.0345202" TargetMode="External" /><Relationship Type="http://schemas.openxmlformats.org/officeDocument/2006/relationships/hyperlink" Id="rId108" Target="https://doi.org/10.18637/jss.v025.i03" TargetMode="External" /><Relationship Type="http://schemas.openxmlformats.org/officeDocument/2006/relationships/hyperlink" Id="rId106" Target="https://doi.org/10.1890/0012-9615(1999)069[0001:DBRATM]2.0.CO;2" TargetMode="External" /><Relationship Type="http://schemas.openxmlformats.org/officeDocument/2006/relationships/hyperlink" Id="rId246" Target="https://doi.org/10.2139/ssrn.7053279" TargetMode="External" /><Relationship Type="http://schemas.openxmlformats.org/officeDocument/2006/relationships/hyperlink" Id="rId158" Target="https://doi.org/10.2307/279544" TargetMode="External" /><Relationship Type="http://schemas.openxmlformats.org/officeDocument/2006/relationships/hyperlink" Id="rId160" Target="https://doi.org/10.2307/2800797" TargetMode="External" /><Relationship Type="http://schemas.openxmlformats.org/officeDocument/2006/relationships/hyperlink" Id="rId259" Target="https://doi.org/10.2307/2802103" TargetMode="External" /><Relationship Type="http://schemas.openxmlformats.org/officeDocument/2006/relationships/hyperlink" Id="rId203" Target="https://doi.org/10.2307/280511" TargetMode="External" /><Relationship Type="http://schemas.openxmlformats.org/officeDocument/2006/relationships/hyperlink" Id="rId130" Target="https://doi.org/10.2307/3034956" TargetMode="External" /><Relationship Type="http://schemas.openxmlformats.org/officeDocument/2006/relationships/hyperlink" Id="rId219" Target="https://doi.org/10.2307/40035267" TargetMode="External" /><Relationship Type="http://schemas.openxmlformats.org/officeDocument/2006/relationships/hyperlink" Id="rId230" Target="https://doi.org/10.2307/4128416" TargetMode="External" /><Relationship Type="http://schemas.openxmlformats.org/officeDocument/2006/relationships/hyperlink" Id="rId145" Target="https://doi.org/10.2307/j.ctv24q4z2g.5" TargetMode="External" /><Relationship Type="http://schemas.openxmlformats.org/officeDocument/2006/relationships/hyperlink" Id="rId174" Target="https://doi.org/10.2307/j.ctvdmwwz4.10" TargetMode="External" /><Relationship Type="http://schemas.openxmlformats.org/officeDocument/2006/relationships/hyperlink" Id="rId172" Target="https://doi.org/10.2307/j.ctvdmwwz4.7" TargetMode="External" /><Relationship Type="http://schemas.openxmlformats.org/officeDocument/2006/relationships/hyperlink" Id="rId170" Target="https://doi.org/10.2307/j.ctvdmwwz4.8" TargetMode="External" /><Relationship Type="http://schemas.openxmlformats.org/officeDocument/2006/relationships/hyperlink" Id="rId278" Target="https://doi.org/10.30861/9781841718309" TargetMode="External" /><Relationship Type="http://schemas.openxmlformats.org/officeDocument/2006/relationships/hyperlink" Id="rId180" Target="https://doi.org/10.3213/2191-5784-10243" TargetMode="External" /><Relationship Type="http://schemas.openxmlformats.org/officeDocument/2006/relationships/hyperlink" Id="rId92" Target="https://doi.org/10.32614/CRAN.package.rnaturalearth" TargetMode="External" /><Relationship Type="http://schemas.openxmlformats.org/officeDocument/2006/relationships/hyperlink" Id="rId116" Target="https://doi.org/10.32614/CRAN.package.statnet" TargetMode="External" /><Relationship Type="http://schemas.openxmlformats.org/officeDocument/2006/relationships/hyperlink" Id="rId102" Target="https://doi.org/10.32614/CRAN.package.vegan" TargetMode="External" /><Relationship Type="http://schemas.openxmlformats.org/officeDocument/2006/relationships/hyperlink" Id="rId90" Target="https://doi.org/10.32614/rj-2018-009" TargetMode="External" /><Relationship Type="http://schemas.openxmlformats.org/officeDocument/2006/relationships/hyperlink" Id="rId272" Target="https://doi.org/10.3828/hgr.2023.12" TargetMode="External" /><Relationship Type="http://schemas.openxmlformats.org/officeDocument/2006/relationships/hyperlink" Id="rId194" Target="https://doi.org/10.4000/palethnologie.4945" TargetMode="External" /><Relationship Type="http://schemas.openxmlformats.org/officeDocument/2006/relationships/hyperlink" Id="rId74" Target="https://doi.org/10.4436/JASS.98021" TargetMode="External" /><Relationship Type="http://schemas.openxmlformats.org/officeDocument/2006/relationships/hyperlink" Id="rId201" Target="https://doi.org/10.5281/zenodo.15397990" TargetMode="External" /><Relationship Type="http://schemas.openxmlformats.org/officeDocument/2006/relationships/hyperlink" Id="rId88" Target="https://doi.org/10.7485/QU65_1" TargetMode="External" /><Relationship Type="http://schemas.openxmlformats.org/officeDocument/2006/relationships/hyperlink" Id="rId118" Target="https://igraph.org" TargetMode="External" /><Relationship Type="http://schemas.openxmlformats.org/officeDocument/2006/relationships/hyperlink" Id="rId68" Target="https://shs.hal.science/halshs-03925722/" TargetMode="External" /><Relationship Type="http://schemas.openxmlformats.org/officeDocument/2006/relationships/hyperlink" Id="rId182"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2026-10-17T01:00:44Z</dcterms:created>
  <dcterms:modified xsi:type="dcterms:W3CDTF">2026-10-17T01:00:44Z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../templates/plos.csl</vt:lpwstr>
  </property>
  <property fmtid="{D5CDD505-2E9C-101B-9397-08002B2CF9AE}" pid="8" name="date">
    <vt:lpwstr>October 16,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title-block-published">
    <vt:lpwstr>Last updated</vt:lpwstr>
  </property>
  <property fmtid="{D5CDD505-2E9C-101B-9397-08002B2CF9AE}" pid="17" name="toc-title">
    <vt:lpwstr>Table of contents</vt:lpwstr>
  </property>
</Properties>
</file>