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30,</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[12]</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[13]</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bookmarkEnd w:id="29"/>
    <w:bookmarkStart w:id="30" w:name="spy-excluded"/>
    <w:p>
      <w:pPr>
        <w:pStyle w:val="Heading3"/>
      </w:pPr>
      <w:r>
        <w:t xml:space="preserve">Spy → Excluded</w:t>
      </w:r>
    </w:p>
    <w:p>
      <w:pPr>
        <w:numPr>
          <w:ilvl w:val="0"/>
          <w:numId w:val="1008"/>
        </w:numPr>
        <w:pStyle w:val="Compact"/>
      </w:pPr>
      <w:r>
        <w:t xml:space="preserve">[14]</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[15]</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[16]</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[17]</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[14–16]</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1" w:name="references-cited"/>
    <w:p>
      <w:pPr>
        <w:pStyle w:val="Heading2"/>
      </w:pPr>
      <w:r>
        <w:t xml:space="preserve">References cited</w:t>
      </w:r>
    </w:p>
    <w:bookmarkStart w:id="80"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zilhao2003aurignacian"/>
    <w:p>
      <w:pPr>
        <w:pStyle w:val="Bibliography"/>
      </w:pPr>
      <w:r>
        <w:t xml:space="preserve">[12]</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69">
        <w:r>
          <w:rPr>
            <w:rStyle w:val="Hyperlink"/>
          </w:rPr>
          <w:t xml:space="preserve">https://doi.org/10.4000/paleo.1231</w:t>
        </w:r>
      </w:hyperlink>
      <w:r>
        <w:t xml:space="preserve">.</w:t>
      </w:r>
    </w:p>
    <w:bookmarkEnd w:id="70"/>
    <w:bookmarkStart w:id="72" w:name="ref-Schurch_et_al_2025_bladelet"/>
    <w:p>
      <w:pPr>
        <w:pStyle w:val="Bibliography"/>
      </w:pPr>
      <w:r>
        <w:t xml:space="preserve">[13]</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1">
        <w:r>
          <w:rPr>
            <w:rStyle w:val="Hyperlink"/>
          </w:rPr>
          <w:t xml:space="preserve">https://doi.org/10.1371/journal.pone.0331921</w:t>
        </w:r>
      </w:hyperlink>
      <w:r>
        <w:t xml:space="preserve">.</w:t>
      </w:r>
    </w:p>
    <w:bookmarkEnd w:id="72"/>
    <w:bookmarkStart w:id="73" w:name="ref-Flas_et_al_2013"/>
    <w:p>
      <w:pPr>
        <w:pStyle w:val="Bibliography"/>
      </w:pPr>
      <w:r>
        <w:t xml:space="preserve">[14]</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3"/>
    <w:bookmarkStart w:id="75" w:name="ref-Flas_2015"/>
    <w:p>
      <w:pPr>
        <w:pStyle w:val="Bibliography"/>
      </w:pPr>
      <w:r>
        <w:t xml:space="preserve">[15]</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4">
        <w:r>
          <w:rPr>
            <w:rStyle w:val="Hyperlink"/>
          </w:rPr>
          <w:t xml:space="preserve">https://doi.org/10.4000/palethnologie.736</w:t>
        </w:r>
      </w:hyperlink>
      <w:r>
        <w:t xml:space="preserve">.</w:t>
      </w:r>
    </w:p>
    <w:bookmarkEnd w:id="75"/>
    <w:bookmarkStart w:id="77" w:name="ref-Semal_2009"/>
    <w:p>
      <w:pPr>
        <w:pStyle w:val="Bibliography"/>
      </w:pPr>
      <w:r>
        <w:t xml:space="preserve">[16]</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76">
        <w:r>
          <w:rPr>
            <w:rStyle w:val="Hyperlink"/>
          </w:rPr>
          <w:t xml:space="preserve">https://doi.org/10.1002/ajpa.20954</w:t>
        </w:r>
      </w:hyperlink>
      <w:r>
        <w:t xml:space="preserve">.</w:t>
      </w:r>
    </w:p>
    <w:bookmarkEnd w:id="77"/>
    <w:bookmarkStart w:id="79" w:name="ref-Deschamps_2019"/>
    <w:p>
      <w:pPr>
        <w:pStyle w:val="Bibliography"/>
      </w:pPr>
      <w:r>
        <w:t xml:space="preserve">[17]</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78">
        <w:r>
          <w:rPr>
            <w:rStyle w:val="Hyperlink"/>
          </w:rPr>
          <w:t xml:space="preserve">https://doi.org/10.1016/j.crpv.2019.04.001</w:t>
        </w:r>
      </w:hyperlink>
      <w:r>
        <w:t xml:space="preserve">.</w:t>
      </w:r>
    </w:p>
    <w:bookmarkEnd w:id="79"/>
    <w:bookmarkEnd w:id="80"/>
    <w:bookmarkEnd w:id="8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2026-08-30T20:16:31Z</dcterms:created>
  <dcterms:modified xsi:type="dcterms:W3CDTF">2026-08-30T20:16:31Z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30,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