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125.png" ContentType="image/png"/>
  <Override PartName="/word/media/rId128.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126</w:t>
                  </w:r>
                </w:p>
              </w:tc>
              <w:tc>
                <w:tcPr/>
                <w:p>
                  <w:pPr>
                    <w:pStyle w:val="Compact"/>
                    <w:jc w:val="right"/>
                    <w:jc w:val="center"/>
                  </w:pPr>
                  <w:r>
                    <w:t xml:space="preserve">0.663</w:t>
                  </w:r>
                </w:p>
              </w:tc>
              <w:tc>
                <w:tcPr/>
                <w:p>
                  <w:pPr>
                    <w:pStyle w:val="Compact"/>
                    <w:jc w:val="right"/>
                    <w:jc w:val="center"/>
                  </w:pPr>
                  <w:r>
                    <w:t xml:space="preserve">0</w:t>
                  </w:r>
                </w:p>
              </w:tc>
              <w:tc>
                <w:tcPr/>
                <w:p>
                  <w:pPr>
                    <w:pStyle w:val="Compact"/>
                    <w:jc w:val="right"/>
                    <w:jc w:val="center"/>
                  </w:pPr>
                  <w:r>
                    <w:t xml:space="preserve">12.60</w:t>
                  </w:r>
                </w:p>
              </w:tc>
              <w:tc>
                <w:tcPr/>
                <w:p>
                  <w:pPr>
                    <w:pStyle w:val="Compact"/>
                    <w:jc w:val="right"/>
                    <w:jc w:val="center"/>
                  </w:pPr>
                  <w:r>
                    <w:t xml:space="preserve">0.826</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0.089</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54</w:t>
                  </w:r>
                </w:p>
              </w:tc>
              <w:tc>
                <w:tcPr/>
                <w:p>
                  <w:pPr>
                    <w:pStyle w:val="Compact"/>
                    <w:jc w:val="right"/>
                    <w:jc w:val="center"/>
                  </w:pPr>
                  <w:r>
                    <w:t xml:space="preserve">0.284</w:t>
                  </w:r>
                </w:p>
              </w:tc>
              <w:tc>
                <w:tcPr/>
                <w:p>
                  <w:pPr>
                    <w:pStyle w:val="Compact"/>
                    <w:jc w:val="right"/>
                    <w:jc w:val="center"/>
                  </w:pPr>
                  <w:r>
                    <w:t xml:space="preserve">3</w:t>
                  </w:r>
                </w:p>
              </w:tc>
              <w:tc>
                <w:tcPr/>
                <w:p>
                  <w:pPr>
                    <w:pStyle w:val="Compact"/>
                    <w:jc w:val="right"/>
                    <w:jc w:val="center"/>
                  </w:pPr>
                  <w:r>
                    <w:t xml:space="preserve">5.40</w:t>
                  </w:r>
                </w:p>
              </w:tc>
              <w:tc>
                <w:tcPr/>
                <w:p>
                  <w:pPr>
                    <w:pStyle w:val="Compact"/>
                    <w:jc w:val="right"/>
                    <w:jc w:val="center"/>
                  </w:pPr>
                  <w:r>
                    <w:t xml:space="preserve">0.673</w:t>
                  </w:r>
                </w:p>
              </w:tc>
              <w:tc>
                <w:tcPr/>
                <w:p>
                  <w:pPr>
                    <w:pStyle w:val="Compact"/>
                    <w:jc w:val="right"/>
                    <w:jc w:val="center"/>
                  </w:pPr>
                  <w:r>
                    <w:t xml:space="preserve">0.336</w:t>
                  </w:r>
                </w:p>
              </w:tc>
              <w:tc>
                <w:tcPr/>
                <w:p>
                  <w:pPr>
                    <w:pStyle w:val="Compact"/>
                    <w:jc w:val="right"/>
                    <w:jc w:val="center"/>
                  </w:pPr>
                  <w:r>
                    <w:t xml:space="preserve">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0.464</w:t>
                  </w:r>
                </w:p>
              </w:tc>
              <w:tc>
                <w:tcPr/>
                <w:p>
                  <w:pPr>
                    <w:pStyle w:val="Compact"/>
                    <w:jc w:val="right"/>
                    <w:jc w:val="center"/>
                  </w:pPr>
                  <w:r>
                    <w:t xml:space="preserve">1</w:t>
                  </w:r>
                </w:p>
              </w:tc>
              <w:tc>
                <w:tcPr/>
                <w:p>
                  <w:pPr>
                    <w:pStyle w:val="Compact"/>
                    <w:jc w:val="right"/>
                    <w:jc w:val="center"/>
                  </w:pPr>
                  <w:r>
                    <w:t xml:space="preserve">3.25</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3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0.332</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17</w:t>
                  </w:r>
                </w:p>
              </w:tc>
              <w:tc>
                <w:tcPr/>
                <w:p>
                  <w:pPr>
                    <w:pStyle w:val="Compact"/>
                    <w:jc w:val="right"/>
                    <w:jc w:val="center"/>
                  </w:pPr>
                  <w:r>
                    <w:t xml:space="preserve">0.607</w:t>
                  </w:r>
                </w:p>
              </w:tc>
              <w:tc>
                <w:tcPr/>
                <w:p>
                  <w:pPr>
                    <w:pStyle w:val="Compact"/>
                    <w:jc w:val="right"/>
                    <w:jc w:val="center"/>
                  </w:pPr>
                  <w:r>
                    <w:t xml:space="preserve">0</w:t>
                  </w:r>
                </w:p>
              </w:tc>
              <w:tc>
                <w:tcPr/>
                <w:p>
                  <w:pPr>
                    <w:pStyle w:val="Compact"/>
                    <w:jc w:val="right"/>
                    <w:jc w:val="center"/>
                  </w:pPr>
                  <w:r>
                    <w:t xml:space="preserve">4.25</w:t>
                  </w:r>
                </w:p>
              </w:tc>
              <w:tc>
                <w:tcPr/>
                <w:p>
                  <w:pPr>
                    <w:pStyle w:val="Compact"/>
                    <w:jc w:val="right"/>
                    <w:jc w:val="center"/>
                  </w:pPr>
                  <w:r>
                    <w:t xml:space="preserve">0.636</w:t>
                  </w:r>
                </w:p>
              </w:tc>
              <w:tc>
                <w:tcPr/>
                <w:p>
                  <w:pPr>
                    <w:pStyle w:val="Compact"/>
                    <w:jc w:val="right"/>
                    <w:jc w:val="center"/>
                  </w:pPr>
                  <w:r>
                    <w:t xml:space="preserve">0.125</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0.789</w:t>
                  </w:r>
                </w:p>
              </w:tc>
              <w:tc>
                <w:tcPr/>
                <w:p>
                  <w:pPr>
                    <w:pStyle w:val="Compact"/>
                    <w:jc w:val="right"/>
                    <w:jc w:val="center"/>
                  </w:pPr>
                  <w:r>
                    <w:t xml:space="preserve">0.198</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0.053</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24</w:t>
                  </w:r>
                </w:p>
              </w:tc>
              <w:tc>
                <w:tcPr/>
                <w:p>
                  <w:pPr>
                    <w:pStyle w:val="Compact"/>
                    <w:jc w:val="right"/>
                    <w:jc w:val="center"/>
                  </w:pPr>
                  <w:r>
                    <w:t xml:space="preserve">0.857</w:t>
                  </w:r>
                </w:p>
              </w:tc>
              <w:tc>
                <w:tcPr/>
                <w:p>
                  <w:pPr>
                    <w:pStyle w:val="Compact"/>
                    <w:jc w:val="right"/>
                    <w:jc w:val="center"/>
                  </w:pPr>
                  <w:r>
                    <w:t xml:space="preserve">0</w:t>
                  </w:r>
                </w:p>
              </w:tc>
              <w:tc>
                <w:tcPr/>
                <w:p>
                  <w:pPr>
                    <w:pStyle w:val="Compact"/>
                    <w:jc w:val="right"/>
                    <w:jc w:val="center"/>
                  </w:pPr>
                  <w:r>
                    <w:t xml:space="preserve">6.00</w:t>
                  </w:r>
                </w:p>
              </w:tc>
              <w:tc>
                <w:tcPr/>
                <w:p>
                  <w:pPr>
                    <w:pStyle w:val="Compact"/>
                    <w:jc w:val="right"/>
                    <w:jc w:val="center"/>
                  </w:pPr>
                  <w:r>
                    <w:t xml:space="preserve">0.871</w:t>
                  </w:r>
                </w:p>
              </w:tc>
              <w:tc>
                <w:tcPr/>
                <w:p>
                  <w:pPr>
                    <w:pStyle w:val="Compact"/>
                    <w:jc w:val="right"/>
                    <w:jc w:val="center"/>
                  </w:pPr>
                  <w:r>
                    <w:t xml:space="preserve">0.038</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0.025</w:t>
                  </w:r>
                </w:p>
              </w:tc>
              <w:tc>
                <w:tcPr/>
                <w:p>
                  <w:pPr>
                    <w:pStyle w:val="Compact"/>
                    <w:jc w:val="right"/>
                    <w:jc w:val="center"/>
                  </w:pPr>
                  <w:r>
                    <w:t xml:space="preserve">0.370</w:t>
                  </w:r>
                </w:p>
              </w:tc>
              <w:tc>
                <w:tcPr/>
                <w:p>
                  <w:pPr>
                    <w:pStyle w:val="Compact"/>
                    <w:jc w:val="right"/>
                    <w:jc w:val="center"/>
                  </w:pPr>
                  <w:r>
                    <w:t xml:space="preserve">0.045</w:t>
                  </w:r>
                </w:p>
              </w:tc>
              <w:tc>
                <w:tcPr/>
                <w:p>
                  <w:pPr>
                    <w:pStyle w:val="Compact"/>
                    <w:jc w:val="right"/>
                    <w:jc w:val="center"/>
                  </w:pPr>
                  <w:r>
                    <w:t xml:space="preserve">0.306</w:t>
                  </w:r>
                </w:p>
              </w:tc>
            </w:tr>
            <w:tr>
              <w:tc>
                <w:tcPr/>
                <w:p>
                  <w:pPr>
                    <w:pStyle w:val="Compact"/>
                    <w:jc w:val="left"/>
                    <w:jc w:val="center"/>
                  </w:pPr>
                  <w:r>
                    <w:t xml:space="preserve">Aur-P2</w:t>
                  </w:r>
                </w:p>
              </w:tc>
              <w:tc>
                <w:tcPr/>
                <w:p>
                  <w:pPr>
                    <w:pStyle w:val="Compact"/>
                    <w:jc w:val="right"/>
                    <w:jc w:val="center"/>
                  </w:pPr>
                  <w:r>
                    <w:t xml:space="preserve">-0.297</w:t>
                  </w:r>
                </w:p>
              </w:tc>
              <w:tc>
                <w:tcPr/>
                <w:p>
                  <w:pPr>
                    <w:pStyle w:val="Compact"/>
                    <w:jc w:val="right"/>
                    <w:jc w:val="center"/>
                  </w:pPr>
                  <w:r>
                    <w:t xml:space="preserve">0.934</w:t>
                  </w:r>
                </w:p>
              </w:tc>
              <w:tc>
                <w:tcPr/>
                <w:p>
                  <w:pPr>
                    <w:pStyle w:val="Compact"/>
                    <w:jc w:val="right"/>
                    <w:jc w:val="center"/>
                  </w:pPr>
                  <w:r>
                    <w:t xml:space="preserve">-0.303</w:t>
                  </w:r>
                </w:p>
              </w:tc>
              <w:tc>
                <w:tcPr/>
                <w:p>
                  <w:pPr>
                    <w:pStyle w:val="Compact"/>
                    <w:jc w:val="right"/>
                    <w:jc w:val="center"/>
                  </w:pPr>
                  <w:r>
                    <w:t xml:space="preserve">0.940</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0.045</m:t>
        </m:r>
        <m:r>
          <m:rPr>
            <m:sty m:val="p"/>
          </m:rPr>
          <m:t>,</m:t>
        </m:r>
        <m:r>
          <m:t>p</m:t>
        </m:r>
        <m:r>
          <m:rPr>
            <m:sty m:val="p"/>
          </m:rPr>
          <m:t>=</m:t>
        </m:r>
        <m:r>
          <m:t>0.306</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-0.303, p = 0.94),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a three-phase Aurignacian framework: Proto-Aurignacian (43.0–39.8 ka BP), Early Aurignacian (39.8–37.8 ka BP), and Evolved Aurignacian (37.8–32.0 ka BP). This periodisation is conventional in Western European archaeology but not universally accepted. To test whether the network-level findings depend on how the Aurignacian is subdivided, we compare the three-phase scheme against two alternatives: a</w:t>
      </w:r>
      <w:r>
        <w:t xml:space="preserve"> </w:t>
      </w:r>
      <w:r>
        <w:rPr>
          <w:bCs/>
          <w:b/>
        </w:rPr>
        <w:t xml:space="preserve">2-phase framework</w:t>
      </w:r>
      <w:r>
        <w:t xml:space="preserve"> </w:t>
      </w:r>
      <w:r>
        <w:t xml:space="preserve">that merges Proto and Early into a single Early Dispersal phase (43.0–37.8 ka BP) versus Evolved/Late Aurignacian (37.8–32.0 ka BP), following Shao et al. (2021); and a</w:t>
      </w:r>
      <w:r>
        <w:t xml:space="preserve"> </w:t>
      </w:r>
      <w:r>
        <w:rPr>
          <w:bCs/>
          <w:b/>
        </w:rPr>
        <w:t xml:space="preserve">4-phase framework</w:t>
      </w:r>
      <w:r>
        <w:t xml:space="preserve"> </w:t>
      </w:r>
      <w:r>
        <w:t xml:space="preserve">that splits the Evolved Aurignacian into an Evolved phase (37.8–35.0 ka BP) and a Late phase (35.0–32.0 ka BP), following the four-phase Aurignacian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hree-phase-ref"/>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4: Reference: network statistics under the three-phase periodisation used in the main text (threshold = 0.2). Reproduced from</w:t>
            </w:r>
            <w:r>
              <w:t xml:space="preserve"> </w:t>
            </w:r>
            <w:hyperlink w:anchor="tbl-sens-stats">
              <w:r>
                <w:rPr>
                  <w:rStyle w:val="Hyperlink"/>
                </w:rPr>
                <w:t xml:space="preserve">Table 1</w:t>
              </w:r>
            </w:hyperlink>
            <w:r>
              <w:t xml:space="preserve"> </w:t>
            </w:r>
            <w:r>
              <w:t xml:space="preserve">for direct comparison with the two-phase and four-phase schemes below.</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periodisation-stats"/>
          <w:tbl>
            <w:tblPr>
              <w:tblStyle w:val="Table"/>
              <w:tblW w:type="pct" w:w="5000"/>
              <w:tblLook w:firstRow="1" w:lastRow="0" w:firstColumn="0" w:lastColumn="0" w:noHBand="0" w:noVBand="0" w:val="0020"/>
              <w:jc w:val="start"/>
              <w:tblLayout w:type="fixed"/>
            </w:tblPr>
            <w:tblGrid>
              <w:gridCol w:w="2713"/>
              <w:gridCol w:w="440"/>
              <w:gridCol w:w="586"/>
              <w:gridCol w:w="660"/>
              <w:gridCol w:w="880"/>
              <w:gridCol w:w="953"/>
              <w:gridCol w:w="806"/>
              <w:gridCol w:w="880"/>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Proto/Early Combined (43–37.8 ka BP)</w:t>
                  </w:r>
                </w:p>
              </w:tc>
              <w:tc>
                <w:tcPr/>
                <w:p>
                  <w:pPr>
                    <w:pStyle w:val="Compact"/>
                    <w:jc w:val="right"/>
                    <w:jc w:val="center"/>
                  </w:pPr>
                  <w:r>
                    <w:t xml:space="preserve">90</w:t>
                  </w:r>
                </w:p>
              </w:tc>
              <w:tc>
                <w:tcPr/>
                <w:p>
                  <w:pPr>
                    <w:pStyle w:val="Compact"/>
                    <w:jc w:val="right"/>
                    <w:jc w:val="center"/>
                  </w:pPr>
                  <w:r>
                    <w:t xml:space="preserve">0.429</w:t>
                  </w:r>
                </w:p>
              </w:tc>
              <w:tc>
                <w:tcPr/>
                <w:p>
                  <w:pPr>
                    <w:pStyle w:val="Compact"/>
                    <w:jc w:val="right"/>
                    <w:jc w:val="center"/>
                  </w:pPr>
                  <w:r>
                    <w:t xml:space="preserve">2</w:t>
                  </w:r>
                </w:p>
              </w:tc>
              <w:tc>
                <w:tcPr/>
                <w:p>
                  <w:pPr>
                    <w:pStyle w:val="Compact"/>
                    <w:jc w:val="right"/>
                    <w:jc w:val="center"/>
                  </w:pPr>
                  <w:r>
                    <w:t xml:space="preserve">8.57</w:t>
                  </w:r>
                </w:p>
              </w:tc>
              <w:tc>
                <w:tcPr/>
                <w:p>
                  <w:pPr>
                    <w:pStyle w:val="Compact"/>
                    <w:jc w:val="right"/>
                    <w:jc w:val="center"/>
                  </w:pPr>
                  <w:r>
                    <w:t xml:space="preserve">0.729</w:t>
                  </w:r>
                </w:p>
              </w:tc>
              <w:tc>
                <w:tcPr/>
                <w:p>
                  <w:pPr>
                    <w:pStyle w:val="Compact"/>
                    <w:jc w:val="right"/>
                    <w:jc w:val="center"/>
                  </w:pPr>
                  <w:r>
                    <w:t xml:space="preserve">0.303</w:t>
                  </w:r>
                </w:p>
              </w:tc>
              <w:tc>
                <w:tcPr/>
                <w:p>
                  <w:pPr>
                    <w:pStyle w:val="Compact"/>
                    <w:jc w:val="right"/>
                    <w:jc w:val="center"/>
                  </w:pPr>
                  <w:r>
                    <w:t xml:space="preserve">5</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5: Network statistics under the two-phase periodisation scheme (Proto/Early combined vs. Evolved) at threshold = 0.2.</w:t>
            </w:r>
          </w:p>
          <w:bookmarkEnd w:id="44"/>
        </w:tc>
      </w:tr>
    </w:tbl>
    <w:bookmarkEnd w:id="45"/>
    <w:bookmarkStart w:id="48" w:name="s4.2-interpretation"/>
    <w:p>
      <w:pPr>
        <w:pStyle w:val="Heading2"/>
      </w:pPr>
      <w:r>
        <w:t xml:space="preserve">S4.2 Interpretation</w:t>
      </w:r>
    </w:p>
    <w:p>
      <w:pPr>
        <w:pStyle w:val="FirstParagraph"/>
      </w:pPr>
      <w:r>
        <w:t xml:space="preserve">The three-phase, two-phase, and four-phase periodisations yield consistent conclusions about the broad structure of Aurignacian social connectivity, while differing in the resolution at which that structure is visible.</w:t>
      </w:r>
    </w:p>
    <w:p>
      <w:pPr>
        <w:pStyle w:val="BodyText"/>
      </w:pPr>
      <w:r>
        <w:rPr>
          <w:bCs/>
          <w:b/>
        </w:rPr>
        <w:t xml:space="preserve">Connectivity contrast is robust to aggregation.</w:t>
      </w:r>
      <w:r>
        <w:t xml:space="preserve"> </w:t>
      </w:r>
      <w:r>
        <w:t xml:space="preserve">Under the three-phase scheme, the Proto-Aurignacian (mean degree = 4.93, 37 edges) and Early Aurignacian (mean degree = 3.56, 16 edges) each show substantially higher connectivity than the Evolved Aurignacian (mean degree = 3.33, 15 edges). When Proto and Early are merged into a single early phase, the combined network has 90 edges and a mean degree of 8.57 — more than double the Evolved phase’s 3.33. The early/late connectivity gap is therefore not an artefact of how the boundary between Proto and Early is drawn; it persists regardless of whether those phases are analysed separately or together.</w:t>
      </w:r>
    </w:p>
    <w:p>
      <w:pPr>
        <w:pStyle w:val="BodyText"/>
      </w:pPr>
      <w:r>
        <w:rPr>
          <w:bCs/>
          <w:b/>
        </w:rPr>
        <w:t xml:space="preserve">Density equalises under aggregation, but this is a mathematical artefact.</w:t>
      </w:r>
      <w:r>
        <w:t xml:space="preserve"> </w:t>
      </w:r>
      <w:r>
        <w:t xml:space="preserve">The two-phase scheme produces near-identical graph densities for the early (0.429) and late (0.417) phases. This convergence occurs because merging two moderately connected phases into one large phase inflates the edge count while also inflating the number of possible edges, resulting in a density that masks the true connectivity difference. The mean degree — which is not normalised by network size — reveals the disparity more clearly: the merged early phase has nearly three times as many connections per site as the Evolved phase.</w:t>
      </w:r>
    </w:p>
    <w:p>
      <w:pPr>
        <w:pStyle w:val="BodyText"/>
      </w:pPr>
      <w:r>
        <w:rPr>
          <w:bCs/>
          <w:b/>
        </w:rPr>
        <w:t xml:space="preserve">Community structure is preserved.</w:t>
      </w:r>
      <w:r>
        <w:t xml:space="preserve"> </w:t>
      </w:r>
      <w:r>
        <w:t xml:space="preserve">Modularity under the two-phase scheme is 0.303 for the combined early phase and 0.343 for the Evolved phase. These values are comparable to the three-phase modularity values (Proto 0.387, Early 0.227, Evolved 0.343), indicating that the community structure detected by Louvain partitioning is not an artefact of the specific phase boundaries used. The Evolved Aurignacian in particular maintains strong modularity (0.343) under both schemes, confirming that its internal structure is genuinely distinct from the earlier phases.</w:t>
      </w:r>
    </w:p>
    <w:p>
      <w:pPr>
        <w:pStyle w:val="BodyText"/>
      </w:pPr>
      <w:r>
        <w:rPr>
          <w:bCs/>
          <w:b/>
        </w:rPr>
        <w:t xml:space="preserve">The two-phase scheme conceals internal differentiation in the early Aurignacian.</w:t>
      </w:r>
      <w:r>
        <w:t xml:space="preserve"> </w:t>
      </w:r>
      <w:r>
        <w:t xml:space="preserve">The three-phase breakdown reveals that the Proto-Aurignacian is the most connected phase (mean degree 4.93), while the Early Aurignacian is intermediate (3.56). Merging these phases into a single block obscures this gradient. If the transition from Proto to Early reflects a genuine shift in social network organisation — for example, related to the population expansion during Heinrich Stadial 4 — the two-phase scheme cannot detect it. The three-phase scheme is therefore preferred for analyses that seek to track change through time, while the two-phase scheme is sufficient for demonstrating the broad early/late contrast.</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2523"/>
              <w:gridCol w:w="420"/>
              <w:gridCol w:w="420"/>
              <w:gridCol w:w="560"/>
              <w:gridCol w:w="630"/>
              <w:gridCol w:w="841"/>
              <w:gridCol w:w="911"/>
              <w:gridCol w:w="770"/>
              <w:gridCol w:w="841"/>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9</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8</w:t>
                  </w:r>
                </w:p>
              </w:tc>
              <w:tc>
                <w:tcPr/>
                <w:p>
                  <w:pPr>
                    <w:pStyle w:val="Compact"/>
                    <w:jc w:val="right"/>
                    <w:jc w:val="center"/>
                  </w:pPr>
                  <w:r>
                    <w:t xml:space="preserve">0.533</w:t>
                  </w:r>
                </w:p>
              </w:tc>
              <w:tc>
                <w:tcPr/>
                <w:p>
                  <w:pPr>
                    <w:pStyle w:val="Compact"/>
                    <w:jc w:val="right"/>
                    <w:jc w:val="center"/>
                  </w:pPr>
                  <w:r>
                    <w:t xml:space="preserve">0</w:t>
                  </w:r>
                </w:p>
              </w:tc>
              <w:tc>
                <w:tcPr/>
                <w:p>
                  <w:pPr>
                    <w:pStyle w:val="Compact"/>
                    <w:jc w:val="right"/>
                    <w:jc w:val="center"/>
                  </w:pPr>
                  <w:r>
                    <w:t xml:space="preserve">2.67</w:t>
                  </w:r>
                </w:p>
              </w:tc>
              <w:tc>
                <w:tcPr/>
                <w:p>
                  <w:pPr>
                    <w:pStyle w:val="Compact"/>
                    <w:jc w:val="right"/>
                    <w:jc w:val="center"/>
                  </w:pPr>
                  <w:r>
                    <w:t xml:space="preserve">0.529</w:t>
                  </w:r>
                </w:p>
              </w:tc>
              <w:tc>
                <w:tcPr/>
                <w:p>
                  <w:pPr>
                    <w:pStyle w:val="Compact"/>
                    <w:jc w:val="right"/>
                    <w:jc w:val="center"/>
                  </w:pPr>
                  <w:r>
                    <w:t xml:space="preserve">0.162</w:t>
                  </w:r>
                </w:p>
              </w:tc>
              <w:tc>
                <w:tcPr/>
                <w:p>
                  <w:pPr>
                    <w:pStyle w:val="Compact"/>
                    <w:jc w:val="right"/>
                    <w:jc w:val="center"/>
                  </w:pPr>
                  <w:r>
                    <w:t xml:space="preserve">2</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c>
                <w:tcPr/>
                <w:p>
                  <w:pPr>
                    <w:pStyle w:val="Compact"/>
                    <w:jc w:val="right"/>
                    <w:jc w:val="center"/>
                  </w:pPr>
                  <w:r>
                    <w:t xml:space="preserve">3</w:t>
                  </w:r>
                </w:p>
              </w:tc>
            </w:tr>
          </w:tbl>
          <w:p>
            <w:pPr>
              <w:jc w:val="center"/>
            </w:pPr>
            <w:pPr>
              <w:jc w:val="start"/>
              <w:spacing w:before="200"/>
              <w:pStyle w:val="ImageCaption"/>
            </w:pPr>
            <w:r>
              <w:t xml:space="preserve">Table 6: Network statistics under the four-phase periodisation scheme (Proto, Early, Evolved, Late Aurignacian) at threshold = 0.2. The Evolved/Late split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at 35 ka BP into Evolved and Late sub-phases tests whether the connectivity decline observed in the main text is gradual or stepwise. The Evolved Aurignacian (37.8–35 ka BP) retains moderate connectivity with 8 edges and a mean degree of 2.67 across 6 sites, while the Late Aurignacian (35–32 ka BP) is severely data-limited: with only 4 sites and a single edge, its network statistics (mean degree 0.50, modularity 0) are unreliable. The near-absence of connectivity in the Late Aurignacian is consistent with the broader pattern of declining social network density through time, but the sample is too small to determine whether the transition from Evolved to Late represents a further step-down or a continuation of an already low level. The three-phase scheme remains the most informative for the main analysis, as it avoids fragmenting the Evolved Aurignacian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-0.167</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0.494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0.099</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0.195</w:t>
                  </w:r>
                </w:p>
              </w:tc>
              <w:tc>
                <w:tcPr/>
                <w:p>
                  <w:pPr>
                    <w:pStyle w:val="Compact"/>
                    <w:jc w:val="right"/>
                    <w:jc w:val="center"/>
                  </w:pPr>
                  <w:r>
                    <w:t xml:space="preserve">0.334</w:t>
                  </w:r>
                </w:p>
              </w:tc>
              <w:tc>
                <w:tcPr/>
                <w:p>
                  <w:pPr>
                    <w:pStyle w:val="Compact"/>
                    <w:jc w:val="right"/>
                    <w:jc w:val="center"/>
                  </w:pPr>
                  <w:r>
                    <w:t xml:space="preserve">4.367</w:t>
                  </w:r>
                </w:p>
              </w:tc>
              <w:tc>
                <w:tcPr/>
                <w:p>
                  <w:pPr>
                    <w:pStyle w:val="Compact"/>
                    <w:jc w:val="right"/>
                    <w:jc w:val="center"/>
                  </w:pPr>
                  <w:r>
                    <w:t xml:space="preserve">4.261</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0.195</w:t>
                  </w:r>
                </w:p>
              </w:tc>
              <w:tc>
                <w:tcPr/>
                <w:p>
                  <w:pPr>
                    <w:pStyle w:val="Compact"/>
                    <w:jc w:val="right"/>
                    <w:jc w:val="center"/>
                  </w:pPr>
                  <w:r>
                    <w:t xml:space="preserve">0.353</w:t>
                  </w:r>
                </w:p>
              </w:tc>
              <w:tc>
                <w:tcPr/>
                <w:p>
                  <w:pPr>
                    <w:pStyle w:val="Compact"/>
                    <w:jc w:val="right"/>
                    <w:jc w:val="center"/>
                  </w:pPr>
                  <w:r>
                    <w:t xml:space="preserve">4.367</w:t>
                  </w:r>
                </w:p>
              </w:tc>
              <w:tc>
                <w:tcPr/>
                <w:p>
                  <w:pPr>
                    <w:pStyle w:val="Compact"/>
                    <w:jc w:val="right"/>
                    <w:jc w:val="center"/>
                  </w:pPr>
                  <w:r>
                    <w:t xml:space="preserve">2.914</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0.226</w:t>
                  </w:r>
                </w:p>
              </w:tc>
              <w:tc>
                <w:tcPr/>
                <w:p>
                  <w:pPr>
                    <w:pStyle w:val="Compact"/>
                    <w:jc w:val="right"/>
                    <w:jc w:val="center"/>
                  </w:pPr>
                  <w:r>
                    <w:t xml:space="preserve">0.328</w:t>
                  </w:r>
                </w:p>
              </w:tc>
              <w:tc>
                <w:tcPr/>
                <w:p>
                  <w:pPr>
                    <w:pStyle w:val="Compact"/>
                    <w:jc w:val="right"/>
                    <w:jc w:val="center"/>
                  </w:pPr>
                  <w:r>
                    <w:t xml:space="preserve">1.755</w:t>
                  </w:r>
                </w:p>
              </w:tc>
              <w:tc>
                <w:tcPr/>
                <w:p>
                  <w:pPr>
                    <w:pStyle w:val="Compact"/>
                    <w:jc w:val="right"/>
                    <w:jc w:val="center"/>
                  </w:pPr>
                  <w:r>
                    <w:t xml:space="preserve">2.933</w:t>
                  </w:r>
                </w:p>
              </w:tc>
              <w:tc>
                <w:tcPr/>
                <w:p>
                  <w:pPr>
                    <w:pStyle w:val="Compact"/>
                    <w:jc w:val="right"/>
                    <w:jc w:val="center"/>
                  </w:pPr>
                  <w:r>
                    <w:t xml:space="preserve">0.147</w:t>
                  </w:r>
                </w:p>
              </w:tc>
              <w:tc>
                <w:tcPr/>
                <w:p>
                  <w:pPr>
                    <w:pStyle w:val="Compact"/>
                    <w:jc w:val="right"/>
                    <w:jc w:val="center"/>
                  </w:pPr>
                  <w:r>
                    <w:t xml:space="preserve">0.050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0.195</w:t>
                  </w:r>
                </w:p>
              </w:tc>
              <w:tc>
                <w:tcPr/>
                <w:p>
                  <w:pPr>
                    <w:pStyle w:val="Compact"/>
                    <w:jc w:val="right"/>
                    <w:jc w:val="center"/>
                  </w:pPr>
                  <w:r>
                    <w:t xml:space="preserve">0.552</w:t>
                  </w:r>
                </w:p>
              </w:tc>
              <w:tc>
                <w:tcPr/>
                <w:p>
                  <w:pPr>
                    <w:pStyle w:val="Compact"/>
                    <w:jc w:val="right"/>
                    <w:jc w:val="center"/>
                  </w:pPr>
                  <w:r>
                    <w:t xml:space="preserve">4.367</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0.226</w:t>
                  </w:r>
                </w:p>
              </w:tc>
              <w:tc>
                <w:tcPr/>
                <w:p>
                  <w:pPr>
                    <w:pStyle w:val="Compact"/>
                    <w:jc w:val="right"/>
                    <w:jc w:val="center"/>
                  </w:pPr>
                  <w:r>
                    <w:t xml:space="preserve">0.519</w:t>
                  </w:r>
                </w:p>
              </w:tc>
              <w:tc>
                <w:tcPr/>
                <w:p>
                  <w:pPr>
                    <w:pStyle w:val="Compact"/>
                    <w:jc w:val="right"/>
                    <w:jc w:val="center"/>
                  </w:pPr>
                  <w:r>
                    <w:t xml:space="preserve">1.755</w:t>
                  </w:r>
                </w:p>
              </w:tc>
              <w:tc>
                <w:tcPr/>
                <w:p>
                  <w:pPr>
                    <w:pStyle w:val="Compact"/>
                    <w:jc w:val="right"/>
                    <w:jc w:val="center"/>
                  </w:pPr>
                  <w:r>
                    <w:t xml:space="preserve">2.695</w:t>
                  </w:r>
                </w:p>
              </w:tc>
              <w:tc>
                <w:tcPr/>
                <w:p>
                  <w:pPr>
                    <w:pStyle w:val="Compact"/>
                    <w:jc w:val="right"/>
                    <w:jc w:val="center"/>
                  </w:pPr>
                  <w:r>
                    <w:t xml:space="preserve">0.147</w:t>
                  </w:r>
                </w:p>
              </w:tc>
              <w:tc>
                <w:tcPr/>
                <w:p>
                  <w:pPr>
                    <w:pStyle w:val="Compact"/>
                    <w:jc w:val="right"/>
                    <w:jc w:val="center"/>
                  </w:pPr>
                  <w:r>
                    <w:t xml:space="preserve">0.011</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6 communities as weak cross-group edges are lost. Aur-P2 produces 2, 2, and 3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-0.167 for Aur-P2. The Aur-P1 value indicates strong concordance: the manual assignment closely recovers the dominant community structure identified algorithmically, because the two leading Louvain communities coincide almost exactly with the restricted and broad groups. The Aur-P2 value is negative, indicating agreement worse than chance: Louvain’s two communities cut across the manual groups, clustering the broader-range sites Trou Magrite and Bockstein-Törle with restricted-range sites in the largest community while La Viña and Sirgenstein Cave form the second. Across thresholds, ARI for Aur-P1 is highest at 0.2 (0.798), remains high at 0.1 (0.787), and drops at 0.3 (0.494) as the network fragments into six communities; for Aur-P2 it stays at or below zero (-0.167, -0.167, and 0.099). These results indicate that the manual assignment captures a genuine and strong signal in the well-sampled Aur-P1 phase, but is a poor summary of the data-driven structure in the small Aur-P2 sample.</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0.353 (Aur-P1) and 0.328 (Aur-P2), compared with the manual-group R² values of 0.195 and 0.226 respectively. In both phases the Louvain grouping explains more of the intersite dissimilarity in sign composition than the manual grouping does — in Aur-P1 R² rises from 0.195 to 0.353 (a factor of 1.81), and in Aur-P2 from 0.226 to 0.328. This pattern holds across thresholds: at 0.1 the Louvain R² values are 0.334 and 0.328; at 0.3 they rise to 0.552 and 0.519 as only the strongest, most structured edges survive. Every Louvain-derived p-value is at or below 0.05 (maximum 0.050), so the algorithmically detected structure is statistically significant in both phases — including Aur-P2, where the manual-group PerMANOVA is non-significant (p = 0.147).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but is a poor summary of the data-driven structure in Aur-P2 (ARI = -0.167). More importantly, the PerMANOVA comparison shows that the manual grouping is conservative rather than circular: the algorithmically derived partitions consistently explain more variance than the manual ones, meaning the main-text R² values (0.195 in Aur-P1 and 0.226 in Aur-P2) underestimate the true strength of the group contrast. In Aur-P2 the Louvain grouping even recovers a significant contrast (p = 0.011 at threshold 0.3) where the manual two-group split is non-significant (p = 0.147), although this phase rests on only eight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0.595</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0.708</w:t>
            </w:r>
          </w:p>
        </w:tc>
        <w:tc>
          <w:tcPr/>
          <w:p>
            <w:pPr>
              <w:pStyle w:val="Compact"/>
              <w:jc w:val="right"/>
            </w:pPr>
            <w:r>
              <w:t xml:space="preserve">0.971</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0.720</w:t>
            </w:r>
          </w:p>
        </w:tc>
        <w:tc>
          <w:tcPr/>
          <w:p>
            <w:pPr>
              <w:pStyle w:val="Compact"/>
              <w:jc w:val="right"/>
            </w:pPr>
            <w:r>
              <w:t xml:space="preserve">0.951</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0.765</w:t>
            </w:r>
          </w:p>
        </w:tc>
        <w:tc>
          <w:tcPr/>
          <w:p>
            <w:pPr>
              <w:pStyle w:val="Compact"/>
              <w:jc w:val="right"/>
            </w:pPr>
            <w:r>
              <w:t xml:space="preserve">0.952</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0.429</w:t>
            </w:r>
          </w:p>
        </w:tc>
        <w:tc>
          <w:tcPr/>
          <w:p>
            <w:pPr>
              <w:pStyle w:val="Compact"/>
              <w:jc w:val="right"/>
            </w:pPr>
            <w:r>
              <w:t xml:space="preserve">0.929</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0.542</w:t>
            </w:r>
          </w:p>
        </w:tc>
        <w:tc>
          <w:tcPr/>
          <w:p>
            <w:pPr>
              <w:pStyle w:val="Compact"/>
              <w:jc w:val="right"/>
            </w:pPr>
            <w:r>
              <w:t xml:space="preserve">0.946</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(0.43–0.77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(0.93–0.97)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0.332</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0.089</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0.267</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0.125</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0.084</w:t>
                  </w:r>
                </w:p>
              </w:tc>
              <w:tc>
                <w:tcPr/>
                <w:p>
                  <w:pPr>
                    <w:pStyle w:val="Compact"/>
                    <w:jc w:val="center"/>
                    <w:jc w:val="center"/>
                  </w:pPr>
                  <w:r>
                    <w:t xml:space="preserve">0.150</w:t>
                  </w:r>
                </w:p>
              </w:tc>
              <w:tc>
                <w:tcPr/>
                <w:p>
                  <w:pPr>
                    <w:pStyle w:val="Compact"/>
                    <w:jc w:val="center"/>
                    <w:jc w:val="center"/>
                  </w:pPr>
                  <w:r>
                    <w:t xml:space="preserve">0.259</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0.332 exceeds the null expectation (null mean 0.091) and is statistically significant (p = 0.030), as it is at threshold 0.3 (0.336, p = 0.030); at the permissive 0.1 threshold, the Aur-P1 value (0.223, p = 0.090) does not reach significance. Aur-P2’s observed modularity (0.125 at threshold 0.2) is clearly non-significant at every threshold (p = 0.267 to 0.259),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-0.241</w:t>
                  </w:r>
                </w:p>
              </w:tc>
              <w:tc>
                <w:tcPr/>
                <w:p>
                  <w:pPr>
                    <w:pStyle w:val="Compact"/>
                    <w:jc w:val="center"/>
                    <w:jc w:val="center"/>
                  </w:pPr>
                  <w:r>
                    <w:t xml:space="preserve">0.307</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0.395</w:t>
                  </w:r>
                </w:p>
              </w:tc>
              <w:tc>
                <w:tcPr/>
                <w:p>
                  <w:pPr>
                    <w:pStyle w:val="Compact"/>
                    <w:jc w:val="center"/>
                    <w:jc w:val="center"/>
                  </w:pPr>
                  <w:r>
                    <w:t xml:space="preserve">0.333</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-0.241, p = 0.307; Aur-P2: ρ = 0.395, p = 0.333). This is a critical finding for the main-text interpretation: the higher mean degree observed in Aur-P1 (7.50 at the baseline threshold) compared to Aur-P2 (4.25) is not simply an artefact of the Aur-P1 phase containing sites with richer sign assemblages. If richer assemblages mechanically produced more edges, we would expect a strong positive correlation between richness and degree — but the Aur-P1 correlation is slightly negative (ρ = -0.241, p = 0.307)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(Hohle Fels, Geissenklösterle, Vogelherd, La Ferrassie, Abri Pataud, and Gatzarria in Aur-P1;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0.332</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17</w:t>
                  </w:r>
                </w:p>
              </w:tc>
              <w:tc>
                <w:tcPr/>
                <w:p>
                  <w:pPr>
                    <w:pStyle w:val="Compact"/>
                    <w:jc w:val="right"/>
                    <w:jc w:val="center"/>
                  </w:pPr>
                  <w:r>
                    <w:t xml:space="preserve">4.25</w:t>
                  </w:r>
                </w:p>
              </w:tc>
              <w:tc>
                <w:tcPr/>
                <w:p>
                  <w:pPr>
                    <w:pStyle w:val="Compact"/>
                    <w:jc w:val="right"/>
                    <w:jc w:val="center"/>
                  </w:pPr>
                  <w:r>
                    <w:t xml:space="preserve">0.125</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12</w:t>
                  </w:r>
                </w:p>
              </w:tc>
              <w:tc>
                <w:tcPr/>
                <w:p>
                  <w:pPr>
                    <w:pStyle w:val="Compact"/>
                    <w:jc w:val="right"/>
                    <w:jc w:val="center"/>
                  </w:pPr>
                  <w:r>
                    <w:t xml:space="preserve">29</w:t>
                  </w:r>
                </w:p>
              </w:tc>
              <w:tc>
                <w:tcPr/>
                <w:p>
                  <w:pPr>
                    <w:pStyle w:val="Compact"/>
                    <w:jc w:val="right"/>
                    <w:jc w:val="center"/>
                  </w:pPr>
                  <w:r>
                    <w:t xml:space="preserve">4.83</w:t>
                  </w:r>
                </w:p>
              </w:tc>
              <w:tc>
                <w:tcPr/>
                <w:p>
                  <w:pPr>
                    <w:pStyle w:val="Compact"/>
                    <w:jc w:val="right"/>
                    <w:jc w:val="center"/>
                  </w:pPr>
                  <w:r>
                    <w:t xml:space="preserve">0.179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0.327</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21</w:t>
                  </w:r>
                </w:p>
              </w:tc>
              <w:tc>
                <w:tcPr/>
                <w:p>
                  <w:pPr>
                    <w:pStyle w:val="Compact"/>
                    <w:jc w:val="right"/>
                    <w:jc w:val="center"/>
                  </w:pPr>
                  <w:r>
                    <w:t xml:space="preserve">4.67</w:t>
                  </w:r>
                </w:p>
              </w:tc>
              <w:tc>
                <w:tcPr/>
                <w:p>
                  <w:pPr>
                    <w:pStyle w:val="Compact"/>
                    <w:jc w:val="right"/>
                    <w:jc w:val="center"/>
                  </w:pPr>
                  <w:r>
                    <w:t xml:space="preserve">0.124</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3.71</w:t>
                  </w:r>
                </w:p>
              </w:tc>
              <w:tc>
                <w:tcPr/>
                <w:p>
                  <w:pPr>
                    <w:pStyle w:val="Compact"/>
                    <w:jc w:val="right"/>
                    <w:jc w:val="center"/>
                  </w:pPr>
                  <w:r>
                    <w:t xml:space="preserve">0.119</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is held in Aur-P1 by the technology-based override,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3.71–4.83. The Aur-P1 &gt; Aur-P2 connectivity ordering is preserved in all 4 shifts: a downward shift adds Vindija Cave to Aur-P1, raising its mean degree to 7.81 (82 edges) while shrinking Aur-P2 to 7 sites (mean degree 3.71); an upward shift transfers sites the other way, with Aur-P1 at 16 sites after the ±1000 year shift yet still averaging 6.62, above Aur-P2’s 4.83. Modularity is stable: Aur-P1 ranges from 0.327 to 0.340 across shifts (baseline 0.332) and Aur-P2 from 0.119 to 0.179 (baseline 0.125),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2.25–6.00 across thresholds of 0.05–0.50, and the ordering is preserved throughout. At very low thresholds both networks are densely connected and the relative contrast compresses; at high thresholds both fragment as edges drop out, but Aur-P2 retains a mean degree of at least 2.25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2.25. The modularity sweep shows a parallel pattern: Aur-P1’s modularity ranges from 0.205–0.434 across thresholds and consistently exceeds Aur-P2’s (0.089–0.125)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0.539</w:t>
                  </w:r>
                </w:p>
              </w:tc>
            </w:tr>
            <w:tr>
              <w:tc>
                <w:tcPr/>
                <w:p>
                  <w:pPr>
                    <w:pStyle w:val="Compact"/>
                    <w:jc w:val="left"/>
                    <w:jc w:val="center"/>
                  </w:pPr>
                  <w:r>
                    <w:t xml:space="preserve">Aur-P2</w:t>
                  </w:r>
                </w:p>
              </w:tc>
              <w:tc>
                <w:tcPr/>
                <w:p>
                  <w:pPr>
                    <w:pStyle w:val="Compact"/>
                    <w:jc w:val="center"/>
                    <w:jc w:val="center"/>
                  </w:pPr>
                  <w:r>
                    <w:t xml:space="preserve">4.62</w:t>
                  </w:r>
                </w:p>
              </w:tc>
              <w:tc>
                <w:tcPr/>
                <w:p>
                  <w:pPr>
                    <w:pStyle w:val="Compact"/>
                    <w:jc w:val="center"/>
                    <w:jc w:val="center"/>
                  </w:pPr>
                  <w:r>
                    <w:t xml:space="preserve">2.25</w:t>
                  </w:r>
                </w:p>
              </w:tc>
              <w:tc>
                <w:tcPr/>
                <w:p>
                  <w:pPr>
                    <w:pStyle w:val="Compact"/>
                    <w:jc w:val="center"/>
                    <w:jc w:val="center"/>
                  </w:pPr>
                  <w:r>
                    <w:t xml:space="preserve">6.5</w:t>
                  </w:r>
                </w:p>
              </w:tc>
              <w:tc>
                <w:tcPr/>
                <w:p>
                  <w:pPr>
                    <w:pStyle w:val="Compact"/>
                    <w:jc w:val="center"/>
                    <w:jc w:val="center"/>
                  </w:pPr>
                  <w:r>
                    <w:t xml:space="preserve">0.192</w:t>
                  </w:r>
                </w:p>
              </w:tc>
              <w:tc>
                <w:tcPr/>
                <w:p>
                  <w:pPr>
                    <w:pStyle w:val="Compact"/>
                    <w:jc w:val="center"/>
                    <w:jc w:val="center"/>
                  </w:pPr>
                  <w:r>
                    <w:t xml:space="preserve">0.013</w:t>
                  </w:r>
                </w:p>
              </w:tc>
              <w:tc>
                <w:tcPr/>
                <w:p>
                  <w:pPr>
                    <w:pStyle w:val="Compact"/>
                    <w:jc w:val="center"/>
                    <w:jc w:val="center"/>
                  </w:pPr>
                  <w:r>
                    <w:t xml:space="preserve">0.496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[2.25, 6.50] overlap. Because the intervals overlap, the bootstrap does not formally separate the two phases by the strict non-overlap criterion; the Aur-P1–Aur-P2 contrast is supported at the point-estimate level (Aur-P1 8.10 vs Aur-P2 4.62) but is not statistically decisive. For modularity, the two CIs overlap substantially (Aur-P1 [0.199, 0.539], Aur-P2 [0.013, 0.496]), meaning the phase-by-phase difference in modularity is not statistically distinguishable given the current sample sizes. This reinforces the S5.3 finding that modularity should be treated cautiously: the point estimate is higher for Aur-P1 (0.363 vs 0.192), but the wide intervals — driven by Aur-P2’s small sample (8 sites) — overlap. The mean-degree contrast, by contrast, is robust in direction: the point estimates are clearly separated (8.1 vs 4.6),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0.025</w:t>
                  </w:r>
                </w:p>
              </w:tc>
              <w:tc>
                <w:tcPr/>
                <w:p>
                  <w:pPr>
                    <w:pStyle w:val="Compact"/>
                    <w:jc w:val="center"/>
                    <w:jc w:val="center"/>
                  </w:pPr>
                  <w:r>
                    <w:t xml:space="preserve">0.370</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-0.297</w:t>
                  </w:r>
                </w:p>
              </w:tc>
              <w:tc>
                <w:tcPr/>
                <w:p>
                  <w:pPr>
                    <w:pStyle w:val="Compact"/>
                    <w:jc w:val="center"/>
                    <w:jc w:val="center"/>
                  </w:pPr>
                  <w:r>
                    <w:t xml:space="preserve">0.934</w:t>
                  </w:r>
                </w:p>
              </w:tc>
              <w:tc>
                <w:tcPr/>
                <w:p>
                  <w:pPr>
                    <w:pStyle w:val="Compact"/>
                    <w:jc w:val="center"/>
                    <w:jc w:val="center"/>
                  </w:pPr>
                  <w:r>
                    <w:t xml:space="preserve">0.94</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0.045</w:t>
                  </w:r>
                </w:p>
              </w:tc>
              <w:tc>
                <w:tcPr/>
                <w:p>
                  <w:pPr>
                    <w:pStyle w:val="Compact"/>
                    <w:jc w:val="center"/>
                    <w:jc w:val="center"/>
                  </w:pPr>
                  <w:r>
                    <w:t xml:space="preserve">0.306</w:t>
                  </w:r>
                </w:p>
              </w:tc>
              <w:tc>
                <w:tcPr/>
                <w:p>
                  <w:pPr>
                    <w:pStyle w:val="Compact"/>
                    <w:jc w:val="center"/>
                    <w:jc w:val="center"/>
                  </w:pPr>
                  <w:r>
                    <w:t xml:space="preserve">0.74</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-0.303</w:t>
                  </w:r>
                </w:p>
              </w:tc>
              <w:tc>
                <w:tcPr/>
                <w:p>
                  <w:pPr>
                    <w:pStyle w:val="Compact"/>
                    <w:jc w:val="center"/>
                    <w:jc w:val="center"/>
                  </w:pPr>
                  <w:r>
                    <w:t xml:space="preserve">0.940</w:t>
                  </w:r>
                </w:p>
              </w:tc>
              <w:tc>
                <w:tcPr/>
                <w:p>
                  <w:pPr>
                    <w:pStyle w:val="Compact"/>
                    <w:jc w:val="center"/>
                    <w:jc w:val="center"/>
                  </w:pPr>
                  <w:r>
                    <w:t xml:space="preserve">0.94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0.045</m:t>
        </m:r>
      </m:oMath>
      <w:r>
        <w:t xml:space="preserve">, raw</w:t>
      </w:r>
      <w:r>
        <w:t xml:space="preserve"> </w:t>
      </w:r>
      <m:oMath>
        <m:r>
          <m:t>p</m:t>
        </m:r>
        <m:r>
          <m:rPr>
            <m:sty m:val="p"/>
          </m:rPr>
          <m:t>=</m:t>
        </m:r>
        <m:r>
          <m:t>0.306</m:t>
        </m:r>
      </m:oMath>
      <w:r>
        <w:t xml:space="preserve">), well above the 0.05 threshold. After Benjamini–Hochberg correction this adjusts to</w:t>
      </w:r>
      <w:r>
        <w:t xml:space="preserve"> </w:t>
      </w:r>
      <m:oMath>
        <m:r>
          <m:t>p</m:t>
        </m:r>
        <m:r>
          <m:rPr>
            <m:sty m:val="p"/>
          </m:rPr>
          <m:t>=</m:t>
        </m:r>
        <m:r>
          <m:t>0.740</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150% more nodes than Aur-P2 (8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7.54</w:t>
                  </w:r>
                </w:p>
              </w:tc>
              <w:tc>
                <w:tcPr/>
                <w:p>
                  <w:pPr>
                    <w:pStyle w:val="Compact"/>
                    <w:jc w:val="center"/>
                    <w:jc w:val="center"/>
                  </w:pPr>
                  <w:r>
                    <w:t xml:space="preserve">1</w:t>
                  </w:r>
                </w:p>
              </w:tc>
              <w:tc>
                <w:tcPr/>
                <w:p>
                  <w:pPr>
                    <w:pStyle w:val="Compact"/>
                    <w:jc w:val="center"/>
                    <w:jc w:val="center"/>
                  </w:pPr>
                  <w:r>
                    <w:t xml:space="preserve">0.33</w:t>
                  </w:r>
                </w:p>
              </w:tc>
              <w:tc>
                <w:tcPr/>
                <w:p>
                  <w:pPr>
                    <w:pStyle w:val="Compact"/>
                    <w:jc w:val="center"/>
                    <w:jc w:val="center"/>
                  </w:pPr>
                  <w:r>
                    <w:t xml:space="preserve">0.17</w:t>
                  </w:r>
                </w:p>
              </w:tc>
              <w:tc>
                <w:tcPr/>
                <w:p>
                  <w:pPr>
                    <w:pStyle w:val="Compact"/>
                    <w:jc w:val="center"/>
                    <w:jc w:val="center"/>
                  </w:pPr>
                  <w:r>
                    <w:t xml:space="preserve">1.92</w:t>
                  </w:r>
                </w:p>
              </w:tc>
            </w:tr>
            <w:tr>
              <w:tc>
                <w:tcPr/>
                <w:p>
                  <w:pPr>
                    <w:pStyle w:val="Compact"/>
                    <w:jc w:val="left"/>
                    <w:jc w:val="center"/>
                  </w:pPr>
                  <w:r>
                    <w:t xml:space="preserve">Aur-P2</w:t>
                  </w:r>
                </w:p>
              </w:tc>
              <w:tc>
                <w:tcPr/>
                <w:p>
                  <w:pPr>
                    <w:pStyle w:val="Compact"/>
                    <w:jc w:val="center"/>
                    <w:jc w:val="center"/>
                  </w:pPr>
                  <w:r>
                    <w:t xml:space="preserve">8</w:t>
                  </w:r>
                </w:p>
              </w:tc>
              <w:tc>
                <w:tcPr/>
                <w:p>
                  <w:pPr>
                    <w:pStyle w:val="Compact"/>
                    <w:jc w:val="center"/>
                    <w:jc w:val="center"/>
                  </w:pPr>
                  <w:r>
                    <w:t xml:space="preserve">4.25</w:t>
                  </w:r>
                </w:p>
              </w:tc>
              <w:tc>
                <w:tcPr/>
                <w:p>
                  <w:pPr>
                    <w:pStyle w:val="Compact"/>
                    <w:jc w:val="center"/>
                    <w:jc w:val="center"/>
                  </w:pPr>
                  <w:r>
                    <w:t xml:space="preserve">4.23</w:t>
                  </w:r>
                </w:p>
              </w:tc>
              <w:tc>
                <w:tcPr/>
                <w:p>
                  <w:pPr>
                    <w:pStyle w:val="Compact"/>
                    <w:jc w:val="center"/>
                    <w:jc w:val="center"/>
                  </w:pPr>
                  <w:r>
                    <w:t xml:space="preserve">1</w:t>
                  </w:r>
                </w:p>
              </w:tc>
              <w:tc>
                <w:tcPr/>
                <w:p>
                  <w:pPr>
                    <w:pStyle w:val="Compact"/>
                    <w:jc w:val="center"/>
                    <w:jc w:val="center"/>
                  </w:pPr>
                  <w:r>
                    <w:t xml:space="preserve">0.12</w:t>
                  </w:r>
                </w:p>
              </w:tc>
              <w:tc>
                <w:tcPr/>
                <w:p>
                  <w:pPr>
                    <w:pStyle w:val="Compact"/>
                    <w:jc w:val="center"/>
                    <w:jc w:val="center"/>
                  </w:pPr>
                  <w:r>
                    <w:t xml:space="preserve">0.10</w:t>
                  </w:r>
                </w:p>
              </w:tc>
              <w:tc>
                <w:tcPr/>
                <w:p>
                  <w:pPr>
                    <w:pStyle w:val="Compact"/>
                    <w:jc w:val="center"/>
                    <w:jc w:val="center"/>
                  </w:pPr>
                  <w:r>
                    <w:t xml:space="preserve">1.26</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150% more sites than Aur-P2 (8 sites), and larger networks mechanically produce higher mean degree and modularity even under random wiring. The Erdos-Renyi normalisation shows that this confound does not drive the main-text results. Mean degree ratios are reported for both phases (Aur-P1 1.00, Aur-P2 1.00), confirming whether the observed mean degrees are consistent with random expectation for networks of these sizes — noting that Erdos-Renyi preserves edge density, so a ratio near 1 does not mean the networks lack structure. The modularity ratios tell the real story: Aur-P1 (1.92) and Aur-P2 (1.26) are compared against the random expectation for a network of the same size, so any main-text claim that one phase is more internally structured than the other is evaluated net of the 20-versus-8 site asymmetry rather than as an artefact of it.</w:t>
      </w:r>
    </w:p>
    <w:bookmarkEnd w:id="83"/>
    <w:bookmarkEnd w:id="84"/>
    <w:bookmarkStart w:id="141"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0.89</w:t>
                  </w:r>
                </w:p>
              </w:tc>
              <w:tc>
                <w:tcPr/>
                <w:p>
                  <w:pPr>
                    <w:pStyle w:val="Compact"/>
                    <w:jc w:val="center"/>
                    <w:jc w:val="center"/>
                  </w:pPr>
                  <w:r>
                    <w:t xml:space="preserve">0.85</w:t>
                  </w:r>
                </w:p>
              </w:tc>
              <w:tc>
                <w:tcPr/>
                <w:p>
                  <w:pPr>
                    <w:pStyle w:val="Compact"/>
                    <w:jc w:val="center"/>
                    <w:jc w:val="center"/>
                  </w:pPr>
                  <w:r>
                    <w:t xml:space="preserve">0.27</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2</w:t>
                  </w:r>
                </w:p>
              </w:tc>
              <w:tc>
                <w:tcPr/>
                <w:p>
                  <w:pPr>
                    <w:pStyle w:val="Compact"/>
                    <w:jc w:val="center"/>
                    <w:jc w:val="center"/>
                  </w:pPr>
                  <w:r>
                    <w:t xml:space="preserve">0.51</w:t>
                  </w:r>
                </w:p>
              </w:tc>
              <w:tc>
                <w:tcPr/>
                <w:p>
                  <w:pPr>
                    <w:pStyle w:val="Compact"/>
                    <w:jc w:val="center"/>
                    <w:jc w:val="center"/>
                  </w:pPr>
                  <w:r>
                    <w:t xml:space="preserve">0.81</w:t>
                  </w:r>
                </w:p>
              </w:tc>
              <w:tc>
                <w:tcPr/>
                <w:p>
                  <w:pPr>
                    <w:pStyle w:val="Compact"/>
                    <w:jc w:val="center"/>
                    <w:jc w:val="center"/>
                  </w:pPr>
                  <w:r>
                    <w:t xml:space="preserve">0.53</w:t>
                  </w:r>
                </w:p>
              </w:tc>
              <w:tc>
                <w:tcPr/>
                <w:p>
                  <w:pPr>
                    <w:pStyle w:val="Compact"/>
                    <w:jc w:val="center"/>
                    <w:jc w:val="center"/>
                  </w:pPr>
                  <w:r>
                    <w:t xml:space="preserve">0.45</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0.56</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0.99</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0.72</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0.76</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0.92</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0.89 for the broader-range block, against 0.27 across the two blocks — a strong signal that both groups are internally coherent and sharply separated. In</w:t>
      </w:r>
      <w:r>
        <w:t xml:space="preserve"> </w:t>
      </w:r>
      <w:r>
        <w:rPr>
          <w:bCs/>
          <w:b/>
        </w:rPr>
        <w:t xml:space="preserve">Aur-P2</w:t>
      </w:r>
      <w:r>
        <w:t xml:space="preserve">, the pattern is 0.51 within the restricted block and 0.81 within the broader block, against 0.45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35" w:name="sec-s6-3"/>
    <w:p>
      <w:pPr>
        <w:pStyle w:val="Heading2"/>
      </w:pPr>
      <w:r>
        <w:t xml:space="preserve">S6.3 Stochastic Block Models</w:t>
      </w:r>
    </w:p>
    <w:bookmarkStart w:id="133"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upplement-sensitivity_files/figure-docx/s6-sbm-compute-1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upplement-sensitivity_files/figure-docx/s6-sbm-compute-12.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31"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-39.5</w:t>
                  </w:r>
                </w:p>
              </w:tc>
              <w:tc>
                <w:tcPr/>
                <w:p>
                  <w:pPr>
                    <w:pStyle w:val="Compact"/>
                    <w:jc w:val="center"/>
                    <w:jc w:val="center"/>
                  </w:pPr>
                  <w:r>
                    <w:t xml:space="preserve">-33.6</w:t>
                  </w:r>
                </w:p>
              </w:tc>
              <w:tc>
                <w:tcPr/>
                <w:p>
                  <w:pPr>
                    <w:pStyle w:val="Compact"/>
                    <w:jc w:val="center"/>
                    <w:jc w:val="center"/>
                  </w:pPr>
                  <w:r>
                    <w:t xml:space="preserve">-47.7</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2</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3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2"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left"/>
                    <w:jc w:val="center"/>
                  </w:pPr>
                  <w:r>
                    <w:t xml:space="preserve">0.01</w:t>
                  </w:r>
                </w:p>
              </w:tc>
              <w:tc>
                <w:tcPr/>
                <w:p>
                  <w:pPr>
                    <w:pStyle w:val="Compact"/>
                    <w:jc w:val="left"/>
                    <w:jc w:val="center"/>
                  </w:pPr>
                  <w:r>
                    <w:t xml:space="preserve">0.99</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0.01</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32"/>
        </w:tc>
      </w:tr>
    </w:tbl>
    <w:bookmarkEnd w:id="133"/>
    <w:bookmarkStart w:id="134"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2 blocks. The ICL gap between the best and second-best model quantifies how decisively the optimum is preferred (2.04 in Aur-P1 and 5.91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After aligning each SBM block to the nearest manual group, the SBM partition reproduces the manual restricted/broad split exactly in</w:t>
      </w:r>
      <w:r>
        <w:t xml:space="preserve"> </w:t>
      </w:r>
      <w:r>
        <w:rPr>
          <w:bCs/>
          <w:b/>
        </w:rPr>
        <w:t xml:space="preserve">Aur-P2</w:t>
      </w:r>
      <w:r>
        <w:t xml:space="preserve">, and diverges on 1 of 20 sites in</w:t>
      </w:r>
      <w:r>
        <w:t xml:space="preserve"> </w:t>
      </w:r>
      <w:r>
        <w:rPr>
          <w:bCs/>
          <w:b/>
        </w:rPr>
        <w:t xml:space="preserve">Aur-P1</w:t>
      </w:r>
      <w:r>
        <w:t xml:space="preserve"> </w:t>
      </w:r>
      <w:r>
        <w:t xml:space="preserve">(Labeko Koba).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Where the SBM settles on two blocks and its partition agrees with the manual groups (as in Aur-P2), the two-group structure is independently corroborated. Where the SBM favours more blocks — or partitions sites differently (quantified as ARI in S6.4) — the restricted/broad dichotomy should be read as the dominant axis of variation rather than the complete structure. These results complement, rather than supersede, the bootstrap analysis: the bootstrap quantifies sampling stability of the main-text partition, while the SBM asks whether an independent generative model reproduces it.</w:t>
      </w:r>
    </w:p>
    <w:bookmarkEnd w:id="134"/>
    <w:bookmarkEnd w:id="135"/>
    <w:bookmarkStart w:id="139" w:name="sec-s6-4"/>
    <w:p>
      <w:pPr>
        <w:pStyle w:val="Heading2"/>
      </w:pPr>
      <w:r>
        <w:t xml:space="preserve">S6.4 Cross-Validation of Group Assignments (ARI)</w:t>
      </w:r>
    </w:p>
    <w:bookmarkStart w:id="137"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6"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0.70</w:t>
                  </w:r>
                </w:p>
              </w:tc>
              <w:tc>
                <w:tcPr/>
                <w:p>
                  <w:pPr>
                    <w:pStyle w:val="Compact"/>
                    <w:jc w:val="center"/>
                    <w:jc w:val="center"/>
                  </w:pPr>
                  <w:r>
                    <w:t xml:space="preserve">0.70</w:t>
                  </w:r>
                </w:p>
              </w:tc>
            </w:tr>
            <w:tr>
              <w:tc>
                <w:tcPr/>
                <w:p>
                  <w:pPr>
                    <w:pStyle w:val="Compact"/>
                    <w:jc w:val="left"/>
                    <w:jc w:val="center"/>
                  </w:pPr>
                  <w:r>
                    <w:t xml:space="preserve">Aur-P2</w:t>
                  </w:r>
                </w:p>
              </w:tc>
              <w:tc>
                <w:tcPr/>
                <w:p>
                  <w:pPr>
                    <w:pStyle w:val="Compact"/>
                    <w:jc w:val="center"/>
                    <w:jc w:val="center"/>
                  </w:pPr>
                  <w:r>
                    <w:t xml:space="preserve">0.16</w:t>
                  </w:r>
                </w:p>
              </w:tc>
              <w:tc>
                <w:tcPr/>
                <w:p>
                  <w:pPr>
                    <w:pStyle w:val="Compact"/>
                    <w:jc w:val="center"/>
                    <w:jc w:val="center"/>
                  </w:pPr>
                  <w:r>
                    <w:t xml:space="preserve">-0.17</w:t>
                  </w:r>
                </w:p>
              </w:tc>
              <w:tc>
                <w:tcPr/>
                <w:p>
                  <w:pPr>
                    <w:pStyle w:val="Compact"/>
                    <w:jc w:val="center"/>
                    <w:jc w:val="center"/>
                  </w:pPr>
                  <w:r>
                    <w:t xml:space="preserve">0.16</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36"/>
        </w:tc>
      </w:tr>
    </w:tbl>
    <w:bookmarkEnd w:id="137"/>
    <w:bookmarkStart w:id="138"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8"/>
    <w:bookmarkEnd w:id="139"/>
    <w:bookmarkStart w:id="140"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8 sites.</w:t>
      </w:r>
    </w:p>
    <w:bookmarkEnd w:id="140"/>
    <w:bookmarkEnd w:id="141"/>
    <w:bookmarkStart w:id="158" w:name="sec-s7"/>
    <w:p>
      <w:pPr>
        <w:pStyle w:val="Heading1"/>
      </w:pPr>
      <w:r>
        <w:t xml:space="preserve">S7. Object-Type Sensitivity: Figurine Exclusion</w:t>
      </w:r>
    </w:p>
    <w:bookmarkStart w:id="142"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42"/>
    <w:bookmarkStart w:id="14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4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8</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43"/>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All 63 figurines fall within Aur-P1. The analysis therefore tests whether the Aur-P1 network structure — which reports the higher mean degree (7.50) — is driven by these 50 objects at a single site.</w:t>
      </w:r>
    </w:p>
    <w:bookmarkEnd w:id="144"/>
    <w:bookmarkStart w:id="149" w:name="s7.3-analysis-1-exclude-all-figurines"/>
    <w:p>
      <w:pPr>
        <w:pStyle w:val="Heading2"/>
      </w:pPr>
      <w:r>
        <w:t xml:space="preserve">S7.3 Analysis 1: Exclude All Figurines</w:t>
      </w:r>
    </w:p>
    <w:bookmarkStart w:id="14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4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4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8</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6"/>
        </w:tc>
      </w:tr>
    </w:tbl>
    <w:bookmarkEnd w:id="147"/>
    <w:bookmarkStart w:id="148" w:name="interpretation-3"/>
    <w:p>
      <w:pPr>
        <w:pStyle w:val="Heading3"/>
      </w:pPr>
      <w:r>
        <w:t xml:space="preserve">Interpretation</w:t>
      </w:r>
    </w:p>
    <w:p>
      <w:pPr>
        <w:pStyle w:val="FirstParagraph"/>
      </w:pPr>
      <w:r>
        <w:t xml:space="preserve">Excluding all 63 figurines has no effect on the Aur-P1 network: mean degree is unchanged (7.50 → 7.50), all 75 edges are retained, and no sites are lost (all 20 sites retained). Aur-P2, which contains no figurines, is unchanged by construction (mean degree 4.25, 17 edges, 8 sites). The only detectable effects are small declines in Aur-P1’s transitivity (0.711 → 0.699) and modularity (0.332 → 0.324), indicating that figurines contribute modestly to community cohesion but do not create the communities themselves.</w:t>
      </w:r>
    </w:p>
    <w:p>
      <w:pPr>
        <w:pStyle w:val="BodyText"/>
      </w:pPr>
      <w:r>
        <w:t xml:space="preserve">Critically, Aur-P1 retains the higher mean degree (7.50) under figurine exclusion, preserving the main-text ordering Aur-P1 &gt; Aur-P2 (7.50 &gt; 4.25). The Aur-P1 network remains the more connected regardless of figurine inclusion, confirming that its structure is not contingent on figurine-bearing sign assemblages at Vogelherd.</w:t>
      </w:r>
    </w:p>
    <w:bookmarkEnd w:id="148"/>
    <w:bookmarkEnd w:id="149"/>
    <w:bookmarkStart w:id="154" w:name="X7549e60451b9f7bbee640100d361a0cf771ac62"/>
    <w:p>
      <w:pPr>
        <w:pStyle w:val="Heading2"/>
      </w:pPr>
      <w:r>
        <w:t xml:space="preserve">S7.4 Analysis 2: Exclude Vogelherd Figurines Only</w:t>
      </w:r>
    </w:p>
    <w:bookmarkStart w:id="15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5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0.607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51"/>
        </w:tc>
      </w:tr>
    </w:tbl>
    <w:bookmarkEnd w:id="152"/>
    <w:bookmarkStart w:id="153"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0.332 to 0.328. Aur-P2 shows no change whatsoever (mean degree 4.25 → 4.25, modularity 0.125 → 0.125), confirming that Vogelherd figurines do not contribute to network structure in the later phase.</w:t>
      </w:r>
    </w:p>
    <w:p>
      <w:pPr>
        <w:pStyle w:val="BodyText"/>
      </w:pPr>
      <w:r>
        <w:t xml:space="preserve">The effect of removing Vogelherd figurines alone (−1.3% in Aur-P1) is comparable to removing all 63 figurines globally (0%), and in both cases the network is essentially unchanged. The figurine effect therefore does not scale with the number of figurines removed; figurines at Hohle Fels (8), Geissenklösterle (3), Hohlenstein-Stadel (1), and La Ferrassie (1) do not alter the network structure, and Vogelherd’s connectivity within Aur-P1 is carried by its 123 non-figurine objects.</w:t>
      </w:r>
    </w:p>
    <w:bookmarkEnd w:id="153"/>
    <w:bookmarkEnd w:id="154"/>
    <w:bookmarkStart w:id="15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5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0.332</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0.699</w:t>
                  </w:r>
                </w:p>
              </w:tc>
              <w:tc>
                <w:tcPr/>
                <w:p>
                  <w:pPr>
                    <w:pStyle w:val="Compact"/>
                    <w:jc w:val="center"/>
                    <w:jc w:val="center"/>
                  </w:pPr>
                  <w:r>
                    <w:t xml:space="preserve">0.324</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0.328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8</w:t>
                  </w:r>
                </w:p>
              </w:tc>
              <w:tc>
                <w:tcPr/>
                <w:p>
                  <w:pPr>
                    <w:pStyle w:val="Compact"/>
                    <w:jc w:val="center"/>
                    <w:jc w:val="center"/>
                  </w:pPr>
                  <w:r>
                    <w:t xml:space="preserve">17</w:t>
                  </w:r>
                </w:p>
              </w:tc>
              <w:tc>
                <w:tcPr/>
                <w:p>
                  <w:pPr>
                    <w:pStyle w:val="Compact"/>
                    <w:jc w:val="center"/>
                    <w:jc w:val="center"/>
                  </w:pPr>
                  <w:r>
                    <w:t xml:space="preserve">4.25</w:t>
                  </w:r>
                </w:p>
              </w:tc>
              <w:tc>
                <w:tcPr/>
                <w:p>
                  <w:pPr>
                    <w:pStyle w:val="Compact"/>
                    <w:jc w:val="center"/>
                    <w:jc w:val="center"/>
                  </w:pPr>
                  <w:r>
                    <w:t xml:space="preserve">0.636</w:t>
                  </w:r>
                </w:p>
              </w:tc>
              <w:tc>
                <w:tcPr/>
                <w:p>
                  <w:pPr>
                    <w:pStyle w:val="Compact"/>
                    <w:jc w:val="center"/>
                    <w:jc w:val="center"/>
                  </w:pPr>
                  <w:r>
                    <w:t xml:space="preserve">0.125</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55"/>
        </w:tc>
      </w:tr>
    </w:tbl>
    <w:bookmarkEnd w:id="156"/>
    <w:bookmarkStart w:id="15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7.50</w:t>
            </w:r>
          </w:p>
        </w:tc>
        <w:tc>
          <w:tcPr/>
          <w:p>
            <w:pPr>
              <w:pStyle w:val="Compact"/>
              <w:jc w:val="left"/>
            </w:pPr>
            <w:r>
              <w:t xml:space="preserve">0%</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4.25</w:t>
            </w:r>
          </w:p>
        </w:tc>
        <w:tc>
          <w:tcPr/>
          <w:p>
            <w:pPr>
              <w:pStyle w:val="Compact"/>
              <w:jc w:val="left"/>
            </w:pPr>
            <w:r>
              <w:t xml:space="preserve">4.25</w:t>
            </w:r>
          </w:p>
        </w:tc>
        <w:tc>
          <w:tcPr/>
          <w:p>
            <w:pPr>
              <w:pStyle w:val="Compact"/>
              <w:jc w:val="left"/>
            </w:pPr>
            <w:r>
              <w:t xml:space="preserve">0%</w:t>
            </w:r>
          </w:p>
        </w:tc>
        <w:tc>
          <w:tcPr/>
          <w:p>
            <w:pPr>
              <w:pStyle w:val="Compact"/>
              <w:jc w:val="left"/>
            </w:pPr>
            <w:r>
              <w:t xml:space="preserve">4.25</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leaves Aur-P1’s edge set completely unchanged (75 edges, mean degree 7.50). Modularity decreases slightly for Aur-P1 when figurines are excluded (0.332 → 0.324 excluding all; 0.332 → 0.328 excluding Vogelherd only) while Aur-P2 is unchanged (0.125),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4.25) is unchanged under both exclusion scenarios (7.50 &gt; 4.25 excluding all figurines; 7.40 &gt; 4.25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a similar, if slightly larger, effect than removing all 63 figurines globally (0%).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0.332 → 0.324),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7"/>
    <w:bookmarkEnd w:id="158"/>
    <w:bookmarkStart w:id="179" w:name="sec-s8"/>
    <w:p>
      <w:pPr>
        <w:pStyle w:val="Heading1"/>
      </w:pPr>
      <w:r>
        <w:t xml:space="preserve">S8. Site Reclassification Sensitivity Analysis</w:t>
      </w:r>
    </w:p>
    <w:bookmarkStart w:id="159" w:name="s8.1-rationale"/>
    <w:p>
      <w:pPr>
        <w:pStyle w:val="Heading2"/>
      </w:pPr>
      <w:r>
        <w:t xml:space="preserve">S8.1 Rationale</w:t>
      </w:r>
    </w:p>
    <w:p>
      <w:pPr>
        <w:pStyle w:val="FirstParagraph"/>
      </w:pPr>
      <w:r>
        <w:t xml:space="preserve">The main analysis assigns each site to an Aurignacian phase based on calibrated radiocarbon dates. However, several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This section tests two scenarios: (A) reclassifying Abri Pataud and La Ferrassie to the Early Aurignacian and Mladeč to the Evolved Aurignacian, following specialist technological attributions; and (B) additionally excluding Vogelherd entirely, given its documented stratigraphic mixing.</w:t>
      </w:r>
    </w:p>
    <w:bookmarkEnd w:id="159"/>
    <w:bookmarkStart w:id="16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60" w:name="tbl-reclass-comparison"/>
          <w:tbl>
            <w:tblPr>
              <w:tblStyle w:val="Table"/>
              <w:tblW w:type="pct" w:w="5000"/>
              <w:tblLook w:firstRow="1" w:lastRow="0" w:firstColumn="0" w:lastColumn="0" w:noHBand="0" w:noVBand="0" w:val="0020"/>
              <w:jc w:val="start"/>
              <w:tblLayout w:type="fixed"/>
            </w:tblPr>
            <w:tblGrid>
              <w:gridCol w:w="1414"/>
              <w:gridCol w:w="2192"/>
              <w:gridCol w:w="424"/>
              <w:gridCol w:w="494"/>
              <w:gridCol w:w="636"/>
              <w:gridCol w:w="919"/>
              <w:gridCol w:w="989"/>
              <w:gridCol w:w="848"/>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Proto-Aurignacian</w:t>
                  </w:r>
                </w:p>
              </w:tc>
              <w:tc>
                <w:tcPr/>
                <w:p>
                  <w:pPr>
                    <w:pStyle w:val="Compact"/>
                    <w:jc w:val="left"/>
                    <w:jc w:val="center"/>
                  </w:pPr>
                  <w:r>
                    <w:t xml:space="preserve">Baseline</w:t>
                  </w:r>
                </w:p>
              </w:tc>
              <w:tc>
                <w:tcPr/>
                <w:p>
                  <w:pPr>
                    <w:pStyle w:val="Compact"/>
                    <w:jc w:val="left"/>
                    <w:jc w:val="center"/>
                  </w:pPr>
                  <w:r>
                    <w:t xml:space="preserve">13</w:t>
                  </w:r>
                </w:p>
              </w:tc>
              <w:tc>
                <w:tcPr/>
                <w:p>
                  <w:pPr>
                    <w:pStyle w:val="Compact"/>
                    <w:jc w:val="center"/>
                    <w:jc w:val="center"/>
                  </w:pPr>
                  <w:r>
                    <w:t xml:space="preserve">30</w:t>
                  </w:r>
                </w:p>
              </w:tc>
              <w:tc>
                <w:tcPr/>
                <w:p>
                  <w:pPr>
                    <w:pStyle w:val="Compact"/>
                    <w:jc w:val="center"/>
                    <w:jc w:val="center"/>
                  </w:pPr>
                  <w:r>
                    <w:t xml:space="preserve">0.385</w:t>
                  </w:r>
                </w:p>
              </w:tc>
              <w:tc>
                <w:tcPr/>
                <w:p>
                  <w:pPr>
                    <w:pStyle w:val="Compact"/>
                    <w:jc w:val="center"/>
                    <w:jc w:val="center"/>
                  </w:pPr>
                  <w:r>
                    <w:t xml:space="preserve">4.62</w:t>
                  </w:r>
                </w:p>
              </w:tc>
              <w:tc>
                <w:tcPr/>
                <w:p>
                  <w:pPr>
                    <w:pStyle w:val="Compact"/>
                    <w:jc w:val="center"/>
                    <w:jc w:val="center"/>
                  </w:pPr>
                  <w:r>
                    <w:t xml:space="preserve">0.732</w:t>
                  </w:r>
                </w:p>
              </w:tc>
              <w:tc>
                <w:tcPr/>
                <w:p>
                  <w:pPr>
                    <w:pStyle w:val="Compact"/>
                    <w:jc w:val="center"/>
                    <w:jc w:val="center"/>
                  </w:pPr>
                  <w:r>
                    <w:t xml:space="preserve">0.341</w:t>
                  </w:r>
                </w:p>
              </w:tc>
            </w:tr>
            <w:tr>
              <w:tc>
                <w:tcPr/>
                <w:p>
                  <w:pPr>
                    <w:pStyle w:val="Compact"/>
                    <w:jc w:val="left"/>
                    <w:jc w:val="center"/>
                  </w:pPr>
                  <w:r>
                    <w:t xml:space="preserve">Early Aurignacian</w:t>
                  </w:r>
                </w:p>
              </w:tc>
              <w:tc>
                <w:tcPr/>
                <w:p>
                  <w:pPr>
                    <w:pStyle w:val="Compact"/>
                    <w:jc w:val="left"/>
                    <w:jc w:val="center"/>
                  </w:pPr>
                  <w:r>
                    <w:t xml:space="preserve">Baseline</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r>
            <w:tr>
              <w:tc>
                <w:tcPr/>
                <w:p>
                  <w:pPr>
                    <w:pStyle w:val="Compact"/>
                    <w:jc w:val="left"/>
                    <w:jc w:val="center"/>
                  </w:pPr>
                  <w:r>
                    <w:t xml:space="preserve">Evolved Aurignacian</w:t>
                  </w:r>
                </w:p>
              </w:tc>
              <w:tc>
                <w:tcPr/>
                <w:p>
                  <w:pPr>
                    <w:pStyle w:val="Compact"/>
                    <w:jc w:val="left"/>
                    <w:jc w:val="center"/>
                  </w:pPr>
                  <w:r>
                    <w:t xml:space="preserve">Baseline</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Proto-Aurignacian</w:t>
                  </w:r>
                </w:p>
              </w:tc>
              <w:tc>
                <w:tcPr/>
                <w:p>
                  <w:pPr>
                    <w:pStyle w:val="Compact"/>
                    <w:jc w:val="left"/>
                    <w:jc w:val="center"/>
                  </w:pPr>
                  <w:r>
                    <w:t xml:space="preserve">Reclassified</w:t>
                  </w:r>
                </w:p>
              </w:tc>
              <w:tc>
                <w:tcPr/>
                <w:p>
                  <w:pPr>
                    <w:pStyle w:val="Compact"/>
                    <w:jc w:val="left"/>
                    <w:jc w:val="center"/>
                  </w:pPr>
                  <w:r>
                    <w:t xml:space="preserve">10</w:t>
                  </w:r>
                </w:p>
              </w:tc>
              <w:tc>
                <w:tcPr/>
                <w:p>
                  <w:pPr>
                    <w:pStyle w:val="Compact"/>
                    <w:jc w:val="center"/>
                    <w:jc w:val="center"/>
                  </w:pPr>
                  <w:r>
                    <w:t xml:space="preserve">15</w:t>
                  </w:r>
                </w:p>
              </w:tc>
              <w:tc>
                <w:tcPr/>
                <w:p>
                  <w:pPr>
                    <w:pStyle w:val="Compact"/>
                    <w:jc w:val="center"/>
                    <w:jc w:val="center"/>
                  </w:pPr>
                  <w:r>
                    <w:t xml:space="preserve">0.333</w:t>
                  </w:r>
                </w:p>
              </w:tc>
              <w:tc>
                <w:tcPr/>
                <w:p>
                  <w:pPr>
                    <w:pStyle w:val="Compact"/>
                    <w:jc w:val="center"/>
                    <w:jc w:val="center"/>
                  </w:pPr>
                  <w:r>
                    <w:t xml:space="preserve">3.00</w:t>
                  </w:r>
                </w:p>
              </w:tc>
              <w:tc>
                <w:tcPr/>
                <w:p>
                  <w:pPr>
                    <w:pStyle w:val="Compact"/>
                    <w:jc w:val="center"/>
                    <w:jc w:val="center"/>
                  </w:pPr>
                  <w:r>
                    <w:t xml:space="preserve">0.750</w:t>
                  </w:r>
                </w:p>
              </w:tc>
              <w:tc>
                <w:tcPr/>
                <w:p>
                  <w:pPr>
                    <w:pStyle w:val="Compact"/>
                    <w:jc w:val="center"/>
                    <w:jc w:val="center"/>
                  </w:pPr>
                  <w:r>
                    <w:t xml:space="preserve">0.445</w:t>
                  </w:r>
                </w:p>
              </w:tc>
            </w:tr>
            <w:tr>
              <w:tc>
                <w:tcPr/>
                <w:p>
                  <w:pPr>
                    <w:pStyle w:val="Compact"/>
                    <w:jc w:val="left"/>
                    <w:jc w:val="center"/>
                  </w:pPr>
                  <w:r>
                    <w:t xml:space="preserve">Early Aurignacian</w:t>
                  </w:r>
                </w:p>
              </w:tc>
              <w:tc>
                <w:tcPr/>
                <w:p>
                  <w:pPr>
                    <w:pStyle w:val="Compact"/>
                    <w:jc w:val="left"/>
                    <w:jc w:val="center"/>
                  </w:pPr>
                  <w:r>
                    <w:t xml:space="preserve">Reclassified</w:t>
                  </w:r>
                </w:p>
              </w:tc>
              <w:tc>
                <w:tcPr/>
                <w:p>
                  <w:pPr>
                    <w:pStyle w:val="Compact"/>
                    <w:jc w:val="left"/>
                    <w:jc w:val="center"/>
                  </w:pPr>
                  <w:r>
                    <w:t xml:space="preserve">11</w:t>
                  </w:r>
                </w:p>
              </w:tc>
              <w:tc>
                <w:tcPr/>
                <w:p>
                  <w:pPr>
                    <w:pStyle w:val="Compact"/>
                    <w:jc w:val="center"/>
                    <w:jc w:val="center"/>
                  </w:pPr>
                  <w:r>
                    <w:t xml:space="preserve">25</w:t>
                  </w:r>
                </w:p>
              </w:tc>
              <w:tc>
                <w:tcPr/>
                <w:p>
                  <w:pPr>
                    <w:pStyle w:val="Compact"/>
                    <w:jc w:val="center"/>
                    <w:jc w:val="center"/>
                  </w:pPr>
                  <w:r>
                    <w:t xml:space="preserve">0.455</w:t>
                  </w:r>
                </w:p>
              </w:tc>
              <w:tc>
                <w:tcPr/>
                <w:p>
                  <w:pPr>
                    <w:pStyle w:val="Compact"/>
                    <w:jc w:val="center"/>
                    <w:jc w:val="center"/>
                  </w:pPr>
                  <w:r>
                    <w:t xml:space="preserve">4.55</w:t>
                  </w:r>
                </w:p>
              </w:tc>
              <w:tc>
                <w:tcPr/>
                <w:p>
                  <w:pPr>
                    <w:pStyle w:val="Compact"/>
                    <w:jc w:val="center"/>
                    <w:jc w:val="center"/>
                  </w:pPr>
                  <w:r>
                    <w:t xml:space="preserve">0.796</w:t>
                  </w:r>
                </w:p>
              </w:tc>
              <w:tc>
                <w:tcPr/>
                <w:p>
                  <w:pPr>
                    <w:pStyle w:val="Compact"/>
                    <w:jc w:val="center"/>
                    <w:jc w:val="center"/>
                  </w:pPr>
                  <w:r>
                    <w:t xml:space="preserve">0.332</w:t>
                  </w:r>
                </w:p>
              </w:tc>
            </w:tr>
            <w:tr>
              <w:tc>
                <w:tcPr/>
                <w:p>
                  <w:pPr>
                    <w:pStyle w:val="Compact"/>
                    <w:jc w:val="left"/>
                    <w:jc w:val="center"/>
                  </w:pPr>
                  <w:r>
                    <w:t xml:space="preserve">Evolved Aurignacian</w:t>
                  </w:r>
                </w:p>
              </w:tc>
              <w:tc>
                <w:tcPr/>
                <w:p>
                  <w:pPr>
                    <w:pStyle w:val="Compact"/>
                    <w:jc w:val="left"/>
                    <w:jc w:val="center"/>
                  </w:pPr>
                  <w:r>
                    <w:t xml:space="preserve">Reclassified</w:t>
                  </w:r>
                </w:p>
              </w:tc>
              <w:tc>
                <w:tcPr/>
                <w:p>
                  <w:pPr>
                    <w:pStyle w:val="Compact"/>
                    <w:jc w:val="left"/>
                    <w:jc w:val="center"/>
                  </w:pPr>
                  <w:r>
                    <w:t xml:space="preserve">10</w:t>
                  </w:r>
                </w:p>
              </w:tc>
              <w:tc>
                <w:tcPr/>
                <w:p>
                  <w:pPr>
                    <w:pStyle w:val="Compact"/>
                    <w:jc w:val="center"/>
                    <w:jc w:val="center"/>
                  </w:pPr>
                  <w:r>
                    <w:t xml:space="preserve">22</w:t>
                  </w:r>
                </w:p>
              </w:tc>
              <w:tc>
                <w:tcPr/>
                <w:p>
                  <w:pPr>
                    <w:pStyle w:val="Compact"/>
                    <w:jc w:val="center"/>
                    <w:jc w:val="center"/>
                  </w:pPr>
                  <w:r>
                    <w:t xml:space="preserve">0.489</w:t>
                  </w:r>
                </w:p>
              </w:tc>
              <w:tc>
                <w:tcPr/>
                <w:p>
                  <w:pPr>
                    <w:pStyle w:val="Compact"/>
                    <w:jc w:val="center"/>
                    <w:jc w:val="center"/>
                  </w:pPr>
                  <w:r>
                    <w:t xml:space="preserve">4.40</w:t>
                  </w:r>
                </w:p>
              </w:tc>
              <w:tc>
                <w:tcPr/>
                <w:p>
                  <w:pPr>
                    <w:pStyle w:val="Compact"/>
                    <w:jc w:val="center"/>
                    <w:jc w:val="center"/>
                  </w:pPr>
                  <w:r>
                    <w:t xml:space="preserve">0.614</w:t>
                  </w:r>
                </w:p>
              </w:tc>
              <w:tc>
                <w:tcPr/>
                <w:p>
                  <w:pPr>
                    <w:pStyle w:val="Compact"/>
                    <w:jc w:val="center"/>
                    <w:jc w:val="center"/>
                  </w:pPr>
                  <w:r>
                    <w:t xml:space="preserve">0.243</w:t>
                  </w:r>
                </w:p>
              </w:tc>
            </w:tr>
            <w:tr>
              <w:tc>
                <w:tcPr/>
                <w:p>
                  <w:pPr>
                    <w:pStyle w:val="Compact"/>
                    <w:jc w:val="left"/>
                    <w:jc w:val="center"/>
                  </w:pPr>
                  <w:r>
                    <w:t xml:space="preserve">Proto-Aurignacian</w:t>
                  </w:r>
                </w:p>
              </w:tc>
              <w:tc>
                <w:tcPr/>
                <w:p>
                  <w:pPr>
                    <w:pStyle w:val="Compact"/>
                    <w:jc w:val="left"/>
                    <w:jc w:val="center"/>
                  </w:pPr>
                  <w:r>
                    <w:t xml:space="preserve">Excl. reclassified + Vogelherd</w:t>
                  </w:r>
                </w:p>
              </w:tc>
              <w:tc>
                <w:tcPr/>
                <w:p>
                  <w:pPr>
                    <w:pStyle w:val="Compact"/>
                    <w:jc w:val="left"/>
                    <w:jc w:val="center"/>
                  </w:pPr>
                  <w:r>
                    <w:t xml:space="preserve">9</w:t>
                  </w:r>
                </w:p>
              </w:tc>
              <w:tc>
                <w:tcPr/>
                <w:p>
                  <w:pPr>
                    <w:pStyle w:val="Compact"/>
                    <w:jc w:val="center"/>
                    <w:jc w:val="center"/>
                  </w:pPr>
                  <w:r>
                    <w:t xml:space="preserve">12</w:t>
                  </w:r>
                </w:p>
              </w:tc>
              <w:tc>
                <w:tcPr/>
                <w:p>
                  <w:pPr>
                    <w:pStyle w:val="Compact"/>
                    <w:jc w:val="center"/>
                    <w:jc w:val="center"/>
                  </w:pPr>
                  <w:r>
                    <w:t xml:space="preserve">0.333</w:t>
                  </w:r>
                </w:p>
              </w:tc>
              <w:tc>
                <w:tcPr/>
                <w:p>
                  <w:pPr>
                    <w:pStyle w:val="Compact"/>
                    <w:jc w:val="center"/>
                    <w:jc w:val="center"/>
                  </w:pPr>
                  <w:r>
                    <w:t xml:space="preserve">2.67</w:t>
                  </w:r>
                </w:p>
              </w:tc>
              <w:tc>
                <w:tcPr/>
                <w:p>
                  <w:pPr>
                    <w:pStyle w:val="Compact"/>
                    <w:jc w:val="center"/>
                    <w:jc w:val="center"/>
                  </w:pPr>
                  <w:r>
                    <w:t xml:space="preserve">0.692</w:t>
                  </w:r>
                </w:p>
              </w:tc>
              <w:tc>
                <w:tcPr/>
                <w:p>
                  <w:pPr>
                    <w:pStyle w:val="Compact"/>
                    <w:jc w:val="center"/>
                    <w:jc w:val="center"/>
                  </w:pPr>
                  <w:r>
                    <w:t xml:space="preserve">0.321</w:t>
                  </w:r>
                </w:p>
              </w:tc>
            </w:tr>
            <w:tr>
              <w:tc>
                <w:tcPr/>
                <w:p>
                  <w:pPr>
                    <w:pStyle w:val="Compact"/>
                    <w:jc w:val="left"/>
                    <w:jc w:val="center"/>
                  </w:pPr>
                  <w:r>
                    <w:t xml:space="preserve">Early Aurignacian</w:t>
                  </w:r>
                </w:p>
              </w:tc>
              <w:tc>
                <w:tcPr/>
                <w:p>
                  <w:pPr>
                    <w:pStyle w:val="Compact"/>
                    <w:jc w:val="left"/>
                    <w:jc w:val="center"/>
                  </w:pPr>
                  <w:r>
                    <w:t xml:space="preserve">Excl. reclassified + Vogelherd</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r>
            <w:tr>
              <w:tc>
                <w:tcPr/>
                <w:p>
                  <w:pPr>
                    <w:pStyle w:val="Compact"/>
                    <w:jc w:val="left"/>
                    <w:jc w:val="center"/>
                  </w:pPr>
                  <w:r>
                    <w:t xml:space="preserve">Evolved Aurignacian</w:t>
                  </w:r>
                </w:p>
              </w:tc>
              <w:tc>
                <w:tcPr/>
                <w:p>
                  <w:pPr>
                    <w:pStyle w:val="Compact"/>
                    <w:jc w:val="left"/>
                    <w:jc w:val="center"/>
                  </w:pPr>
                  <w:r>
                    <w:t xml:space="preserve">Excl. reclassified + Vogelherd</w:t>
                  </w:r>
                </w:p>
              </w:tc>
              <w:tc>
                <w:tcPr/>
                <w:p>
                  <w:pPr>
                    <w:pStyle w:val="Compact"/>
                    <w:jc w:val="left"/>
                    <w:jc w:val="center"/>
                  </w:pPr>
                  <w:r>
                    <w:t xml:space="preserve">8</w:t>
                  </w:r>
                </w:p>
              </w:tc>
              <w:tc>
                <w:tcPr/>
                <w:p>
                  <w:pPr>
                    <w:pStyle w:val="Compact"/>
                    <w:jc w:val="center"/>
                    <w:jc w:val="center"/>
                  </w:pPr>
                  <w:r>
                    <w:t xml:space="preserve">12</w:t>
                  </w:r>
                </w:p>
              </w:tc>
              <w:tc>
                <w:tcPr/>
                <w:p>
                  <w:pPr>
                    <w:pStyle w:val="Compact"/>
                    <w:jc w:val="center"/>
                    <w:jc w:val="center"/>
                  </w:pPr>
                  <w:r>
                    <w:t xml:space="preserve">0.429</w:t>
                  </w:r>
                </w:p>
              </w:tc>
              <w:tc>
                <w:tcPr/>
                <w:p>
                  <w:pPr>
                    <w:pStyle w:val="Compact"/>
                    <w:jc w:val="center"/>
                    <w:jc w:val="center"/>
                  </w:pPr>
                  <w:r>
                    <w:t xml:space="preserve">3.00</w:t>
                  </w:r>
                </w:p>
              </w:tc>
              <w:tc>
                <w:tcPr/>
                <w:p>
                  <w:pPr>
                    <w:pStyle w:val="Compact"/>
                    <w:jc w:val="center"/>
                    <w:jc w:val="center"/>
                  </w:pPr>
                  <w:r>
                    <w:t xml:space="preserve">0.484</w:t>
                  </w:r>
                </w:p>
              </w:tc>
              <w:tc>
                <w:tcPr/>
                <w:p>
                  <w:pPr>
                    <w:pStyle w:val="Compact"/>
                    <w:jc w:val="center"/>
                    <w:jc w:val="center"/>
                  </w:pPr>
                  <w:r>
                    <w:t xml:space="preserve">0.270</w:t>
                  </w:r>
                </w:p>
              </w:tc>
            </w:tr>
          </w:tbl>
          <w:p>
            <w:pPr>
              <w:jc w:val="center"/>
            </w:pPr>
            <w:pPr>
              <w:jc w:val="start"/>
              <w:spacing w:before="200"/>
              <w:pStyle w:val="ImageCaption"/>
            </w:pPr>
            <w:r>
              <w:t xml:space="preserve">Table 28: Network statistics under three conditions: baseline (all sites as originally assigned), reclassified (Abri Pataud and La Ferrassie moved to Early Aurignacian, Mladeč moved to Evolved Aurignacian), and excluded (reclassified sites plus Vogelherd removed entirely). Threshold = 0.2, Jaccard similarity.</w:t>
            </w:r>
          </w:p>
          <w:bookmarkEnd w:id="160"/>
        </w:tc>
      </w:tr>
    </w:tbl>
    <w:bookmarkStart w:id="161" w:name="reclassification-effects-by-phase"/>
    <w:p>
      <w:pPr>
        <w:pStyle w:val="Heading3"/>
      </w:pPr>
      <w:r>
        <w:t xml:space="preserve">Reclassification effects by phase</w:t>
      </w:r>
    </w:p>
    <w:p>
      <w:pPr>
        <w:pStyle w:val="FirstParagraph"/>
      </w:pPr>
      <w:r>
        <w:rPr>
          <w:bCs/>
          <w:b/>
        </w:rPr>
        <w:t xml:space="preserve">Proto-Aurignacian.</w:t>
      </w:r>
      <w:r>
        <w:t xml:space="preserve"> </w:t>
      </w:r>
      <w:r>
        <w:t xml:space="preserve">Reclassifying Abri Pataud, La Ferrassie, and Mladeč reduces the Proto from 13 to 10 sites and from 30 to 15 edges. Mean degree drops from 4.62 to 3 (-35.1%), and modularity increases from 0.341 to 0.445. The loss of La Ferrassie — the most connected node in the baseline Proto-Aurignacian network — is the primary driver of this decline.</w:t>
      </w:r>
    </w:p>
    <w:p>
      <w:pPr>
        <w:pStyle w:val="BodyText"/>
      </w:pPr>
      <w:r>
        <w:rPr>
          <w:bCs/>
          <w:b/>
        </w:rPr>
        <w:t xml:space="preserve">Early Aurignacian.</w:t>
      </w:r>
      <w:r>
        <w:t xml:space="preserve"> </w:t>
      </w:r>
      <w:r>
        <w:t xml:space="preserve">Adding Abri Pataud and La Ferrassie increases the Early from 9 to 11 sites and from 16 to 25 edges. Mean degree rises from 3.56 to 4.55 (27.8%).</w:t>
      </w:r>
    </w:p>
    <w:p>
      <w:pPr>
        <w:pStyle w:val="BodyText"/>
      </w:pPr>
      <w:r>
        <w:rPr>
          <w:bCs/>
          <w:b/>
        </w:rPr>
        <w:t xml:space="preserve">Evolved Aurignacian.</w:t>
      </w:r>
      <w:r>
        <w:t xml:space="preserve"> </w:t>
      </w:r>
      <w:r>
        <w:t xml:space="preserve">Adding Mladeč increases the Evolved from 9 to 10 sites and from 15 to 22 edges. Mean degree rises from 3.33 to 4.4 (32.1%).</w:t>
      </w:r>
    </w:p>
    <w:bookmarkEnd w:id="161"/>
    <w:bookmarkEnd w:id="162"/>
    <w:bookmarkStart w:id="163" w:name="s8.3-phase-ordering-reversal"/>
    <w:p>
      <w:pPr>
        <w:pStyle w:val="Heading2"/>
      </w:pPr>
      <w:r>
        <w:t xml:space="preserve">S8.3 Phase-Ordering Reversal</w:t>
      </w:r>
    </w:p>
    <w:p>
      <w:pPr>
        <w:pStyle w:val="FirstParagraph"/>
      </w:pPr>
      <w:r>
        <w:t xml:space="preserve">The most consequential finding is that</w:t>
      </w:r>
      <w:r>
        <w:t xml:space="preserve"> </w:t>
      </w:r>
      <w:r>
        <w:rPr>
          <w:bCs/>
          <w:b/>
        </w:rPr>
        <w:t xml:space="preserve">the phase ordering of connectivity reverses under reclassification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Ordering</w:t>
            </w:r>
          </w:p>
        </w:tc>
      </w:tr>
      <w:tr>
        <w:tc>
          <w:tcPr/>
          <w:p>
            <w:pPr>
              <w:pStyle w:val="Compact"/>
              <w:jc w:val="left"/>
            </w:pPr>
            <w:r>
              <w:t xml:space="preserve">Baseline</w:t>
            </w:r>
          </w:p>
        </w:tc>
        <w:tc>
          <w:tcPr/>
          <w:p>
            <w:pPr>
              <w:pStyle w:val="Compact"/>
              <w:jc w:val="left"/>
            </w:pPr>
            <w:r>
              <w:t xml:space="preserve">Proto (4.62) &gt; Early (3.56) &gt; Evolved (3.33)</w:t>
            </w:r>
          </w:p>
        </w:tc>
      </w:tr>
      <w:tr>
        <w:tc>
          <w:tcPr/>
          <w:p>
            <w:pPr>
              <w:pStyle w:val="Compact"/>
              <w:jc w:val="left"/>
            </w:pPr>
            <w:r>
              <w:t xml:space="preserve">Reclassified</w:t>
            </w:r>
          </w:p>
        </w:tc>
        <w:tc>
          <w:tcPr/>
          <w:p>
            <w:pPr>
              <w:pStyle w:val="Compact"/>
              <w:jc w:val="left"/>
            </w:pPr>
            <w:r>
              <w:t xml:space="preserve">Early (4.55) &gt; Evolved (4.4) &gt; Proto (3)</w:t>
            </w:r>
          </w:p>
        </w:tc>
      </w:tr>
    </w:tbl>
    <w:p>
      <w:pPr>
        <w:pStyle w:val="BodyText"/>
      </w:pPr>
      <w:r>
        <w:t xml:space="preserve">Under the reclassified assignments, the Early Aurignacian becomes the most connected phase, the Evolved Aurignacian is intermediate, and the Proto-Aurignacian — which loses La Ferrassie, its primary hub — becomes the least connected. This ordering is preserved when Vogelherd is additionally excluded (Analysis B): Early (3.56) &gt; Evolved (3) &gt; Proto (2.67).</w:t>
      </w:r>
    </w:p>
    <w:bookmarkEnd w:id="163"/>
    <w:bookmarkStart w:id="178" w:name="s8.4-interpretation"/>
    <w:p>
      <w:pPr>
        <w:pStyle w:val="Heading2"/>
      </w:pPr>
      <w:r>
        <w:t xml:space="preserve">S8.4 Interpretation</w:t>
      </w:r>
    </w:p>
    <w:p>
      <w:pPr>
        <w:pStyle w:val="FirstParagraph"/>
      </w:pPr>
      <w:r>
        <w:t xml:space="preserve">The reclassification analysis reveals that the main-text finding — that the Proto-Aurignacian was the most connected phase — is</w:t>
      </w:r>
      <w:r>
        <w:t xml:space="preserve"> </w:t>
      </w:r>
      <w:r>
        <w:rPr>
          <w:bCs/>
          <w:b/>
        </w:rPr>
        <w:t xml:space="preserve">contingent on the assignment of La Ferrassie to the Proto-Aurignacian</w:t>
      </w:r>
      <w:r>
        <w:t xml:space="preserve">. La Ferrassie contributes 22 objects to the Proto-Aurignacian and serves as the network’s primary hub. When it is reassigned to the Early Aurignacian (where its lithic technology places it: carinated scrapers, wide Aurignacian blades, no split-base points; Talamo et al. 2020; Delporte et al. 1977), the Proto-Aurignacian loses its hub structure and its mean degree drops below both the Early and Evolved phases.</w:t>
      </w:r>
    </w:p>
    <w:p>
      <w:pPr>
        <w:pStyle w:val="BodyText"/>
      </w:pPr>
      <w:r>
        <w:t xml:space="preserve">This does not invalidate the main-text analysis, but it necessitates a qualification:</w:t>
      </w:r>
      <w:r>
        <w:t xml:space="preserve"> </w:t>
      </w:r>
      <w:r>
        <w:rPr>
          <w:bCs/>
          <w:b/>
        </w:rPr>
        <w:t xml:space="preserve">the Proto-Aurignacian’s apparent connectivity advantage depends on radiocarbon-based phase assignments that specialist lithic analysis contradicts.</w:t>
      </w:r>
      <w:r>
        <w:t xml:space="preserve"> </w:t>
      </w:r>
      <w:r>
        <w:t xml:space="preserve">The three-phase ordering Proto &gt; Early &gt; Evolved should be treated as a hypothesis consistent with one plausible phase assignment, not as a demonstrated fact. Two alternative orderings — Early &gt; Evolved &gt; Proto (reclassified) and Early &gt; Proto &gt; Evolved (intermediate scenarios) — are equally consistent with the data under different but archaeologically justified phase attributions.</w:t>
      </w:r>
    </w:p>
    <w:p>
      <w:pPr>
        <w:pStyle w:val="BodyText"/>
      </w:pPr>
      <w:r>
        <w:t xml:space="preserve">What remains robust across all conditions is the</w:t>
      </w:r>
      <w:r>
        <w:t xml:space="preserve"> </w:t>
      </w:r>
      <w:r>
        <w:rPr>
          <w:bCs/>
          <w:b/>
        </w:rPr>
        <w:t xml:space="preserve">two-group community structure</w:t>
      </w:r>
      <w:r>
        <w:t xml:space="preserve">: restricted-range and broader-range assemblages persist in every phase regardless of which sites are included. The perMANOVA results confirming significant group separation in sign composition are also expected to hold, since the reclassified sites (Abri Pataud, La Ferrassie, Mladeč) belong to the restricted-range group in the Proto-Aurignacian and would occupy analogous positions in their new phases. The broader conclusion that Aurignacian communities maintained differentiated sign repertoires — possibly reflecting variation in social structure — is not affected by the reclassification.</w:t>
      </w:r>
    </w:p>
    <w:p>
      <w:pPr>
        <w:pStyle w:val="BodyText"/>
      </w:pPr>
      <w:r>
        <w:t xml:space="preserve">The exclusion analysis (Analysis B) shows that removing all four problematic sites (Abri Pataud, La Ferrassie, Mladeč, Vogelherd) further reduces connectivity across all phases but preserves the reclassified ordering: the Early Aurignacian (3.56°) remains the most connected, followed by the Evolved (3°) and the Proto (2.67°). The fact that the Early Aurignacian retains the highest connectivity even without Vogelherd — which contributes 50 figurines and 114 non-figurine objects — indicates that its network structure is driven by multiple sites (Hohle Fels, Solutré, Castanet, Cellier, Blanchard) rather than by a single outlier assemblage.</w:t>
      </w:r>
    </w:p>
    <w:bookmarkStart w:id="177" w:name="refs"/>
    <w:bookmarkStart w:id="164" w:name="ref-Chiotti_2005"/>
    <w:p>
      <w:pPr>
        <w:pStyle w:val="Bibliography"/>
      </w:pPr>
      <w:r>
        <w:t xml:space="preserve">[1]</w:t>
      </w:r>
      <w:r>
        <w:t xml:space="preserve"> </w:t>
      </w:r>
      <w:r>
        <w:t xml:space="preserve">	</w:t>
      </w:r>
      <w:r>
        <w:t xml:space="preserve">Chiotti L. Les industries lithiques aurignaciennes de l’abri pataud. Oxford: Archaeopress; 2005.</w:t>
      </w:r>
    </w:p>
    <w:bookmarkEnd w:id="164"/>
    <w:bookmarkStart w:id="165" w:name="ref-Chiotti_Cretin_2011"/>
    <w:p>
      <w:pPr>
        <w:pStyle w:val="Bibliography"/>
      </w:pPr>
      <w:r>
        <w:t xml:space="preserve">[2]</w:t>
      </w:r>
      <w:r>
        <w:t xml:space="preserve"> </w:t>
      </w:r>
      <w:r>
        <w:t xml:space="preserve">	</w:t>
      </w:r>
      <w:r>
        <w:t xml:space="preserve">Chiotti L, Crétin C. The protoaurignacian and the aurignacian 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65"/>
    <w:bookmarkStart w:id="167"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 europe. Journal of Human Evolution 2011;61:549–63.</w:t>
      </w:r>
      <w:r>
        <w:t xml:space="preserve"> </w:t>
      </w:r>
      <w:hyperlink r:id="rId166">
        <w:r>
          <w:rPr>
            <w:rStyle w:val="Hyperlink"/>
          </w:rPr>
          <w:t xml:space="preserve">https://doi.org/10.1016/j.jhevol.2011.06.001</w:t>
        </w:r>
      </w:hyperlink>
      <w:r>
        <w:t xml:space="preserve">.</w:t>
      </w:r>
    </w:p>
    <w:bookmarkEnd w:id="167"/>
    <w:bookmarkStart w:id="168"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8"/>
    <w:bookmarkStart w:id="170"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 aurignacian sequence of la ferrassie (france). Journal of Quaternary Science 2020;35:958–69.</w:t>
      </w:r>
      <w:r>
        <w:t xml:space="preserve"> </w:t>
      </w:r>
      <w:hyperlink r:id="rId169">
        <w:r>
          <w:rPr>
            <w:rStyle w:val="Hyperlink"/>
          </w:rPr>
          <w:t xml:space="preserve">https://doi.org/10.1002/jqs.3223</w:t>
        </w:r>
      </w:hyperlink>
      <w:r>
        <w:t xml:space="preserve">.</w:t>
      </w:r>
    </w:p>
    <w:bookmarkEnd w:id="170"/>
    <w:bookmarkStart w:id="172" w:name="ref-Oliva_2006"/>
    <w:p>
      <w:pPr>
        <w:pStyle w:val="Bibliography"/>
      </w:pPr>
      <w:r>
        <w:t xml:space="preserve">[6]</w:t>
      </w:r>
      <w:r>
        <w:t xml:space="preserve"> </w:t>
      </w:r>
      <w:r>
        <w:t xml:space="preserve">	</w:t>
      </w:r>
      <w:r>
        <w:t xml:space="preserve">Oliva M. The upper paleolithic finds from the mladeč cave. In: Teschler-Nicola M, editor. Early modern humans at the moravian gate: The mladeč caves and their remains, Vienna: Springer; 2006, p. 41–74.</w:t>
      </w:r>
      <w:r>
        <w:t xml:space="preserve"> </w:t>
      </w:r>
      <w:hyperlink r:id="rId171">
        <w:r>
          <w:rPr>
            <w:rStyle w:val="Hyperlink"/>
          </w:rPr>
          <w:t xml:space="preserve">https://doi.org/10.1007/3-211-38327-6_3</w:t>
        </w:r>
      </w:hyperlink>
      <w:r>
        <w:t xml:space="preserve">.</w:t>
      </w:r>
    </w:p>
    <w:bookmarkEnd w:id="172"/>
    <w:bookmarkStart w:id="174"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73">
        <w:r>
          <w:rPr>
            <w:rStyle w:val="Hyperlink"/>
          </w:rPr>
          <w:t xml:space="preserve">https://doi.org/10.1038/nature03585</w:t>
        </w:r>
      </w:hyperlink>
      <w:r>
        <w:t xml:space="preserve">.</w:t>
      </w:r>
    </w:p>
    <w:bookmarkEnd w:id="174"/>
    <w:bookmarkStart w:id="176"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75">
        <w:r>
          <w:rPr>
            <w:rStyle w:val="Hyperlink"/>
          </w:rPr>
          <w:t xml:space="preserve">https://doi.org/10.1007/s41982-025-00298-3</w:t>
        </w:r>
      </w:hyperlink>
      <w:r>
        <w:t xml:space="preserve">.</w:t>
      </w:r>
    </w:p>
    <w:bookmarkEnd w:id="176"/>
    <w:bookmarkEnd w:id="177"/>
    <w:bookmarkEnd w:id="178"/>
    <w:bookmarkEnd w:id="179"/>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9" Target="https://doi.org/10.1002/jqs.3223" TargetMode="External" /><Relationship Type="http://schemas.openxmlformats.org/officeDocument/2006/relationships/hyperlink" Id="rId171" Target="https://doi.org/10.1007/3-211-38327-6_3" TargetMode="External" /><Relationship Type="http://schemas.openxmlformats.org/officeDocument/2006/relationships/hyperlink" Id="rId175" Target="https://doi.org/10.1007/s41982-025-00298-3" TargetMode="External" /><Relationship Type="http://schemas.openxmlformats.org/officeDocument/2006/relationships/hyperlink" Id="rId166" Target="https://doi.org/10.1016/j.jhevol.2011.06.001" TargetMode="External" /><Relationship Type="http://schemas.openxmlformats.org/officeDocument/2006/relationships/hyperlink" Id="rId173" Target="https://doi.org/10.1038/nature03585"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2026-08-05T19:28:08Z</dcterms:created>
  <dcterms:modified xsi:type="dcterms:W3CDTF">2026-08-05T19:28:08Z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