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217.png" ContentType="image/png"/>
  <Override PartName="/word/media/rId226.png" ContentType="image/png"/>
  <Override PartName="/word/media/rId50.png" ContentType="image/png"/>
  <Override PartName="/word/media/rId159.png" ContentType="image/png"/>
  <Override PartName="/word/media/rId46.png" ContentType="image/png"/>
  <Override PartName="/word/media/rId29.png" ContentType="image/png"/>
  <Override PartName="/word/media/rId131.png" ContentType="image/png"/>
  <Override PartName="/word/media/rId65.png" ContentType="image/png"/>
  <Override PartName="/word/media/rId240.png" ContentType="image/png"/>
  <Override PartName="/word/media/rId269.png" ContentType="image/png"/>
  <Override PartName="/word/media/rId290.png" ContentType="image/png"/>
  <Override PartName="/word/media/rId257.png" ContentType="image/png"/>
  <Override PartName="/word/media/rId249.png" ContentType="image/png"/>
  <Override PartName="/word/media/rId178.png" ContentType="image/png"/>
  <Override PartName="/word/media/rId187.png" ContentType="image/png"/>
  <Override PartName="/word/media/rId19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S 1: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S 1</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Phase assignment then removes 29 objects from Spy, whose assemblage is mixed, from El Castillo, whose Aurignacian attribution is debated, and from the mixed Hohle Fels layer IIIa-V (S2).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S 2</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orange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for the raw edge count and mean degree. Aur-P1 has more edges and a higher mean degree than Aur-P2 under Jaccard, Sørensen-Dice and Simpson similarity. Aur-P2 has the higher edge density under all three metrics: 0.528 against 0.395 for Jaccard, 0.806 against 0.595 for Sørensen-Dice and 0.889 against 0.779 for Simpson. The higher edge count of Aur-P1 therefore comes from its larger number of sites (20 against 9)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Yes. Sørensen-Dice similarity weakens the community structure. The double weight on shared presences raises more similarity scores above the 0.2 threshold, so Aur-P1 has 113 edges under Sørensen-Dice against 75 under Jaccard. Modularity falls from 0.336 to 0.199 in Aur-P1 and from 0.161 to 0.058 in Aur-P2. The number of communities falls from 4 to 3 in Aur-P1 and from 3 to 2 in Aur-P2 (</w:t>
      </w:r>
      <w:hyperlink w:anchor="tbl-metric-stats">
        <w:r>
          <w:rPr>
            <w:rStyle w:val="Hyperlink"/>
          </w:rPr>
          <w:t xml:space="preserve">Table S 4</w:t>
        </w:r>
      </w:hyperlink>
      <w:r>
        <w:t xml:space="preserve">). We did not compare hub sites between the two metrics.</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Under Simpson similarity, Aur-P1 has a mean degree of 14.80 and Aur-P2 has a mean degree of 7.11. Simpson similarity is J/min(A,B). A poor assemblage that is nested inside a rich one therefore gets a high score by construction (</w:t>
      </w:r>
      <w:r>
        <w:t xml:space="preserve">Section S1.10.3</w:t>
      </w:r>
      <w:r>
        <w:t xml:space="preserve">). This nestedness makes both Simpson networks dense: the edge density is 0.779 in Aur-P1 and 0.889 in Aur-P2. Aur-P2 is the denser network. The higher mean degree of Aur-P1 therefore comes from its larger number of sites (20 against 9), as under the other two metrics.</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orange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Nestedness, in which rich sites share most of the sign types of poor sites, explains why the Simpson networks are dense. It does not explain the phase difference in mean degree. Under all three metrics, that difference comes from the number of sites (20 in Aur-P1 against 9 in Aur-P2). In Aur-P1, the PCoA1 regression (</w:t>
      </w:r>
      <w:hyperlink w:anchor="tbl-pc1-axis-test">
        <w:r>
          <w:rPr>
            <w:rStyle w:val="Hyperlink"/>
          </w:rPr>
          <w:t xml:space="preserve">Table S 5</w:t>
        </w:r>
      </w:hyperlink>
      <w:r>
        <w:t xml:space="preserve">) also links the main gradient of sign-type composition to richness.</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S 6: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its bootstrap interval excludes zero. In Aur-P1 the bootstrap intervals of 2 lags also exclude zero, at mean distances of 380 and 536 km. These lags have small Mantel r values (-0.077 and 0.078), and their permutation p-values (0.318 and 0.393) are not significant. These limits come from the ecodist bootstrap, which recomputes r on random subsets of 90% of the sites. They show how much r varies between subsets of sites. The permutation p-value is the test of each lag. The correlograms therefore show no clear scale-dependent structure. This agrees with the global Mantel tests, which find no isolation-by-distance correlation in either phase. The trend-surface model in</w:t>
      </w:r>
      <w:r>
        <w:t xml:space="preserve"> </w:t>
      </w:r>
      <w:r>
        <w:t xml:space="preserve">Section S1.4.4</w:t>
      </w:r>
      <w:r>
        <w:t xml:space="preserve"> </w:t>
      </w:r>
      <w:r>
        <w:t xml:space="preserve">finds only a weak linear trend in Aur-P1.</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100"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Modularity keeps the same raw order as in the two-phase scheme.</w:t>
      </w:r>
      <w:r>
        <w:t xml:space="preserve"> </w:t>
      </w:r>
      <w:r>
        <w:t xml:space="preserve">Modularity is highest in the Early component (0.307), lower in the Evolved component (0.161) and lowest in the relict Proto component (0.108). In the two-phase scheme, Aur-P1 modularity (0.336) is also higher than Aur-P2 modularity (0.161) (</w:t>
      </w:r>
      <w:hyperlink w:anchor="tbl-two-phase-ref">
        <w:r>
          <w:rPr>
            <w:rStyle w:val="Hyperlink"/>
          </w:rPr>
          <w:t xml:space="preserve">Table S 8</w:t>
        </w:r>
      </w:hyperlink>
      <w:r>
        <w:t xml:space="preserve">). These are raw values. They do not show that either phase has more community structure than chance.</w:t>
      </w:r>
      <w:r>
        <w:t xml:space="preserve"> </w:t>
      </w:r>
      <w:r>
        <w:t xml:space="preserve">Section S1.7.2</w:t>
      </w:r>
      <w:r>
        <w:t xml:space="preserve"> </w:t>
      </w:r>
      <w:r>
        <w:t xml:space="preserve">finds that the modularity of neither phase is higher than its null expectation, and</w:t>
      </w:r>
      <w:r>
        <w:t xml:space="preserve"> </w:t>
      </w:r>
      <w:r>
        <w:t xml:space="preserve">Section S1.5.5</w:t>
      </w:r>
      <w:r>
        <w:t xml:space="preserve"> </w:t>
      </w:r>
      <w:r>
        <w:t xml:space="preserve">shows that the order of the two phases reverses under date-based assignment.</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8" w:name="sec-s5-3"/>
    <w:p>
      <w:pPr>
        <w:pStyle w:val="Heading2"/>
      </w:pPr>
      <w:r>
        <w:t xml:space="preserve">S1.5.3 Date-variant calibration</w:t>
      </w:r>
    </w:p>
    <w:bookmarkStart w:id="86"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p>
      <w:pPr>
        <w:pStyle w:val="BodyText"/>
      </w:pPr>
      <w:r>
        <w:rPr>
          <w:bCs/>
          <w:b/>
        </w:rPr>
        <w:t xml:space="preserve">Question: does the Aur-P1 greater than Aur-P2 raw mean-degree ordering survive when the full network analysis is re-run with each variant?</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5" w:name="tbl-variant-networks"/>
          <w:tbl>
            <w:tblPr>
              <w:tblStyle w:val="Table"/>
              <w:tblW w:type="pct" w:w="5000"/>
              <w:tblLook w:firstRow="1" w:lastRow="0" w:firstColumn="0" w:lastColumn="0" w:noHBand="0" w:noVBand="0" w:val="0020"/>
              <w:jc w:val="start"/>
              <w:tblLayout w:type="fixed"/>
            </w:tblPr>
            <w:tblGrid>
              <w:gridCol w:w="1267"/>
              <w:gridCol w:w="950"/>
              <w:gridCol w:w="871"/>
              <w:gridCol w:w="871"/>
              <w:gridCol w:w="950"/>
              <w:gridCol w:w="1584"/>
              <w:gridCol w:w="1425"/>
            </w:tblGrid>
            <w:tr>
              <w:trPr>
                <w:tblHeader w:val="true"/>
              </w:trPr>
              <w:tc>
                <w:tcPr/>
                <w:p>
                  <w:pPr>
                    <w:pStyle w:val="Compact"/>
                    <w:jc w:val="left"/>
                    <w:jc w:val="left"/>
                  </w:pPr>
                  <w:r>
                    <w:t xml:space="preserve">Variant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older</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older</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midpoint</w:t>
                  </w:r>
                </w:p>
              </w:tc>
              <w:tc>
                <w:tcPr/>
                <w:p>
                  <w:pPr>
                    <w:pStyle w:val="Compact"/>
                    <w:jc w:val="left"/>
                    <w:jc w:val="left"/>
                  </w:pPr>
                  <w:r>
                    <w:t xml:space="preserve">Aur-P1</w:t>
                  </w:r>
                </w:p>
              </w:tc>
              <w:tc>
                <w:tcPr/>
                <w:p>
                  <w:pPr>
                    <w:pStyle w:val="Compact"/>
                    <w:jc w:val="left"/>
                    <w:jc w:val="left"/>
                  </w:pPr>
                  <w:r>
                    <w:t xml:space="preserve">15</w:t>
                  </w:r>
                </w:p>
              </w:tc>
              <w:tc>
                <w:tcPr/>
                <w:p>
                  <w:pPr>
                    <w:pStyle w:val="Compact"/>
                    <w:jc w:val="left"/>
                    <w:jc w:val="left"/>
                  </w:pPr>
                  <w:r>
                    <w:t xml:space="preserve">41</w:t>
                  </w:r>
                </w:p>
              </w:tc>
              <w:tc>
                <w:tcPr/>
                <w:p>
                  <w:pPr>
                    <w:pStyle w:val="Compact"/>
                    <w:jc w:val="left"/>
                    <w:jc w:val="left"/>
                  </w:pPr>
                  <w:r>
                    <w:t xml:space="preserve">0.390</w:t>
                  </w:r>
                </w:p>
              </w:tc>
              <w:tc>
                <w:tcPr/>
                <w:p>
                  <w:pPr>
                    <w:pStyle w:val="Compact"/>
                    <w:jc w:val="left"/>
                    <w:jc w:val="left"/>
                  </w:pPr>
                  <w:r>
                    <w:t xml:space="preserve">5.47</w:t>
                  </w:r>
                </w:p>
              </w:tc>
              <w:tc>
                <w:tcPr/>
                <w:p>
                  <w:pPr>
                    <w:pStyle w:val="Compact"/>
                    <w:jc w:val="left"/>
                    <w:jc w:val="left"/>
                  </w:pPr>
                  <w:r>
                    <w:t xml:space="preserve">0.386</w:t>
                  </w:r>
                </w:p>
              </w:tc>
            </w:tr>
            <w:tr>
              <w:tc>
                <w:tcPr/>
                <w:p>
                  <w:pPr>
                    <w:pStyle w:val="Compact"/>
                    <w:jc w:val="left"/>
                    <w:jc w:val="left"/>
                  </w:pPr>
                  <w:r>
                    <w:t xml:space="preserve">midpoint</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31</w:t>
                  </w:r>
                </w:p>
              </w:tc>
              <w:tc>
                <w:tcPr/>
                <w:p>
                  <w:pPr>
                    <w:pStyle w:val="Compact"/>
                    <w:jc w:val="left"/>
                    <w:jc w:val="left"/>
                  </w:pPr>
                  <w:r>
                    <w:t xml:space="preserve">0.470</w:t>
                  </w:r>
                </w:p>
              </w:tc>
              <w:tc>
                <w:tcPr/>
                <w:p>
                  <w:pPr>
                    <w:pStyle w:val="Compact"/>
                    <w:jc w:val="left"/>
                    <w:jc w:val="left"/>
                  </w:pPr>
                  <w:r>
                    <w:t xml:space="preserve">5.17</w:t>
                  </w:r>
                </w:p>
              </w:tc>
              <w:tc>
                <w:tcPr/>
                <w:p>
                  <w:pPr>
                    <w:pStyle w:val="Compact"/>
                    <w:jc w:val="left"/>
                    <w:jc w:val="left"/>
                  </w:pPr>
                  <w:r>
                    <w:t xml:space="preserve">0.125</w:t>
                  </w:r>
                </w:p>
              </w:tc>
            </w:tr>
            <w:tr>
              <w:tc>
                <w:tcPr/>
                <w:p>
                  <w:pPr>
                    <w:pStyle w:val="Compact"/>
                    <w:jc w:val="left"/>
                    <w:jc w:val="left"/>
                  </w:pPr>
                  <w:r>
                    <w:t xml:space="preserve">younger</w:t>
                  </w:r>
                </w:p>
              </w:tc>
              <w:tc>
                <w:tcPr/>
                <w:p>
                  <w:pPr>
                    <w:pStyle w:val="Compact"/>
                    <w:jc w:val="left"/>
                    <w:jc w:val="left"/>
                  </w:pPr>
                  <w:r>
                    <w:t xml:space="preserve">Aur-P1</w:t>
                  </w:r>
                </w:p>
              </w:tc>
              <w:tc>
                <w:tcPr/>
                <w:p>
                  <w:pPr>
                    <w:pStyle w:val="Compact"/>
                    <w:jc w:val="left"/>
                    <w:jc w:val="left"/>
                  </w:pPr>
                  <w:r>
                    <w:t xml:space="preserve">11</w:t>
                  </w:r>
                </w:p>
              </w:tc>
              <w:tc>
                <w:tcPr/>
                <w:p>
                  <w:pPr>
                    <w:pStyle w:val="Compact"/>
                    <w:jc w:val="left"/>
                    <w:jc w:val="left"/>
                  </w:pPr>
                  <w:r>
                    <w:t xml:space="preserve">24</w:t>
                  </w:r>
                </w:p>
              </w:tc>
              <w:tc>
                <w:tcPr/>
                <w:p>
                  <w:pPr>
                    <w:pStyle w:val="Compact"/>
                    <w:jc w:val="left"/>
                    <w:jc w:val="left"/>
                  </w:pPr>
                  <w:r>
                    <w:t xml:space="preserve">0.436</w:t>
                  </w:r>
                </w:p>
              </w:tc>
              <w:tc>
                <w:tcPr/>
                <w:p>
                  <w:pPr>
                    <w:pStyle w:val="Compact"/>
                    <w:jc w:val="left"/>
                    <w:jc w:val="left"/>
                  </w:pPr>
                  <w:r>
                    <w:t xml:space="preserve">4.36</w:t>
                  </w:r>
                </w:p>
              </w:tc>
              <w:tc>
                <w:tcPr/>
                <w:p>
                  <w:pPr>
                    <w:pStyle w:val="Compact"/>
                    <w:jc w:val="left"/>
                    <w:jc w:val="left"/>
                  </w:pPr>
                  <w:r>
                    <w:t xml:space="preserve">0.392</w:t>
                  </w:r>
                </w:p>
              </w:tc>
            </w:tr>
            <w:tr>
              <w:tc>
                <w:tcPr/>
                <w:p>
                  <w:pPr>
                    <w:pStyle w:val="Compact"/>
                    <w:jc w:val="left"/>
                    <w:jc w:val="left"/>
                  </w:pPr>
                  <w:r>
                    <w:t xml:space="preserve">younger</w:t>
                  </w:r>
                </w:p>
              </w:tc>
              <w:tc>
                <w:tcPr/>
                <w:p>
                  <w:pPr>
                    <w:pStyle w:val="Compact"/>
                    <w:jc w:val="left"/>
                    <w:jc w:val="left"/>
                  </w:pPr>
                  <w:r>
                    <w:t xml:space="preserve">Aur-P2</w:t>
                  </w:r>
                </w:p>
              </w:tc>
              <w:tc>
                <w:tcPr/>
                <w:p>
                  <w:pPr>
                    <w:pStyle w:val="Compact"/>
                    <w:jc w:val="left"/>
                    <w:jc w:val="left"/>
                  </w:pPr>
                  <w:r>
                    <w:t xml:space="preserve">15</w:t>
                  </w:r>
                </w:p>
              </w:tc>
              <w:tc>
                <w:tcPr/>
                <w:p>
                  <w:pPr>
                    <w:pStyle w:val="Compact"/>
                    <w:jc w:val="left"/>
                    <w:jc w:val="left"/>
                  </w:pPr>
                  <w:r>
                    <w:t xml:space="preserve">44</w:t>
                  </w:r>
                </w:p>
              </w:tc>
              <w:tc>
                <w:tcPr/>
                <w:p>
                  <w:pPr>
                    <w:pStyle w:val="Compact"/>
                    <w:jc w:val="left"/>
                    <w:jc w:val="left"/>
                  </w:pPr>
                  <w:r>
                    <w:t xml:space="preserve">0.419</w:t>
                  </w:r>
                </w:p>
              </w:tc>
              <w:tc>
                <w:tcPr/>
                <w:p>
                  <w:pPr>
                    <w:pStyle w:val="Compact"/>
                    <w:jc w:val="left"/>
                    <w:jc w:val="left"/>
                  </w:pPr>
                  <w:r>
                    <w:t xml:space="preserve">5.87</w:t>
                  </w:r>
                </w:p>
              </w:tc>
              <w:tc>
                <w:tcPr/>
                <w:p>
                  <w:pPr>
                    <w:pStyle w:val="Compact"/>
                    <w:jc w:val="left"/>
                    <w:jc w:val="left"/>
                  </w:pPr>
                  <w:r>
                    <w:t xml:space="preserve">0.192</w:t>
                  </w:r>
                </w:p>
              </w:tc>
            </w:tr>
          </w:tbl>
          <w:p>
            <w:pPr>
              <w:jc w:val="left"/>
            </w:pPr>
            <w:pPr>
              <w:jc w:val="start"/>
              <w:spacing w:before="200"/>
              <w:pStyle w:val="ImageCaption"/>
            </w:pPr>
            <w:r>
              <w:t xml:space="preserve">Table S 12: Network statistics per phase when the full pipeline is re-run with each date variant (threshold = 0.2, Jaccard similarity). The technology-based overrides are held fixed, so only date-assigned sites move between phases or drop out.</w:t>
            </w:r>
          </w:p>
          <w:bookmarkEnd w:id="85"/>
        </w:tc>
      </w:tr>
    </w:tbl>
    <w:bookmarkEnd w:id="86"/>
    <w:bookmarkStart w:id="87"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S 11</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Question: does the Aur-P1 greater than Aur-P2 raw mean-degree ordering survive when the full network analysis is re-run with each variant?</w:t>
      </w:r>
      <w:r>
        <w:t xml:space="preserve"> </w:t>
      </w:r>
      <w:r>
        <w:t xml:space="preserve">Only in part: the ordering follows the number of sites in each phase (</w:t>
      </w:r>
      <w:hyperlink w:anchor="tbl-variant-networks">
        <w:r>
          <w:rPr>
            <w:rStyle w:val="Hyperlink"/>
          </w:rPr>
          <w:t xml:space="preserve">Table S 12</w:t>
        </w:r>
      </w:hyperlink>
      <w:r>
        <w:t xml:space="preserve">). Under the older end, the phases hold 20 and 9 sites and the mean degrees are 7.5 against 4.22. Under the midpoint, the phases hold 15 and 12 sites and the gap narrows to 5.47 against 5.17. Under the younger end, the site balance reverses (11 against 15 sites) and so does the mean-degree ordering (4.36 against 5.87). In every variant, the phase with more sites has the higher raw mean degree. This agrees with the size-normalised result in</w:t>
      </w:r>
      <w:r>
        <w:t xml:space="preserve"> </w:t>
      </w:r>
      <w:r>
        <w:t xml:space="preserve">Section S1.7.6</w:t>
      </w:r>
      <w:r>
        <w:t xml:space="preserve">: the raw between-phase contrast is an effect of network size, not of connectivity.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 The raw Aur-P1 &gt; Aur-P2 mean-degree ordering is specific to the older-end baseline: it narrows at the midpoint and reverses at the younger end, tracking the number of sites in each phase. This dependence supports the main text’s decision to interpret the raw contrast as network scale and to rely on the size-normalised comparison in</w:t>
      </w:r>
      <w:r>
        <w:t xml:space="preserve"> </w:t>
      </w:r>
      <w:r>
        <w:t xml:space="preserve">Section S1.7.6</w:t>
      </w:r>
      <w:r>
        <w:t xml:space="preserve">.</w:t>
      </w:r>
    </w:p>
    <w:bookmarkEnd w:id="87"/>
    <w:bookmarkEnd w:id="88"/>
    <w:bookmarkStart w:id="93" w:name="sec-s5-4"/>
    <w:p>
      <w:pPr>
        <w:pStyle w:val="Heading2"/>
      </w:pPr>
      <w:r>
        <w:t xml:space="preserve">S1.5.4 Phase-boundary sensitivity</w:t>
      </w:r>
    </w:p>
    <w:bookmarkStart w:id="91"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9"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S 13: Number of objects and sites within ±500 and ±1000 calibrated years of the single periodisation boundary at 37799 cal BP separating Aur-P1 from Aur-P2.</w:t>
            </w:r>
          </w:p>
          <w:bookmarkEnd w:id="8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0"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S 14: Network statistics at the baseline threshold of 0.2 under shifts of the single Aur-P1/Aur-P2 boundary. Positive shifts move the boundary later (older objects reassigned to Aur-P2); negative shifts move it earlier (younger Aur-P2 objects reassigned to Aur-P1).</w:t>
            </w:r>
          </w:p>
          <w:bookmarkEnd w:id="90"/>
        </w:tc>
      </w:tr>
    </w:tbl>
    <w:bookmarkEnd w:id="91"/>
    <w:bookmarkStart w:id="92"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2"/>
    <w:bookmarkEnd w:id="93"/>
    <w:bookmarkStart w:id="99" w:name="sec-s5-5"/>
    <w:p>
      <w:pPr>
        <w:pStyle w:val="Heading2"/>
      </w:pPr>
      <w:r>
        <w:t xml:space="preserve">S1.5.5 Technological versus date-based assignment</w:t>
      </w:r>
    </w:p>
    <w:bookmarkStart w:id="94"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(B) excluding Vogelherd entirely, given its documented stratigraphic mixing, and (C) excluding Hohle Fels entirely, because it is the only site assigned to both phases and it holds nearly half of the Aur-P2 objects. This section answers three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p>
      <w:pPr>
        <w:pStyle w:val="BodyText"/>
      </w:pPr>
      <w:r>
        <w:rPr>
          <w:bCs/>
          <w:b/>
        </w:rPr>
        <w:t xml:space="preserve">Question: does the Aur-P1 greater than Aur-P2 raw mean-degree ordering survive when Hohle Fels is excluded entirely?</w:t>
      </w:r>
    </w:p>
    <w:bookmarkEnd w:id="94"/>
    <w:bookmarkStart w:id="97"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5"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Exclude Hohle Fels</w:t>
                  </w:r>
                </w:p>
              </w:tc>
              <w:tc>
                <w:tcPr/>
                <w:p>
                  <w:pPr>
                    <w:pStyle w:val="Compact"/>
                    <w:jc w:val="left"/>
                    <w:jc w:val="left"/>
                  </w:pPr>
                  <w:r>
                    <w:t xml:space="preserve">19</w:t>
                  </w:r>
                </w:p>
              </w:tc>
              <w:tc>
                <w:tcPr/>
                <w:p>
                  <w:pPr>
                    <w:pStyle w:val="Compact"/>
                    <w:jc w:val="left"/>
                    <w:jc w:val="left"/>
                  </w:pPr>
                  <w:r>
                    <w:t xml:space="preserve">68</w:t>
                  </w:r>
                </w:p>
              </w:tc>
              <w:tc>
                <w:tcPr/>
                <w:p>
                  <w:pPr>
                    <w:pStyle w:val="Compact"/>
                    <w:jc w:val="left"/>
                    <w:jc w:val="left"/>
                  </w:pPr>
                  <w:r>
                    <w:t xml:space="preserve">0.398</w:t>
                  </w:r>
                </w:p>
              </w:tc>
              <w:tc>
                <w:tcPr/>
                <w:p>
                  <w:pPr>
                    <w:pStyle w:val="Compact"/>
                    <w:jc w:val="left"/>
                    <w:jc w:val="left"/>
                  </w:pPr>
                  <w:r>
                    <w:t xml:space="preserve">7.16</w:t>
                  </w:r>
                </w:p>
              </w:tc>
              <w:tc>
                <w:tcPr/>
                <w:p>
                  <w:pPr>
                    <w:pStyle w:val="Compact"/>
                    <w:jc w:val="left"/>
                    <w:jc w:val="left"/>
                  </w:pPr>
                  <w:r>
                    <w:t xml:space="preserve">0.707</w:t>
                  </w:r>
                </w:p>
              </w:tc>
              <w:tc>
                <w:tcPr/>
                <w:p>
                  <w:pPr>
                    <w:pStyle w:val="Compact"/>
                    <w:jc w:val="left"/>
                    <w:jc w:val="left"/>
                  </w:pPr>
                  <w:r>
                    <w:t xml:space="preserve">0.304</w:t>
                  </w:r>
                </w:p>
              </w:tc>
            </w:tr>
            <w:tr>
              <w:tc>
                <w:tcPr/>
                <w:p>
                  <w:pPr>
                    <w:pStyle w:val="Compact"/>
                    <w:jc w:val="left"/>
                    <w:jc w:val="left"/>
                  </w:pPr>
                  <w:r>
                    <w:t xml:space="preserve">Aur-P2</w:t>
                  </w:r>
                </w:p>
              </w:tc>
              <w:tc>
                <w:tcPr/>
                <w:p>
                  <w:pPr>
                    <w:pStyle w:val="Compact"/>
                    <w:jc w:val="left"/>
                    <w:jc w:val="left"/>
                  </w:pPr>
                  <w:r>
                    <w:t xml:space="preserve">Exclude Hohle Fels</w:t>
                  </w:r>
                </w:p>
              </w:tc>
              <w:tc>
                <w:tcPr/>
                <w:p>
                  <w:pPr>
                    <w:pStyle w:val="Compact"/>
                    <w:jc w:val="left"/>
                    <w:jc w:val="left"/>
                  </w:pPr>
                  <w:r>
                    <w:t xml:space="preserve">8</w:t>
                  </w:r>
                </w:p>
              </w:tc>
              <w:tc>
                <w:tcPr/>
                <w:p>
                  <w:pPr>
                    <w:pStyle w:val="Compact"/>
                    <w:jc w:val="left"/>
                    <w:jc w:val="left"/>
                  </w:pPr>
                  <w:r>
                    <w:t xml:space="preserve">17</w:t>
                  </w:r>
                </w:p>
              </w:tc>
              <w:tc>
                <w:tcPr/>
                <w:p>
                  <w:pPr>
                    <w:pStyle w:val="Compact"/>
                    <w:jc w:val="left"/>
                    <w:jc w:val="left"/>
                  </w:pPr>
                  <w:r>
                    <w:t xml:space="preserve">0.607</w:t>
                  </w:r>
                </w:p>
              </w:tc>
              <w:tc>
                <w:tcPr/>
                <w:p>
                  <w:pPr>
                    <w:pStyle w:val="Compact"/>
                    <w:jc w:val="left"/>
                    <w:jc w:val="left"/>
                  </w:pPr>
                  <w:r>
                    <w:t xml:space="preserve">4.25</w:t>
                  </w:r>
                </w:p>
              </w:tc>
              <w:tc>
                <w:tcPr/>
                <w:p>
                  <w:pPr>
                    <w:pStyle w:val="Compact"/>
                    <w:jc w:val="left"/>
                    <w:jc w:val="left"/>
                  </w:pPr>
                  <w:r>
                    <w:t xml:space="preserve">0.636</w:t>
                  </w:r>
                </w:p>
              </w:tc>
              <w:tc>
                <w:tcPr/>
                <w:p>
                  <w:pPr>
                    <w:pStyle w:val="Compact"/>
                    <w:jc w:val="left"/>
                    <w:jc w:val="left"/>
                  </w:pPr>
                  <w:r>
                    <w:t xml:space="preserve">0.125</w:t>
                  </w:r>
                </w:p>
              </w:tc>
            </w:tr>
          </w:tbl>
          <w:p>
            <w:pPr>
              <w:jc w:val="left"/>
            </w:pPr>
            <w:pPr>
              <w:jc w:val="start"/>
              <w:spacing w:before="200"/>
              <w:pStyle w:val="ImageCaption"/>
            </w:pPr>
            <w:r>
              <w:t xml:space="preserve">Table S 15: Network statistics under four conditions: baseline (technology-based assignment), date-based (each object assigned purely by calibrated radiocarbon date, with the Spy/El Castillo exclusions retained), exclude Vogelherd (technology-based baseline with the site of Vogelherd removed entirely), and exclude Hohle Fels (technology-based baseline with the site of Hohle Fels removed from both phases). Threshold = 0.2, Jaccard similarity.</w:t>
            </w:r>
          </w:p>
          <w:bookmarkEnd w:id="95"/>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phase of objects at La Ferrassie, Mladeč and Vogelherd.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All 22 La Ferrassie objects move from Aur-P1 to Aur-P2, because their calibrated median (37,200 cal BP) is younger than 37,799 cal BP. Vogelherd is split by object date: 160 of its 173 objects stay in Aur-P1, and 13 objects, with a calibrated median of 36,380 cal BP, move to Aur-P2. Hohle Fels does not change, because its object dates give the same split as the layer-level override: 20 objects in Aur-P1 and 29 objects in Aur-P2. The date-based assignment therefore fragments Vogelherd, whose assemblage spans the phase boundary, which is precisely the failure mode the technology-based attribution is designed to avoid. Aur-P1 keeps 20 sites and has 80 edges, against 75 at baseline (mean degree 8), while Aur-P2, now without Mladeč but with La Ferrassie and the 13 younger Vogelherd objects,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Hohle Fels exclusion (Analysis C).</w:t>
      </w:r>
      <w:r>
        <w:t xml:space="preserve"> </w:t>
      </w:r>
      <w:r>
        <w:t xml:space="preserve">Hohle Fels contributes 20 objects to Aur-P1 and 29 objects to Aur-P2, which is 46% of the Aur-P2 sample. Removing the site from both phases reduces Aur-P1 from 20 to 19 sites and from 75 to 68 edges (mean degree 7.5 to 7.16), and reduces Aur-P2 from 9 to 8 sites and from 19 to 17 edges. The Aur-P2 mean degree barely changes (4.22 at baseline, 4.25 without Hohle Fels), so the remaining Aur-P2 sites keep a similar level of connection to each other without the site that holds the phase’s richest repertoire. Modularity falls in both phases (Aur-P1 0.336 to 0.304; Aur-P2 0.161 to 0.125).</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 in this section</w:t>
      </w:r>
      <w:r>
        <w:t xml:space="preserve"> </w:t>
      </w:r>
      <w:r>
        <w:t xml:space="preserve">(under the alternative date ends of</w:t>
      </w:r>
      <w:r>
        <w:t xml:space="preserve"> </w:t>
      </w:r>
      <w:r>
        <w:t xml:space="preserve">Section S1.5.3</w:t>
      </w:r>
      <w:r>
        <w:t xml:space="preserve"> </w:t>
      </w:r>
      <w:r>
        <w:t xml:space="preserve">the ordering instead follows the number of sites in each phase):</w:t>
      </w:r>
    </w:p>
    <w:tbl>
      <w:tblPr>
        <w:tblStyle w:val="Table"/>
        <w:tblW w:type="pct" w:w="5000"/>
        <w:tblLook w:firstRow="0" w:lastRow="0" w:firstColumn="0" w:lastColumn="0" w:noHBand="0" w:noVBand="0" w:val="0000"/>
        <w:jc w:val="start"/>
        <w:tblLayout w:type="fixed"/>
      </w:tblPr>
      <w:tblGrid>
        <w:gridCol w:w="7920"/>
      </w:tblGrid>
      <w:tr>
        <w:tc>
          <w:tcPr/>
          <w:bookmarkStart w:id="96"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Exclude Hohle Fels</w:t>
                  </w:r>
                </w:p>
              </w:tc>
              <w:tc>
                <w:tcPr/>
                <w:p>
                  <w:pPr>
                    <w:pStyle w:val="Compact"/>
                    <w:jc w:val="left"/>
                    <w:jc w:val="left"/>
                  </w:pPr>
                  <w:r>
                    <w:t xml:space="preserve">7.16</w:t>
                  </w:r>
                </w:p>
              </w:tc>
              <w:tc>
                <w:tcPr/>
                <w:p>
                  <w:pPr>
                    <w:pStyle w:val="Compact"/>
                    <w:jc w:val="left"/>
                    <w:jc w:val="left"/>
                  </w:pPr>
                  <w:r>
                    <w:t xml:space="preserve">4.25</w:t>
                  </w:r>
                </w:p>
              </w:tc>
              <w:tc>
                <w:tcPr/>
                <w:p>
                  <w:pPr>
                    <w:pStyle w:val="Compact"/>
                    <w:jc w:val="left"/>
                    <w:jc w:val="left"/>
                  </w:pPr>
                  <w:r>
                    <w:t xml:space="preserve">Aur-P1 &gt; Aur-P2</w:t>
                  </w:r>
                </w:p>
              </w:tc>
            </w:tr>
          </w:tbl>
          <w:p>
            <w:pPr>
              <w:jc w:val="left"/>
            </w:pPr>
            <w:pPr>
              <w:jc w:val="start"/>
              <w:spacing w:before="200"/>
              <w:pStyle w:val="ImageCaption"/>
            </w:pPr>
            <w:r>
              <w:t xml:space="preserve">Table S 16: Mean degree by phase under each reassignment condition. The Aur-P1 &gt; Aur-P2 ordering is preserved under every condition.</w:t>
            </w:r>
          </w:p>
          <w:bookmarkEnd w:id="96"/>
        </w:tc>
      </w:tr>
    </w:tbl>
    <w:bookmarkEnd w:id="97"/>
    <w:bookmarkStart w:id="98"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splits Vogelherd across the phases, moves La Ferrassie into Aur-P2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15</w:t>
        </w:r>
      </w:hyperlink>
      <w:r>
        <w:t xml:space="preserve">;</w:t>
      </w:r>
      <w:r>
        <w:t xml:space="preserve"> </w:t>
      </w:r>
      <w:hyperlink w:anchor="tbl-ordering-by-condition">
        <w:r>
          <w:rPr>
            <w:rStyle w:val="Hyperlink"/>
          </w:rPr>
          <w:t xml:space="preserve">Table S 16</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15</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Question: does the Aur-P1 greater than Aur-P2 raw mean-degree ordering survive when Hohle Fels is excluded entirely?</w:t>
      </w:r>
      <w:r>
        <w:t xml:space="preserve"> </w:t>
      </w:r>
      <w:r>
        <w:t xml:space="preserve">Yes. Excluding Hohle Fels leaves the ordering intact (7.16 versus 4.25;</w:t>
      </w:r>
      <w:r>
        <w:t xml:space="preserve"> </w:t>
      </w:r>
      <w:hyperlink w:anchor="tbl-reclass-comparison">
        <w:r>
          <w:rPr>
            <w:rStyle w:val="Hyperlink"/>
          </w:rPr>
          <w:t xml:space="preserve">Table S 15</w:t>
        </w:r>
      </w:hyperlink>
      <w:r>
        <w:t xml:space="preserve">, Exclude Hohle Fels rows). The Aur-P2 network does not depend on its largest site: the mean degree of the remaining 8 sites (4.25) is almost the same as at baseline (4.22). The within-phase group structure is a separate question: Hohle Fels is one of only three broad-range sites in Aur-P2, so the restricted/broad contrast in that phase rests partly on this site.</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(La Ferrassie moves to Aur-P2, Mladeč moves to Aur-P1 and Vogelherd is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8"/>
    <w:bookmarkEnd w:id="99"/>
    <w:bookmarkEnd w:id="100"/>
    <w:bookmarkStart w:id="120" w:name="sec-s6"/>
    <w:p>
      <w:pPr>
        <w:pStyle w:val="Heading1"/>
      </w:pPr>
      <w:r>
        <w:t xml:space="preserve">S1.6 Automated Group Recovery as a Circularity Check</w:t>
      </w:r>
    </w:p>
    <w:bookmarkStart w:id="101"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1"/>
    <w:bookmarkStart w:id="105" w:name="sec-s6-1"/>
    <w:p>
      <w:pPr>
        <w:pStyle w:val="Heading2"/>
      </w:pPr>
      <w:r>
        <w:t xml:space="preserve">S1.6.2 Louvain community partitioning</w:t>
      </w:r>
    </w:p>
    <w:bookmarkStart w:id="104"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2"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S 17: Louvain community memberships for each site, by phase and threshold. Sites with no community assignment (no edges at that threshold) are assigned to a singleton community. Groups are numbered by Louvain membership.</w:t>
            </w:r>
          </w:p>
          <w:bookmarkEnd w:id="10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3"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S 18: Adjusted Rand Index (ARI) between Louvain-derived communities and the manually assigned restricted/broad groups, by phase and threshold. ARI = 1.0 indicates identical partitions; ARI ≈ 0 indicates agreement no better than chance.</w:t>
            </w:r>
          </w:p>
          <w:bookmarkEnd w:id="103"/>
        </w:tc>
      </w:tr>
    </w:tbl>
    <w:bookmarkEnd w:id="104"/>
    <w:bookmarkEnd w:id="105"/>
    <w:bookmarkStart w:id="108" w:name="sec-s6-2"/>
    <w:p>
      <w:pPr>
        <w:pStyle w:val="Heading2"/>
      </w:pPr>
      <w:r>
        <w:t xml:space="preserve">S1.6.3 Infomap community partitioning</w:t>
      </w:r>
    </w:p>
    <w:bookmarkStart w:id="107"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6"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19: Adjusted Rand Index (ARI) between Infomap-derived communities and Louvain-derived communities, by phase and threshold. ARI = 1.0 indicates identical partitions; ARI ≈ 0 indicates agreement no better than chance.</w:t>
            </w:r>
          </w:p>
          <w:bookmarkEnd w:id="106"/>
        </w:tc>
      </w:tr>
    </w:tbl>
    <w:bookmarkEnd w:id="107"/>
    <w:bookmarkEnd w:id="108"/>
    <w:bookmarkStart w:id="111" w:name="sec-s6-3"/>
    <w:p>
      <w:pPr>
        <w:pStyle w:val="Heading2"/>
      </w:pPr>
      <w:r>
        <w:t xml:space="preserve">S1.6.4 Leiden community partitioning</w:t>
      </w:r>
    </w:p>
    <w:bookmarkStart w:id="110"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9"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20: Adjusted Rand Index (ARI) between Leiden-derived communities and Louvain-derived communities, by phase and threshold. ARI = 1.0 indicates identical partitions; ARI ≈ 0 indicates agreement no better than chance.</w:t>
            </w:r>
          </w:p>
          <w:bookmarkEnd w:id="109"/>
        </w:tc>
      </w:tr>
    </w:tbl>
    <w:bookmarkEnd w:id="110"/>
    <w:bookmarkEnd w:id="111"/>
    <w:bookmarkStart w:id="114" w:name="sec-s6-4"/>
    <w:p>
      <w:pPr>
        <w:pStyle w:val="Heading2"/>
      </w:pPr>
      <w:r>
        <w:t xml:space="preserve">S1.6.5 Walktrap community partitioning</w:t>
      </w:r>
    </w:p>
    <w:bookmarkStart w:id="113"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2"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S 21: Adjusted Rand Index (ARI) between Walktrap-derived communities and Louvain-derived communities, by phase and threshold. ARI = 1.0 indicates identical partitions; ARI ≈ 0 indicates agreement no better than chance.</w:t>
            </w:r>
          </w:p>
          <w:bookmarkEnd w:id="112"/>
        </w:tc>
      </w:tr>
    </w:tbl>
    <w:bookmarkEnd w:id="113"/>
    <w:bookmarkEnd w:id="114"/>
    <w:bookmarkStart w:id="117" w:name="sec-s6-5"/>
    <w:p>
      <w:pPr>
        <w:pStyle w:val="Heading2"/>
      </w:pPr>
      <w:r>
        <w:t xml:space="preserve">S1.6.6 PerMANOVA comparison</w:t>
      </w:r>
    </w:p>
    <w:bookmarkStart w:id="116"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5"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S 22: PerMANOVA comparison: manual (restricted/broad) grouping versus algorithmically derived groupings. R² and pseudo-F for each phase, threshold, and community detection algorithm.</w:t>
            </w:r>
          </w:p>
          <w:bookmarkEnd w:id="115"/>
        </w:tc>
      </w:tr>
    </w:tbl>
    <w:bookmarkEnd w:id="116"/>
    <w:bookmarkEnd w:id="117"/>
    <w:bookmarkStart w:id="118"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17</w:t>
        </w:r>
      </w:hyperlink>
      <w:r>
        <w:t xml:space="preserve">,</w:t>
      </w:r>
      <w:r>
        <w:t xml:space="preserve"> </w:t>
      </w:r>
      <w:hyperlink w:anchor="tbl-ari-louvain">
        <w:r>
          <w:rPr>
            <w:rStyle w:val="Hyperlink"/>
          </w:rPr>
          <w:t xml:space="preserve">Table S 18</w:t>
        </w:r>
      </w:hyperlink>
      <w:r>
        <w:t xml:space="preserve">,</w:t>
      </w:r>
      <w:r>
        <w:t xml:space="preserve"> </w:t>
      </w:r>
      <w:hyperlink w:anchor="tbl-ari-infomap">
        <w:r>
          <w:rPr>
            <w:rStyle w:val="Hyperlink"/>
          </w:rPr>
          <w:t xml:space="preserve">Table S 19</w:t>
        </w:r>
      </w:hyperlink>
      <w:r>
        <w:t xml:space="preserve">,</w:t>
      </w:r>
      <w:r>
        <w:t xml:space="preserve"> </w:t>
      </w:r>
      <w:hyperlink w:anchor="tbl-ari-leiden">
        <w:r>
          <w:rPr>
            <w:rStyle w:val="Hyperlink"/>
          </w:rPr>
          <w:t xml:space="preserve">Table S 20</w:t>
        </w:r>
      </w:hyperlink>
      <w:r>
        <w:t xml:space="preserve">,</w:t>
      </w:r>
      <w:r>
        <w:t xml:space="preserve"> </w:t>
      </w:r>
      <w:hyperlink w:anchor="tbl-ari-walktrap">
        <w:r>
          <w:rPr>
            <w:rStyle w:val="Hyperlink"/>
          </w:rPr>
          <w:t xml:space="preserve">Table S 21</w:t>
        </w:r>
      </w:hyperlink>
      <w:r>
        <w:t xml:space="preserve">,</w:t>
      </w:r>
      <w:r>
        <w:t xml:space="preserve"> </w:t>
      </w:r>
      <w:hyperlink w:anchor="tbl-permanova-comparison">
        <w:r>
          <w:rPr>
            <w:rStyle w:val="Hyperlink"/>
          </w:rPr>
          <w:t xml:space="preserve">Table S 22</w:t>
        </w:r>
      </w:hyperlink>
      <w:r>
        <w:t xml:space="preserve">). Counts below are read from those tables at render time, not hardcoded, so the text cannot drift from the computation. The detailed patterns are answered jointly in Interpretation below.</w:t>
      </w:r>
    </w:p>
    <w:bookmarkEnd w:id="118"/>
    <w:bookmarkStart w:id="119"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Agreement between the algorithms depends on the algorithm and the threshold (</w:t>
      </w:r>
      <w:hyperlink w:anchor="tbl-ari-infomap">
        <w:r>
          <w:rPr>
            <w:rStyle w:val="Hyperlink"/>
          </w:rPr>
          <w:t xml:space="preserve">Table S 19</w:t>
        </w:r>
      </w:hyperlink>
      <w:r>
        <w:t xml:space="preserve">;</w:t>
      </w:r>
      <w:r>
        <w:t xml:space="preserve"> </w:t>
      </w:r>
      <w:hyperlink w:anchor="tbl-ari-leiden">
        <w:r>
          <w:rPr>
            <w:rStyle w:val="Hyperlink"/>
          </w:rPr>
          <w:t xml:space="preserve">Table S 20</w:t>
        </w:r>
      </w:hyperlink>
      <w:r>
        <w:t xml:space="preserve">;</w:t>
      </w:r>
      <w:r>
        <w:t xml:space="preserve"> </w:t>
      </w:r>
      <w:hyperlink w:anchor="tbl-ari-walktrap">
        <w:r>
          <w:rPr>
            <w:rStyle w:val="Hyperlink"/>
          </w:rPr>
          <w:t xml:space="preserve">Table S 21</w:t>
        </w:r>
      </w:hyperlink>
      <w:r>
        <w:t xml:space="preserve">). In Aur-P1 at threshold 0.2, Infomap and Walktrap give the same partition as Louvain (ARI = 1.000 and 1.000). Leiden does not agree with Louvain in Aur-P1: its ARI is -0.051, 0.257 and 0.167 at thresholds 0.1, 0.2 and 0.3. In Aur-P2, Walktrap gives the same partition as Louvain at thresholds 0.2 and 0.3 (ARI = 1.000 and 1.000). At threshold 0.2, Infomap finds 1 community and Leiden finds 1 community in the 9 Aur-P2 sites, so their ARI with Louvain is not defined (NA). Walktrap differs from Louvain at threshold 0.1 in both phases (ARI = 0.410 and 0.393). Thus the four algorithms do not all agree in either phase.</w:t>
      </w:r>
    </w:p>
    <w:p>
      <w:pPr>
        <w:pStyle w:val="BodyText"/>
      </w:pPr>
      <w:r>
        <w:rPr>
          <w:bCs/>
          <w:b/>
        </w:rPr>
        <w:t xml:space="preserve">Question: do automatically detected communities explain as much sign-composition variance as the manual groups?</w:t>
      </w:r>
      <w:r>
        <w:t xml:space="preserve"> </w:t>
      </w:r>
      <w:r>
        <w:t xml:space="preserve">Louvain explains more, Leiden explains less, and the comparison is not like for like. The PerMANOVA comparison shows how much variance each partition explains (</w:t>
      </w:r>
      <w:hyperlink w:anchor="tbl-permanova-comparison">
        <w:r>
          <w:rPr>
            <w:rStyle w:val="Hyperlink"/>
          </w:rPr>
          <w:t xml:space="preserve">Table S 22</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 R² also rises with the number of groups. At threshold 0.2 the Louvain partition has 4 groups in Aur-P1, and some of these groups hold a single site (</w:t>
      </w:r>
      <w:hyperlink w:anchor="tbl-louvain-groups">
        <w:r>
          <w:rPr>
            <w:rStyle w:val="Hyperlink"/>
          </w:rPr>
          <w:t xml:space="preserve">Table S 17</w:t>
        </w:r>
      </w:hyperlink>
      <w:r>
        <w:t xml:space="preserve">). The pseudo-F statistic takes the number of groups into account. In Aur-P1 it is lower for Louvain (F = 2.945) than for the manual groups (F = 4.382). Leiden explains less variance than the manual groups in Aur-P1 (R² = 0.164 at threshold 0.2, against 0.196).</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17</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In Aur-P1 at threshold 0.2, Louvain, Infomap and Walktrap give the same partition, and this partition largely matches the restricted/broad split (ARI with the manual groups = 0.798). Leiden gives a different partition. In Aur-P2, the community structure depends on the algorithm.</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Louvain partition explains more variance than the manual groups, but it has more groups and a lower pseudo-F in Aur-P1, and Leiden explains less variance than the manual groups (</w:t>
      </w:r>
      <w:hyperlink w:anchor="tbl-permanova-comparison">
        <w:r>
          <w:rPr>
            <w:rStyle w:val="Hyperlink"/>
          </w:rPr>
          <w:t xml:space="preserve">Table S 22</w:t>
        </w:r>
      </w:hyperlink>
      <w:r>
        <w:t xml:space="preserve">).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9"/>
    <w:bookmarkEnd w:id="120"/>
    <w:bookmarkStart w:id="146" w:name="sec-s7"/>
    <w:p>
      <w:pPr>
        <w:pStyle w:val="Heading1"/>
      </w:pPr>
      <w:r>
        <w:t xml:space="preserve">S1.7 Network Calibration</w:t>
      </w:r>
    </w:p>
    <w:bookmarkStart w:id="121"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1"/>
    <w:bookmarkStart w:id="125" w:name="sec-s7-1"/>
    <w:p>
      <w:pPr>
        <w:pStyle w:val="Heading2"/>
      </w:pPr>
      <w:r>
        <w:t xml:space="preserve">S1.7.2 Null-benchmarked modularity</w:t>
      </w:r>
    </w:p>
    <w:bookmarkStart w:id="123"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2"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S 23: Observed modularity and null-model p-values for each Aurignacian phase at three Jaccard similarity thresholds.</w:t>
            </w:r>
          </w:p>
          <w:bookmarkEnd w:id="12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3"/>
    <w:bookmarkStart w:id="124"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S 23</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S 23</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4"/>
    <w:bookmarkEnd w:id="125"/>
    <w:bookmarkStart w:id="129" w:name="sec-s7-2"/>
    <w:p>
      <w:pPr>
        <w:pStyle w:val="Heading2"/>
      </w:pPr>
      <w:r>
        <w:t xml:space="preserve">S1.7.3 Richness and degree confound</w:t>
      </w:r>
    </w:p>
    <w:bookmarkStart w:id="127"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6"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S 24: Spearman correlations between node degree and site sign richness (number of distinct sign types) within each Aurignacian phase, at the baseline threshold of 0.2.</w:t>
            </w:r>
          </w:p>
          <w:bookmarkEnd w:id="126"/>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7"/>
    <w:bookmarkStart w:id="128"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8"/>
    <w:bookmarkEnd w:id="129"/>
    <w:bookmarkStart w:id="137" w:name="sec-s7-3"/>
    <w:p>
      <w:pPr>
        <w:pStyle w:val="Heading2"/>
      </w:pPr>
      <w:r>
        <w:t xml:space="preserve">S1.7.4 Bootstrap confidence intervals</w:t>
      </w:r>
    </w:p>
    <w:bookmarkStart w:id="135"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30"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S 25: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w:t>
            </w:r>
            <w:r>
              <w:t xml:space="preserve"> </w:t>
            </w:r>
            <w:r>
              <w:t xml:space="preserve">[14]</w:t>
            </w:r>
            <w:r>
              <w:t xml:space="preserve">.</w:t>
            </w:r>
          </w:p>
          <w:bookmarkEnd w:id="130"/>
        </w:tc>
      </w:tr>
    </w:tbl>
    <w:tbl>
      <w:tblPr>
        <w:tblStyle w:val="Table"/>
        <w:tblW w:type="pct" w:w="5000"/>
        <w:tblLook w:firstRow="0" w:lastRow="0" w:firstColumn="0" w:lastColumn="0" w:noHBand="0" w:noVBand="0" w:val="0000"/>
        <w:jc w:val="start"/>
        <w:tblLayout w:type="fixed"/>
      </w:tblPr>
      <w:tblGrid>
        <w:gridCol w:w="7920"/>
      </w:tblGrid>
      <w:tr>
        <w:tc>
          <w:tcPr/>
          <w:bookmarkStart w:id="134" w:name="fig-bootstrap-dist"/>
          <w:p>
            <w:pPr>
              <w:pStyle w:val="Compact"/>
              <w:jc w:val="left"/>
            </w:pPr>
            <w:r>
              <w:drawing>
                <wp:inline>
                  <wp:extent cx="5943600" cy="4754880"/>
                  <wp:effectExtent b="0" l="0" r="0" t="0"/>
                  <wp:docPr descr="" title="" id="132" name="Picture"/>
                  <a:graphic>
                    <a:graphicData uri="http://schemas.openxmlformats.org/drawingml/2006/picture">
                      <pic:pic>
                        <pic:nvPicPr>
                          <pic:cNvPr descr="S1-supplement-sensitivity_files/figure-docx/fig-bootstrap-dist-1.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25</w:t>
              </w:r>
            </w:hyperlink>
            <w:r>
              <w:t xml:space="preserve">); any offset between a band and its observed value reflects systematic rare-sign dropout under resampling, which is why the bands are read as stability checks rather than confidence intervals.</w:t>
            </w:r>
          </w:p>
          <w:bookmarkEnd w:id="134"/>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5"/>
    <w:bookmarkStart w:id="136"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6"/>
    <w:bookmarkEnd w:id="137"/>
    <w:bookmarkStart w:id="141" w:name="sec-s7-4"/>
    <w:p>
      <w:pPr>
        <w:pStyle w:val="Heading2"/>
      </w:pPr>
      <w:r>
        <w:t xml:space="preserve">S1.7.5 Multiple-testing correction</w:t>
      </w:r>
    </w:p>
    <w:bookmarkStart w:id="139"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8"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S 26: Mantel test p-values before and after Benjamini–Hochberg correction for multiple testing across 2 phases × 2 distance measures (4 tests total). Results with adjusted p &lt; 0.05 are highlighted.</w:t>
            </w:r>
          </w:p>
          <w:bookmarkEnd w:id="138"/>
        </w:tc>
      </w:tr>
    </w:tbl>
    <w:bookmarkEnd w:id="139"/>
    <w:bookmarkStart w:id="140"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agrees with the main text: the Mantel tests detect no isolation by distance in either phase. The Mantel correlation is weakly positive in Aur-P1 and weakly negative in Aur-P2. A non-significant Mantel test does not show that geography has no effect, because at these sample sizes the tests can detect only moderate or strong correlations (</w:t>
      </w:r>
      <w:r>
        <w:t xml:space="preserve">Section S1.13</w:t>
      </w:r>
      <w:r>
        <w:t xml:space="preserve">). Outside the Mantel framework, a linear trend surface finds a weak geographic trend in Aur-P1 (adjusted R² = 0.057, p = 0.038) and no trend in Aur-P2 (p = 0.85;</w:t>
      </w:r>
      <w:r>
        <w:t xml:space="preserve"> </w:t>
      </w:r>
      <w:r>
        <w:t xml:space="preserve">Section S1.4.4</w:t>
      </w:r>
      <w:r>
        <w:t xml:space="preserve">).</w:t>
      </w:r>
    </w:p>
    <w:p>
      <w:pPr>
        <w:pStyle w:val="BodyText"/>
      </w:pPr>
      <w:r>
        <w:rPr>
          <w:bCs/>
          <w:b/>
        </w:rPr>
        <w:t xml:space="preserve">Implication for the main text.</w:t>
      </w:r>
      <w:r>
        <w:t xml:space="preserve"> </w:t>
      </w:r>
      <w:r>
        <w:t xml:space="preserve">Correction does not change the Mantel result: no isolation by distance is detected in either phase. Aur-P1 still shows a weak linear geographic trend (</w:t>
      </w:r>
      <w:r>
        <w:t xml:space="preserve">Section S1.4.4</w:t>
      </w:r>
      <w:r>
        <w:t xml:space="preserve">;</w:t>
      </w:r>
      <w:r>
        <w:t xml:space="preserve"> </w:t>
      </w:r>
      <w:r>
        <w:t xml:space="preserve">Section S1.3.3</w:t>
      </w:r>
      <w:r>
        <w:t xml:space="preserve">).</w:t>
      </w:r>
    </w:p>
    <w:bookmarkEnd w:id="140"/>
    <w:bookmarkEnd w:id="141"/>
    <w:bookmarkStart w:id="145" w:name="sec-s7-5"/>
    <w:p>
      <w:pPr>
        <w:pStyle w:val="Heading2"/>
      </w:pPr>
      <w:r>
        <w:t xml:space="preserve">S1.7.6 Size-normalised comparison</w:t>
      </w:r>
    </w:p>
    <w:bookmarkStart w:id="143"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2"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S 27: Network metrics normalised by size-matched Erdos-Renyi expectation. Ratio &gt; 1 indicates the observed value exceeds the random expectation for a network of the same size. ER mean and SD are based on 100 random graphs per phase.</w:t>
            </w:r>
          </w:p>
          <w:bookmarkEnd w:id="142"/>
        </w:tc>
      </w:tr>
    </w:tbl>
    <w:p>
      <w:pPr>
        <w:pStyle w:val="BodyText"/>
      </w:pPr>
      <w:r>
        <w:t xml:space="preserve">The ratio columns (MD ratio and Q ratio) are the key normalised comparisons. A ratio of 1.0 means the observed metric equals the random expectation.</w:t>
      </w:r>
    </w:p>
    <w:bookmarkEnd w:id="143"/>
    <w:bookmarkStart w:id="144"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4"/>
    <w:bookmarkEnd w:id="145"/>
    <w:bookmarkEnd w:id="146"/>
    <w:bookmarkStart w:id="166" w:name="sec-s8"/>
    <w:p>
      <w:pPr>
        <w:pStyle w:val="Heading1"/>
      </w:pPr>
      <w:r>
        <w:t xml:space="preserve">S1.8 Space, Time, and Regional Drivers</w:t>
      </w:r>
    </w:p>
    <w:bookmarkStart w:id="147"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7"/>
    <w:bookmarkStart w:id="151" w:name="sec-s8-1"/>
    <w:p>
      <w:pPr>
        <w:pStyle w:val="Heading2"/>
      </w:pPr>
      <w:r>
        <w:t xml:space="preserve">S1.8.2 Multiple regression on distance matrices</w:t>
      </w:r>
    </w:p>
    <w:bookmarkStart w:id="149"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S 28</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8"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S 28: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8"/>
        </w:tc>
      </w:tr>
    </w:tbl>
    <w:bookmarkEnd w:id="149"/>
    <w:bookmarkStart w:id="150"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S 28</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50"/>
    <w:bookmarkEnd w:id="151"/>
    <w:bookmarkStart w:id="156" w:name="sec-s8-2"/>
    <w:p>
      <w:pPr>
        <w:pStyle w:val="Heading2"/>
      </w:pPr>
      <w:r>
        <w:t xml:space="preserve">S1.8.3 Time-lag check</w:t>
      </w:r>
    </w:p>
    <w:bookmarkStart w:id="152"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2"/>
    <w:bookmarkStart w:id="154"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3"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S 29: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3"/>
        </w:tc>
      </w:tr>
    </w:tbl>
    <w:bookmarkEnd w:id="154"/>
    <w:bookmarkStart w:id="155"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5"/>
    <w:bookmarkEnd w:id="156"/>
    <w:bookmarkStart w:id="165" w:name="sec-s8-3"/>
    <w:p>
      <w:pPr>
        <w:pStyle w:val="Heading2"/>
      </w:pPr>
      <w:r>
        <w:t xml:space="preserve">S1.8.4 Objective regional grouping</w:t>
      </w:r>
    </w:p>
    <w:bookmarkStart w:id="163"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7"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S 30: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8"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S 31: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w:t>
            </w:r>
            <w:r>
              <w:t xml:space="preserve"> </w:t>
            </w:r>
            <w:r>
              <w:t xml:space="preserve">[17]</w:t>
            </w:r>
            <w:r>
              <w:t xml:space="preserve">.</w:t>
            </w:r>
          </w:p>
          <w:bookmarkEnd w:id="158"/>
        </w:tc>
      </w:tr>
    </w:tbl>
    <w:tbl>
      <w:tblPr>
        <w:tblStyle w:val="Table"/>
        <w:tblW w:type="pct" w:w="5000"/>
        <w:tblLook w:firstRow="0" w:lastRow="0" w:firstColumn="0" w:lastColumn="0" w:noHBand="0" w:noVBand="0" w:val="0000"/>
        <w:jc w:val="start"/>
        <w:tblLayout w:type="fixed"/>
      </w:tblPr>
      <w:tblGrid>
        <w:gridCol w:w="7920"/>
      </w:tblGrid>
      <w:tr>
        <w:tc>
          <w:tcPr/>
          <w:bookmarkStart w:id="162" w:name="fig-region-map"/>
          <w:p>
            <w:pPr>
              <w:pStyle w:val="Compact"/>
              <w:jc w:val="left"/>
            </w:pPr>
            <w:r>
              <w:drawing>
                <wp:inline>
                  <wp:extent cx="5943600" cy="4457699"/>
                  <wp:effectExtent b="0" l="0" r="0" t="0"/>
                  <wp:docPr descr="" title="" id="160" name="Picture"/>
                  <a:graphic>
                    <a:graphicData uri="http://schemas.openxmlformats.org/drawingml/2006/picture">
                      <pic:pic>
                        <pic:nvPicPr>
                          <pic:cNvPr descr="../figures/s513-region-map.png" id="161" name="Picture"/>
                          <pic:cNvPicPr>
                            <a:picLocks noChangeArrowheads="1" noChangeAspect="1"/>
                          </pic:cNvPicPr>
                        </pic:nvPicPr>
                        <pic:blipFill>
                          <a:blip r:embed="rId159"/>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2"/>
        </w:tc>
      </w:tr>
    </w:tbl>
    <w:bookmarkEnd w:id="163"/>
    <w:bookmarkStart w:id="164"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do not align with them either (ARI = -0.04 and 0).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4"/>
    <w:bookmarkEnd w:id="165"/>
    <w:bookmarkEnd w:id="166"/>
    <w:bookmarkStart w:id="206" w:name="sec-s9"/>
    <w:p>
      <w:pPr>
        <w:pStyle w:val="Heading1"/>
      </w:pPr>
      <w:r>
        <w:t xml:space="preserve">S1.9 Partition Stability and Generative Models</w:t>
      </w:r>
    </w:p>
    <w:bookmarkStart w:id="167"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7"/>
    <w:bookmarkStart w:id="176" w:name="sec-s9-2"/>
    <w:p>
      <w:pPr>
        <w:pStyle w:val="Heading2"/>
      </w:pPr>
      <w:r>
        <w:t xml:space="preserve">S1.9.2 Bootstrap Consensus Analysis</w:t>
      </w:r>
    </w:p>
    <w:bookmarkStart w:id="174"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S 32: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9"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S 33: Per-site bootstrap consistency: proportion of 1000 resamples in which each site is assigned to its modal (most frequent) block. Consistency near 1 indicates robust assignment; values near 0.5 indicate sites whose group membership flips across resamples.</w:t>
            </w:r>
          </w:p>
          <w:bookmarkEnd w:id="169"/>
        </w:tc>
      </w:tr>
    </w:tbl>
    <w:tbl>
      <w:tblPr>
        <w:tblStyle w:val="Table"/>
        <w:tblW w:type="pct" w:w="5000"/>
        <w:tblLook w:firstRow="0" w:lastRow="0" w:firstColumn="0" w:lastColumn="0" w:noHBand="0" w:noVBand="0" w:val="0000"/>
        <w:jc w:val="start"/>
        <w:tblLayout w:type="fixed"/>
      </w:tblPr>
      <w:tblGrid>
        <w:gridCol w:w="7920"/>
      </w:tblGrid>
      <w:tr>
        <w:tc>
          <w:tcPr/>
          <w:bookmarkStart w:id="173" w:name="fig-bootstrap-consensus"/>
          <w:p>
            <w:pPr>
              <w:pStyle w:val="Compact"/>
              <w:jc w:val="left"/>
            </w:pPr>
            <w:r>
              <w:drawing>
                <wp:inline>
                  <wp:extent cx="5943600" cy="6604000"/>
                  <wp:effectExtent b="0" l="0" r="0" t="0"/>
                  <wp:docPr descr="" title="" id="171" name="Picture"/>
                  <a:graphic>
                    <a:graphicData uri="http://schemas.openxmlformats.org/drawingml/2006/picture">
                      <pic:pic>
                        <pic:nvPicPr>
                          <pic:cNvPr descr="../figures/bootstrap-consensus-plot.png" id="172" name="Picture"/>
                          <pic:cNvPicPr>
                            <a:picLocks noChangeArrowheads="1" noChangeAspect="1"/>
                          </pic:cNvPicPr>
                        </pic:nvPicPr>
                        <pic:blipFill>
                          <a:blip r:embed="rId170"/>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3"/>
        </w:tc>
      </w:tr>
    </w:tbl>
    <w:bookmarkEnd w:id="174"/>
    <w:bookmarkStart w:id="175"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33</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33</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S 33</w:t>
        </w:r>
      </w:hyperlink>
      <w:r>
        <w:t xml:space="preserve">.</w:t>
      </w:r>
    </w:p>
    <w:bookmarkEnd w:id="175"/>
    <w:bookmarkEnd w:id="176"/>
    <w:bookmarkStart w:id="185" w:name="sec-s9-3"/>
    <w:p>
      <w:pPr>
        <w:pStyle w:val="Heading2"/>
      </w:pPr>
      <w:r>
        <w:t xml:space="preserve">S1.9.3 Stochastic Block Models</w:t>
      </w:r>
    </w:p>
    <w:bookmarkStart w:id="183"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7"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bl>
          <w:p>
            <w:pPr>
              <w:jc w:val="left"/>
            </w:pPr>
            <w:pPr>
              <w:jc w:val="start"/>
              <w:spacing w:before="200"/>
              <w:pStyle w:val="ImageCaption"/>
            </w:pPr>
            <w:r>
              <w:t xml:space="preserve">Table S 34: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7"/>
        </w:tc>
      </w:tr>
    </w:tbl>
    <w:tbl>
      <w:tblPr>
        <w:tblStyle w:val="Table"/>
        <w:tblW w:type="pct" w:w="5000"/>
        <w:tblLook w:firstRow="0" w:lastRow="0" w:firstColumn="0" w:lastColumn="0" w:noHBand="0" w:noVBand="0" w:val="0000"/>
        <w:jc w:val="start"/>
        <w:tblLayout w:type="fixed"/>
      </w:tblPr>
      <w:tblGrid>
        <w:gridCol w:w="7920"/>
      </w:tblGrid>
      <w:tr>
        <w:tc>
          <w:tcPr/>
          <w:bookmarkStart w:id="181" w:name="fig-sbm-icl"/>
          <w:p>
            <w:pPr>
              <w:pStyle w:val="Compact"/>
              <w:jc w:val="left"/>
            </w:pPr>
            <w:r>
              <w:drawing>
                <wp:inline>
                  <wp:extent cx="5943600" cy="2971800"/>
                  <wp:effectExtent b="0" l="0" r="0" t="0"/>
                  <wp:docPr descr="" title="" id="179" name="Picture"/>
                  <a:graphic>
                    <a:graphicData uri="http://schemas.openxmlformats.org/drawingml/2006/picture">
                      <pic:pic>
                        <pic:nvPicPr>
                          <pic:cNvPr descr="S1-supplement-sensitivity_files/figure-docx/fig-sbm-icl-1.png" id="180" name="Picture"/>
                          <pic:cNvPicPr>
                            <a:picLocks noChangeArrowheads="1" noChangeAspect="1"/>
                          </pic:cNvPicPr>
                        </pic:nvPicPr>
                        <pic:blipFill>
                          <a:blip r:embed="rId178"/>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1"/>
        </w:tc>
      </w:tr>
    </w:tbl>
    <w:tbl>
      <w:tblPr>
        <w:tblStyle w:val="Table"/>
        <w:tblW w:type="pct" w:w="5000"/>
        <w:tblLook w:firstRow="0" w:lastRow="0" w:firstColumn="0" w:lastColumn="0" w:noHBand="0" w:noVBand="0" w:val="0000"/>
        <w:jc w:val="start"/>
        <w:tblLayout w:type="fixed"/>
      </w:tblPr>
      <w:tblGrid>
        <w:gridCol w:w="7920"/>
      </w:tblGrid>
      <w:tr>
        <w:tc>
          <w:tcPr/>
          <w:bookmarkStart w:id="182"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35: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2"/>
        </w:tc>
      </w:tr>
    </w:tbl>
    <w:bookmarkEnd w:id="183"/>
    <w:bookmarkStart w:id="184"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34</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34</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S 35</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S 35</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4"/>
    <w:bookmarkEnd w:id="185"/>
    <w:bookmarkStart w:id="193" w:name="sec-s9-4"/>
    <w:p>
      <w:pPr>
        <w:pStyle w:val="Heading2"/>
      </w:pPr>
      <w:r>
        <w:t xml:space="preserve">S1.9.4 SBM Block Recovery Null Test</w:t>
      </w:r>
    </w:p>
    <w:bookmarkStart w:id="191"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6"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S 36: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6"/>
        </w:tc>
      </w:tr>
    </w:tbl>
    <w:tbl>
      <w:tblPr>
        <w:tblStyle w:val="Table"/>
        <w:tblW w:type="pct" w:w="5000"/>
        <w:tblLook w:firstRow="0" w:lastRow="0" w:firstColumn="0" w:lastColumn="0" w:noHBand="0" w:noVBand="0" w:val="0000"/>
        <w:jc w:val="start"/>
        <w:tblLayout w:type="fixed"/>
      </w:tblPr>
      <w:tblGrid>
        <w:gridCol w:w="7920"/>
      </w:tblGrid>
      <w:tr>
        <w:tc>
          <w:tcPr/>
          <w:bookmarkStart w:id="190" w:name="fig-sbm-null"/>
          <w:p>
            <w:pPr>
              <w:pStyle w:val="Compact"/>
              <w:jc w:val="left"/>
            </w:pPr>
            <w:r>
              <w:drawing>
                <wp:inline>
                  <wp:extent cx="5943600" cy="2971800"/>
                  <wp:effectExtent b="0" l="0" r="0" t="0"/>
                  <wp:docPr descr="" title="" id="188" name="Picture"/>
                  <a:graphic>
                    <a:graphicData uri="http://schemas.openxmlformats.org/drawingml/2006/picture">
                      <pic:pic>
                        <pic:nvPicPr>
                          <pic:cNvPr descr="S1-supplement-sensitivity_files/figure-docx/fig-sbm-null-1.png" id="189" name="Picture"/>
                          <pic:cNvPicPr>
                            <a:picLocks noChangeArrowheads="1" noChangeAspect="1"/>
                          </pic:cNvPicPr>
                        </pic:nvPicPr>
                        <pic:blipFill>
                          <a:blip r:embed="rId18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0"/>
        </w:tc>
      </w:tr>
    </w:tbl>
    <w:bookmarkEnd w:id="191"/>
    <w:bookmarkStart w:id="192"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S 36</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(Bernoulli best K = 1, Poisson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2"/>
    <w:bookmarkEnd w:id="193"/>
    <w:bookmarkStart w:id="201" w:name="sec-s9-5"/>
    <w:p>
      <w:pPr>
        <w:pStyle w:val="Heading2"/>
      </w:pPr>
      <w:r>
        <w:t xml:space="preserve">S1.9.5 Seriation-Order Null Test</w:t>
      </w:r>
    </w:p>
    <w:bookmarkStart w:id="199"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4"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S 37: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4"/>
        </w:tc>
      </w:tr>
    </w:tbl>
    <w:tbl>
      <w:tblPr>
        <w:tblStyle w:val="Table"/>
        <w:tblW w:type="pct" w:w="5000"/>
        <w:tblLook w:firstRow="0" w:lastRow="0" w:firstColumn="0" w:lastColumn="0" w:noHBand="0" w:noVBand="0" w:val="0000"/>
        <w:jc w:val="start"/>
        <w:tblLayout w:type="fixed"/>
      </w:tblPr>
      <w:tblGrid>
        <w:gridCol w:w="7920"/>
      </w:tblGrid>
      <w:tr>
        <w:tc>
          <w:tcPr/>
          <w:bookmarkStart w:id="198" w:name="fig-seriation-null"/>
          <w:p>
            <w:pPr>
              <w:pStyle w:val="Compact"/>
              <w:jc w:val="left"/>
            </w:pPr>
            <w:r>
              <w:drawing>
                <wp:inline>
                  <wp:extent cx="5943600" cy="2971800"/>
                  <wp:effectExtent b="0" l="0" r="0" t="0"/>
                  <wp:docPr descr="" title="" id="196" name="Picture"/>
                  <a:graphic>
                    <a:graphicData uri="http://schemas.openxmlformats.org/drawingml/2006/picture">
                      <pic:pic>
                        <pic:nvPicPr>
                          <pic:cNvPr descr="S1-supplement-sensitivity_files/figure-docx/fig-seriation-null-1.png" id="197" name="Picture"/>
                          <pic:cNvPicPr>
                            <a:picLocks noChangeArrowheads="1" noChangeAspect="1"/>
                          </pic:cNvPicPr>
                        </pic:nvPicPr>
                        <pic:blipFill>
                          <a:blip r:embed="rId195"/>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8"/>
        </w:tc>
      </w:tr>
    </w:tbl>
    <w:bookmarkEnd w:id="199"/>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200"/>
    <w:bookmarkEnd w:id="201"/>
    <w:bookmarkStart w:id="205" w:name="sec-s9-6"/>
    <w:p>
      <w:pPr>
        <w:pStyle w:val="Heading2"/>
      </w:pPr>
      <w:r>
        <w:t xml:space="preserve">S1.9.6 Cross-Validation of Group Assignments (ARI)</w:t>
      </w:r>
    </w:p>
    <w:bookmarkStart w:id="203"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2"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38: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2"/>
        </w:tc>
      </w:tr>
    </w:tbl>
    <w:bookmarkEnd w:id="203"/>
    <w:bookmarkStart w:id="204"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38</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38</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4"/>
    <w:bookmarkEnd w:id="205"/>
    <w:bookmarkEnd w:id="206"/>
    <w:bookmarkStart w:id="214" w:name="sec-s10"/>
    <w:p>
      <w:pPr>
        <w:pStyle w:val="Heading1"/>
      </w:pPr>
      <w:r>
        <w:t xml:space="preserve">S1.10 Withheld-Data Validation</w:t>
      </w:r>
    </w:p>
    <w:bookmarkStart w:id="208"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7"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S 39: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7"/>
        </w:tc>
      </w:tr>
    </w:tbl>
    <w:bookmarkEnd w:id="208"/>
    <w:bookmarkStart w:id="209"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9"/>
    <w:bookmarkStart w:id="213" w:name="sec-s10-1"/>
    <w:p>
      <w:pPr>
        <w:pStyle w:val="Heading2"/>
      </w:pPr>
      <w:r>
        <w:t xml:space="preserve">S1.10.3 Richness-preserving nulls and Simpson turnover</w:t>
      </w:r>
    </w:p>
    <w:bookmarkStart w:id="211"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0"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S 40: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upper-tail p-value: the proportion of null replicates at or above the observed value, with a +1 correction. Negative R2_sim values occur because the Simpson dissimilarities are not Euclidean, so the between-group sum of squares can be negative; they indicate no between-group separation.</w:t>
            </w:r>
          </w:p>
          <w:bookmarkEnd w:id="210"/>
        </w:tc>
      </w:tr>
    </w:tbl>
    <w:bookmarkEnd w:id="211"/>
    <w:bookmarkStart w:id="212"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(upper-tail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Under the object-count null, the Aur-P1 Simpson p is 0.003. This p is an upper-tail value (</w:t>
      </w:r>
      <w:hyperlink w:anchor="tbl-simpson-null">
        <w:r>
          <w:rPr>
            <w:rStyle w:val="Hyperlink"/>
          </w:rPr>
          <w:t xml:space="preserve">Table S 40</w:t>
        </w:r>
      </w:hyperlink>
      <w:r>
        <w:t xml:space="preserve">). Thus 99.8% of the object-count draws give a lower Simpson R² than the observed value of -0.027. Random draws of objects therefore give even less turnover separation than the observed groups. The observed value is below zero, so the observed groups do not differ in turnover (adonis p = 0.958).</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2"/>
    <w:bookmarkEnd w:id="213"/>
    <w:bookmarkEnd w:id="214"/>
    <w:bookmarkStart w:id="236" w:name="sec-s11"/>
    <w:p>
      <w:pPr>
        <w:pStyle w:val="Heading1"/>
      </w:pPr>
      <w:r>
        <w:t xml:space="preserve">S1.11 Community Description</w:t>
      </w:r>
    </w:p>
    <w:bookmarkStart w:id="215"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5"/>
    <w:bookmarkStart w:id="222" w:name="sec-s11-1"/>
    <w:p>
      <w:pPr>
        <w:pStyle w:val="Heading2"/>
      </w:pPr>
      <w:r>
        <w:t xml:space="preserve">S1.11.2 Community membership</w:t>
      </w:r>
    </w:p>
    <w:bookmarkStart w:id="221"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6"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S 41: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6"/>
        </w:tc>
      </w:tr>
    </w:tbl>
    <w:tbl>
      <w:tblPr>
        <w:tblStyle w:val="Table"/>
        <w:tblW w:type="pct" w:w="5000"/>
        <w:tblLook w:firstRow="0" w:lastRow="0" w:firstColumn="0" w:lastColumn="0" w:noHBand="0" w:noVBand="0" w:val="0000"/>
        <w:jc w:val="start"/>
        <w:tblLayout w:type="fixed"/>
      </w:tblPr>
      <w:tblGrid>
        <w:gridCol w:w="7920"/>
      </w:tblGrid>
      <w:tr>
        <w:tc>
          <w:tcPr/>
          <w:bookmarkStart w:id="220" w:name="fig-comembership-heatmap"/>
          <w:p>
            <w:pPr>
              <w:pStyle w:val="Compact"/>
              <w:jc w:val="left"/>
            </w:pPr>
            <w:r>
              <w:drawing>
                <wp:inline>
                  <wp:extent cx="5943600" cy="5943600"/>
                  <wp:effectExtent b="0" l="0" r="0" t="0"/>
                  <wp:docPr descr="" title="" id="218" name="Picture"/>
                  <a:graphic>
                    <a:graphicData uri="http://schemas.openxmlformats.org/drawingml/2006/picture">
                      <pic:pic>
                        <pic:nvPicPr>
                          <pic:cNvPr descr="../figures/comembership-heatmap.png" id="219" name="Picture"/>
                          <pic:cNvPicPr>
                            <a:picLocks noChangeArrowheads="1" noChangeAspect="1"/>
                          </pic:cNvPicPr>
                        </pic:nvPicPr>
                        <pic:blipFill>
                          <a:blip r:embed="rId217"/>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0"/>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1"/>
    <w:bookmarkEnd w:id="222"/>
    <w:bookmarkStart w:id="225" w:name="sec-s11-2"/>
    <w:p>
      <w:pPr>
        <w:pStyle w:val="Heading2"/>
      </w:pPr>
      <w:r>
        <w:t xml:space="preserve">S1.11.3 Sign-type profiles</w:t>
      </w:r>
    </w:p>
    <w:bookmarkStart w:id="224"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3" w:name="tbl-community-composition"/>
          <w:tbl>
            <w:tblPr>
              <w:tblStyle w:val="Table"/>
              <w:tblW w:type="pct" w:w="5000"/>
              <w:tblLook w:firstRow="1" w:lastRow="0" w:firstColumn="0" w:lastColumn="0" w:noHBand="0" w:noVBand="0" w:val="0020"/>
              <w:jc w:val="start"/>
              <w:tblLayout w:type="fixed"/>
            </w:tblPr>
            <w:tblGrid>
              <w:gridCol w:w="1267"/>
              <w:gridCol w:w="950"/>
              <w:gridCol w:w="950"/>
              <w:gridCol w:w="950"/>
              <w:gridCol w:w="950"/>
              <w:gridCol w:w="950"/>
              <w:gridCol w:w="950"/>
              <w:gridCol w:w="950"/>
            </w:tblGrid>
            <w:tr>
              <w:trPr>
                <w:tblHeader w:val="true"/>
              </w:trPr>
              <w:tc>
                <w:tcPr/>
                <w:p>
                  <w:pPr>
                    <w:pStyle w:val="Compact"/>
                    <w:jc w:val="left"/>
                    <w:jc w:val="left"/>
                  </w:pPr>
                  <w:r>
                    <w:t xml:space="preserve">Sign type</w:t>
                  </w:r>
                </w:p>
              </w:tc>
              <w:tc>
                <w:tcPr/>
                <w:p>
                  <w:pPr>
                    <w:pStyle w:val="Compact"/>
                    <w:jc w:val="left"/>
                    <w:jc w:val="left"/>
                  </w:pPr>
                  <w:r>
                    <w:t xml:space="preserve">Aur-P1 C1 (9)</w:t>
                  </w:r>
                </w:p>
              </w:tc>
              <w:tc>
                <w:tcPr/>
                <w:p>
                  <w:pPr>
                    <w:pStyle w:val="Compact"/>
                    <w:jc w:val="left"/>
                    <w:jc w:val="left"/>
                  </w:pPr>
                  <w:r>
                    <w:t xml:space="preserve">Aur-P1 C2 (9)</w:t>
                  </w:r>
                </w:p>
              </w:tc>
              <w:tc>
                <w:tcPr/>
                <w:p>
                  <w:pPr>
                    <w:pStyle w:val="Compact"/>
                    <w:jc w:val="left"/>
                    <w:jc w:val="left"/>
                  </w:pPr>
                  <w:r>
                    <w:t xml:space="preserve">Aur-P1 C3 (1)</w:t>
                  </w:r>
                </w:p>
              </w:tc>
              <w:tc>
                <w:tcPr/>
                <w:p>
                  <w:pPr>
                    <w:pStyle w:val="Compact"/>
                    <w:jc w:val="left"/>
                    <w:jc w:val="left"/>
                  </w:pPr>
                  <w:r>
                    <w:t xml:space="preserve">Aur-P1 C4 (1)</w:t>
                  </w:r>
                </w:p>
              </w:tc>
              <w:tc>
                <w:tcPr/>
                <w:p>
                  <w:pPr>
                    <w:pStyle w:val="Compact"/>
                    <w:jc w:val="left"/>
                    <w:jc w:val="left"/>
                  </w:pPr>
                  <w:r>
                    <w:t xml:space="preserve">Aur-P2 C1 (3)</w:t>
                  </w:r>
                </w:p>
              </w:tc>
              <w:tc>
                <w:tcPr/>
                <w:p>
                  <w:pPr>
                    <w:pStyle w:val="Compact"/>
                    <w:jc w:val="left"/>
                    <w:jc w:val="left"/>
                  </w:pPr>
                  <w:r>
                    <w:t xml:space="preserve">Aur-P2 C2 (4)</w:t>
                  </w:r>
                </w:p>
              </w:tc>
              <w:tc>
                <w:tcPr/>
                <w:p>
                  <w:pPr>
                    <w:pStyle w:val="Compact"/>
                    <w:jc w:val="left"/>
                    <w:jc w:val="left"/>
                  </w:pPr>
                  <w:r>
                    <w:t xml:space="preserve">Aur-P2 C3 (2)</w:t>
                  </w:r>
                </w:p>
              </w:tc>
            </w:tr>
            <w:tr>
              <w:tc>
                <w:tcPr/>
                <w:p>
                  <w:pPr>
                    <w:pStyle w:val="Compact"/>
                    <w:jc w:val="left"/>
                    <w:jc w:val="left"/>
                  </w:pPr>
                  <w:r>
                    <w:t xml:space="preserve">anthropomorph</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circumline</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circumnotch</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circumspiral</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concenline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cross</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cupule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dashline</w:t>
                  </w:r>
                </w:p>
              </w:tc>
              <w:tc>
                <w:tcPr/>
                <w:p>
                  <w:pPr>
                    <w:pStyle w:val="Compact"/>
                    <w:jc w:val="left"/>
                    <w:jc w:val="left"/>
                  </w:pPr>
                  <w:r>
                    <w:t xml:space="preserve">0.11</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dot</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grid</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hashtag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hatching</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line</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0.00</w:t>
                  </w:r>
                </w:p>
              </w:tc>
            </w:tr>
            <w:tr>
              <w:tc>
                <w:tcPr/>
                <w:p>
                  <w:pPr>
                    <w:pStyle w:val="Compact"/>
                    <w:jc w:val="left"/>
                    <w:jc w:val="left"/>
                  </w:pPr>
                  <w:r>
                    <w:t xml:space="preserve">maccaroni</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notch</w:t>
                  </w:r>
                </w:p>
              </w:tc>
              <w:tc>
                <w:tcPr/>
                <w:p>
                  <w:pPr>
                    <w:pStyle w:val="Compact"/>
                    <w:jc w:val="left"/>
                    <w:jc w:val="left"/>
                  </w:pPr>
                  <w:r>
                    <w:t xml:space="preserve">0.89</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1.00</w:t>
                  </w:r>
                </w:p>
              </w:tc>
            </w:tr>
            <w:tr>
              <w:tc>
                <w:tcPr/>
                <w:p>
                  <w:pPr>
                    <w:pStyle w:val="Compact"/>
                    <w:jc w:val="left"/>
                    <w:jc w:val="left"/>
                  </w:pPr>
                  <w:r>
                    <w:t xml:space="preserve">obline</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0.25</w:t>
                  </w:r>
                </w:p>
              </w:tc>
              <w:tc>
                <w:tcPr/>
                <w:p>
                  <w:pPr>
                    <w:pStyle w:val="Compact"/>
                    <w:jc w:val="left"/>
                    <w:jc w:val="left"/>
                  </w:pPr>
                  <w:r>
                    <w:t xml:space="preserve">0.00</w:t>
                  </w:r>
                </w:p>
              </w:tc>
            </w:tr>
            <w:tr>
              <w:tc>
                <w:tcPr/>
                <w:p>
                  <w:pPr>
                    <w:pStyle w:val="Compact"/>
                    <w:jc w:val="left"/>
                    <w:jc w:val="left"/>
                  </w:pPr>
                  <w:r>
                    <w:t xml:space="preserve">obnotch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paw</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pinleft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pinright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radnotch</w:t>
                  </w:r>
                </w:p>
              </w:tc>
              <w:tc>
                <w:tcPr/>
                <w:p>
                  <w:pPr>
                    <w:pStyle w:val="Compact"/>
                    <w:jc w:val="left"/>
                    <w:jc w:val="left"/>
                  </w:pPr>
                  <w:r>
                    <w:t xml:space="preserve">0.11</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rhombus</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star</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vulva</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zigzagrow</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zoomorph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S 42: Sign-type composition of Louvain communities at threshold 0.2. Each column is one community, labelled by phase, community ID and, in brackets, the number of sites. Each value is the proportion of sites in the community that have at least one object with the sign type. A value of 0 means that no site in the community has the sign type. Only sign types present at ≥10% of the sites of at least one community are shown.</w:t>
            </w:r>
          </w:p>
          <w:bookmarkEnd w:id="223"/>
        </w:tc>
      </w:tr>
    </w:tbl>
    <w:bookmarkEnd w:id="224"/>
    <w:bookmarkEnd w:id="225"/>
    <w:bookmarkStart w:id="231" w:name="sec-s11-3"/>
    <w:p>
      <w:pPr>
        <w:pStyle w:val="Heading2"/>
      </w:pPr>
      <w:r>
        <w:t xml:space="preserve">S1.11.4 Geographic distribution</w:t>
      </w:r>
    </w:p>
    <w:bookmarkStart w:id="230"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9" w:name="fig-community-maps"/>
          <w:p>
            <w:pPr>
              <w:pStyle w:val="Compact"/>
              <w:jc w:val="left"/>
            </w:pPr>
            <w:r>
              <w:drawing>
                <wp:inline>
                  <wp:extent cx="5943600" cy="4622800"/>
                  <wp:effectExtent b="0" l="0" r="0" t="0"/>
                  <wp:docPr descr="" title="" id="227" name="Picture"/>
                  <a:graphic>
                    <a:graphicData uri="http://schemas.openxmlformats.org/drawingml/2006/picture">
                      <pic:pic>
                        <pic:nvPicPr>
                          <pic:cNvPr descr="../figures/community-maps.png" id="228" name="Picture"/>
                          <pic:cNvPicPr>
                            <a:picLocks noChangeArrowheads="1" noChangeAspect="1"/>
                          </pic:cNvPicPr>
                        </pic:nvPicPr>
                        <pic:blipFill>
                          <a:blip r:embed="rId226"/>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13: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9"/>
        </w:tc>
      </w:tr>
    </w:tbl>
    <w:bookmarkEnd w:id="230"/>
    <w:bookmarkEnd w:id="231"/>
    <w:bookmarkStart w:id="234" w:name="sec-s11-4"/>
    <w:p>
      <w:pPr>
        <w:pStyle w:val="Heading2"/>
      </w:pPr>
      <w:r>
        <w:t xml:space="preserve">S1.11.5 Cross-algorithm comparison</w:t>
      </w:r>
    </w:p>
    <w:bookmarkStart w:id="233"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2"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bl>
          <w:p>
            <w:pPr>
              <w:jc w:val="left"/>
            </w:pPr>
            <w:pPr>
              <w:jc w:val="start"/>
              <w:spacing w:before="200"/>
              <w:pStyle w:val="ImageCaption"/>
            </w:pPr>
            <w:r>
              <w:t xml:space="preserve">Table S 43: Cross-algorithm agreement in community assignment at threshold 0.2. For each site, the value is the proportion of the other sites in the same phase whose relation to it (same community or different community) is the same under the named algorithm as under Louvain. Any is the mean of the three values. The measure does not use community IDs. A value of 1.00 means that the algorithm groups the site exactly as Louvain does.</w:t>
            </w:r>
          </w:p>
          <w:bookmarkEnd w:id="232"/>
        </w:tc>
      </w:tr>
    </w:tbl>
    <w:bookmarkEnd w:id="233"/>
    <w:bookmarkEnd w:id="234"/>
    <w:bookmarkStart w:id="235"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41</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41</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42</w:t>
        </w:r>
      </w:hyperlink>
      <w:r>
        <w:t xml:space="preserve"> </w:t>
      </w:r>
      <w:r>
        <w:t xml:space="preserve">shows nested sign-type profiles. In Aur-P1, every sign type of the restricted community (community 1) also occurs in the broad community (community 2). The broad community also has 21 sign types that no restricted site has. Examples are cross (0.67 of its sites), dot (0.67) and obline (0.67). Notch, the most common sign type, has the same frequency in both communities (0.89). In Aur-P2, 12 sign types occur only in community 1, which holds the 3 broad-range sites. The communities therefore differ mainly in which of the less common sign types they contain, and several of these types occur in only one multi-site community. This nested pattern is consistent with graded repertoires rather than discrete provinces.</w:t>
      </w:r>
    </w:p>
    <w:p>
      <w:pPr>
        <w:pStyle w:val="BodyText"/>
      </w:pPr>
      <w:r>
        <w:rPr>
          <w:bCs/>
          <w:b/>
        </w:rPr>
        <w:t xml:space="preserve">Question: do communities map onto coherent geographic regions?</w:t>
      </w:r>
      <w:r>
        <w:t xml:space="preserve"> </w:t>
      </w:r>
      <w:r>
        <w:t xml:space="preserve">Partly. In Aur-P1 (</w:t>
      </w:r>
      <w:hyperlink w:anchor="fig-community-maps">
        <w:r>
          <w:rPr>
            <w:rStyle w:val="Hyperlink"/>
          </w:rPr>
          <w:t xml:space="preserve">Figure S 13</w:t>
        </w:r>
      </w:hyperlink>
      <w:r>
        <w:t xml:space="preserve">), community 1, which holds the restricted sites, covers the widest area: its two most distant sites are 1630 km apart. The two most distant sites of community 2, which holds 9 of the 11 broad sites, are 811 km apart. Communities 3 and 4 are single sites, Les Cottés and Trou al’Wesse.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43</w:t>
        </w:r>
      </w:hyperlink>
      <w:r>
        <w:t xml:space="preserve"> </w:t>
      </w:r>
      <w:r>
        <w:t xml:space="preserve">compares, for each site, which other sites share its community under each algorithm and under Louvain. Walktrap groups every site exactly as Louvain does (lowest agreement 1.00). Infomap does the same in Aur-P1 (lowest agreement 1.00). Leiden merges the restricted and broad Aur-P1 communities, so its agreement with Louvain falls to 0.53 at 18 of the 20 Aur-P1 sites. In Aur-P2, Infomap and Leiden put all 9 sites in one community, so their agreement with Louvain is only 0.12 to 0.38.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mainly in which of the less common sign types they contain, and several of these types occur in only one multi-site community (</w:t>
      </w:r>
      <w:r>
        <w:t xml:space="preserve">Section S1.11.3</w:t>
      </w:r>
      <w:r>
        <w:t xml:space="preserve">). This nested pattern is consistent with graded repertoires rather than discrete provinces. The communities map only partly onto geography (</w:t>
      </w:r>
      <w:r>
        <w:t xml:space="preserve">Section S1.11.4</w:t>
      </w:r>
      <w:r>
        <w:t xml:space="preserve">).</w:t>
      </w:r>
    </w:p>
    <w:bookmarkEnd w:id="235"/>
    <w:bookmarkEnd w:id="236"/>
    <w:bookmarkStart w:id="287" w:name="sec-s12"/>
    <w:p>
      <w:pPr>
        <w:pStyle w:val="Heading1"/>
      </w:pPr>
      <w:r>
        <w:t xml:space="preserve">S1.12 Object Types and Sampling Intensity</w:t>
      </w:r>
    </w:p>
    <w:bookmarkStart w:id="237"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7"/>
    <w:bookmarkStart w:id="246" w:name="sec-s12-1"/>
    <w:p>
      <w:pPr>
        <w:pStyle w:val="Heading2"/>
      </w:pPr>
      <w:r>
        <w:t xml:space="preserve">S1.12.2 Object-count distribution and feasible common counts</w:t>
      </w:r>
    </w:p>
    <w:bookmarkStart w:id="244"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8"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S 44: Per-site object counts by phase and manual restricted(1)/broad(2) group.</w:t>
            </w:r>
          </w:p>
          <w:bookmarkEnd w:id="23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9"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S 45: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44</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9"/>
        </w:tc>
      </w:tr>
    </w:tbl>
    <w:tbl>
      <w:tblPr>
        <w:tblStyle w:val="Table"/>
        <w:tblW w:type="pct" w:w="5000"/>
        <w:tblLook w:firstRow="0" w:lastRow="0" w:firstColumn="0" w:lastColumn="0" w:noHBand="0" w:noVBand="0" w:val="0000"/>
        <w:jc w:val="start"/>
        <w:tblLayout w:type="fixed"/>
      </w:tblPr>
      <w:tblGrid>
        <w:gridCol w:w="7920"/>
      </w:tblGrid>
      <w:tr>
        <w:tc>
          <w:tcPr/>
          <w:bookmarkStart w:id="243" w:name="fig-objhist"/>
          <w:p>
            <w:pPr>
              <w:pStyle w:val="Compact"/>
              <w:jc w:val="left"/>
            </w:pPr>
            <w:r>
              <w:drawing>
                <wp:inline>
                  <wp:extent cx="5943600" cy="2971800"/>
                  <wp:effectExtent b="0" l="0" r="0" t="0"/>
                  <wp:docPr descr="" title="" id="241" name="Picture"/>
                  <a:graphic>
                    <a:graphicData uri="http://schemas.openxmlformats.org/drawingml/2006/picture">
                      <pic:pic>
                        <pic:nvPicPr>
                          <pic:cNvPr descr="S1-supplement-sensitivity_files/figure-docx/fig-objhist-1.png" id="242" name="Picture"/>
                          <pic:cNvPicPr>
                            <a:picLocks noChangeArrowheads="1" noChangeAspect="1"/>
                          </pic:cNvPicPr>
                        </pic:nvPicPr>
                        <pic:blipFill>
                          <a:blip r:embed="rId240"/>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3"/>
        </w:tc>
      </w:tr>
    </w:tbl>
    <w:bookmarkEnd w:id="244"/>
    <w:bookmarkStart w:id="245"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5"/>
    <w:bookmarkEnd w:id="246"/>
    <w:bookmarkStart w:id="255" w:name="sec-s12-2"/>
    <w:p>
      <w:pPr>
        <w:pStyle w:val="Heading2"/>
      </w:pPr>
      <w:r>
        <w:t xml:space="preserve">S1.12.3 Object-level downsampling sensitivity</w:t>
      </w:r>
    </w:p>
    <w:bookmarkStart w:id="253"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7"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S 46: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8"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S 47: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8"/>
        </w:tc>
      </w:tr>
    </w:tbl>
    <w:tbl>
      <w:tblPr>
        <w:tblStyle w:val="Table"/>
        <w:tblW w:type="pct" w:w="5000"/>
        <w:tblLook w:firstRow="0" w:lastRow="0" w:firstColumn="0" w:lastColumn="0" w:noHBand="0" w:noVBand="0" w:val="0000"/>
        <w:jc w:val="start"/>
        <w:tblLayout w:type="fixed"/>
      </w:tblPr>
      <w:tblGrid>
        <w:gridCol w:w="7920"/>
      </w:tblGrid>
      <w:tr>
        <w:tc>
          <w:tcPr/>
          <w:bookmarkStart w:id="252" w:name="fig-retention"/>
          <w:p>
            <w:pPr>
              <w:pStyle w:val="Compact"/>
              <w:jc w:val="left"/>
            </w:pPr>
            <w:r>
              <w:drawing>
                <wp:inline>
                  <wp:extent cx="5943600" cy="5943600"/>
                  <wp:effectExtent b="0" l="0" r="0" t="0"/>
                  <wp:docPr descr="" title="" id="250" name="Picture"/>
                  <a:graphic>
                    <a:graphicData uri="http://schemas.openxmlformats.org/drawingml/2006/picture">
                      <pic:pic>
                        <pic:nvPicPr>
                          <pic:cNvPr descr="S1-supplement-sensitivity_files/figure-docx/fig-retention-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2"/>
        </w:tc>
      </w:tr>
    </w:tbl>
    <w:bookmarkEnd w:id="253"/>
    <w:bookmarkStart w:id="254"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In Aur-P1 the mean ARI between the downsampled partition and the manual groups is low at k = 3 (0.19). At k = 5 and k = 10 the ARI cannot be computed: no restricted Aur-P1 site has more than 4 objects, so only broad-range sites qualify (</w:t>
      </w:r>
      <w:hyperlink w:anchor="tbl-retention">
        <w:r>
          <w:rPr>
            <w:rStyle w:val="Hyperlink"/>
          </w:rPr>
          <w:t xml:space="preserve">Table S 46</w:t>
        </w:r>
      </w:hyperlink>
      <w:r>
        <w:t xml:space="preserve">). Mean modularity in Aur-P1 falls to 0.15, 0.11 and 0.09 at k = 3, 5 and 10. This is lower than at baseline (</w:t>
      </w:r>
      <w:hyperlink w:anchor="tbl-sens-stats">
        <w:r>
          <w:rPr>
            <w:rStyle w:val="Hyperlink"/>
          </w:rPr>
          <w:t xml:space="preserve">Table S 2</w:t>
        </w:r>
      </w:hyperlink>
      <w:r>
        <w:t xml:space="preserve">) but not near zero. In Aur-P2, mean modularity falls to near zero (0.009, 0 and 0). This reflects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4"/>
    <w:bookmarkEnd w:id="255"/>
    <w:bookmarkStart w:id="263" w:name="sec-s12-3"/>
    <w:p>
      <w:pPr>
        <w:pStyle w:val="Heading2"/>
      </w:pPr>
      <w:r>
        <w:t xml:space="preserve">S1.12.4 Coverage-based rarefaction</w:t>
      </w:r>
    </w:p>
    <w:bookmarkStart w:id="261"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6"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S 48: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6"/>
        </w:tc>
      </w:tr>
    </w:tbl>
    <w:tbl>
      <w:tblPr>
        <w:tblStyle w:val="Table"/>
        <w:tblW w:type="pct" w:w="5000"/>
        <w:tblLook w:firstRow="0" w:lastRow="0" w:firstColumn="0" w:lastColumn="0" w:noHBand="0" w:noVBand="0" w:val="0000"/>
        <w:jc w:val="start"/>
        <w:tblLayout w:type="fixed"/>
      </w:tblPr>
      <w:tblGrid>
        <w:gridCol w:w="7920"/>
      </w:tblGrid>
      <w:tr>
        <w:tc>
          <w:tcPr/>
          <w:bookmarkStart w:id="260" w:name="fig-rarefaction"/>
          <w:p>
            <w:pPr>
              <w:pStyle w:val="Compact"/>
              <w:jc w:val="left"/>
            </w:pPr>
            <w:r>
              <w:drawing>
                <wp:inline>
                  <wp:extent cx="5943600" cy="3396342"/>
                  <wp:effectExtent b="0" l="0" r="0" t="0"/>
                  <wp:docPr descr="" title="" id="258" name="Picture"/>
                  <a:graphic>
                    <a:graphicData uri="http://schemas.openxmlformats.org/drawingml/2006/picture">
                      <pic:pic>
                        <pic:nvPicPr>
                          <pic:cNvPr descr="S1-supplement-sensitivity_files/figure-docx/fig-rarefaction-1.png" id="259" name="Picture"/>
                          <pic:cNvPicPr>
                            <a:picLocks noChangeArrowheads="1" noChangeAspect="1"/>
                          </pic:cNvPicPr>
                        </pic:nvPicPr>
                        <pic:blipFill>
                          <a:blip r:embed="rId257"/>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Figure S 16: Sign-type richness estimated at target coverage = 0.9 with 95% confidence intervals, by manual group, for sites that reach that coverage. Restricted sites (orange) that attain high coverage remain low-richness; broad sites (blue) remain high-richness.</w:t>
            </w:r>
          </w:p>
          <w:bookmarkEnd w:id="260"/>
        </w:tc>
      </w:tr>
    </w:tbl>
    <w:bookmarkEnd w:id="261"/>
    <w:bookmarkStart w:id="262"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2"/>
    <w:bookmarkEnd w:id="263"/>
    <w:bookmarkStart w:id="267" w:name="sec-s12-4"/>
    <w:p>
      <w:pPr>
        <w:pStyle w:val="Heading2"/>
      </w:pPr>
      <w:r>
        <w:t xml:space="preserve">S1.12.5 Negative-binomial regression with object-count covariate</w:t>
      </w:r>
    </w:p>
    <w:bookmarkStart w:id="265"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4"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S 49: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4"/>
        </w:tc>
      </w:tr>
    </w:tbl>
    <w:bookmarkEnd w:id="265"/>
    <w:bookmarkStart w:id="266"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6"/>
    <w:bookmarkEnd w:id="267"/>
    <w:bookmarkStart w:id="275" w:name="sec-s12-5"/>
    <w:p>
      <w:pPr>
        <w:pStyle w:val="Heading2"/>
      </w:pPr>
      <w:r>
        <w:t xml:space="preserve">S1.12.6 Equal-effort pool comparison (iNEXT)</w:t>
      </w:r>
    </w:p>
    <w:bookmarkStart w:id="273"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8"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S 50: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8"/>
        </w:tc>
      </w:tr>
    </w:tbl>
    <w:tbl>
      <w:tblPr>
        <w:tblStyle w:val="Table"/>
        <w:tblW w:type="pct" w:w="5000"/>
        <w:tblLook w:firstRow="0" w:lastRow="0" w:firstColumn="0" w:lastColumn="0" w:noHBand="0" w:noVBand="0" w:val="0000"/>
        <w:jc w:val="start"/>
        <w:tblLayout w:type="fixed"/>
      </w:tblPr>
      <w:tblGrid>
        <w:gridCol w:w="7920"/>
      </w:tblGrid>
      <w:tr>
        <w:tc>
          <w:tcPr/>
          <w:bookmarkStart w:id="272" w:name="fig-pool-inext"/>
          <w:p>
            <w:pPr>
              <w:pStyle w:val="Compact"/>
              <w:jc w:val="left"/>
            </w:pPr>
            <w:r>
              <w:drawing>
                <wp:inline>
                  <wp:extent cx="5943600" cy="3566160"/>
                  <wp:effectExtent b="0" l="0" r="0" t="0"/>
                  <wp:docPr descr="" title="" id="270" name="Picture"/>
                  <a:graphic>
                    <a:graphicData uri="http://schemas.openxmlformats.org/drawingml/2006/picture">
                      <pic:pic>
                        <pic:nvPicPr>
                          <pic:cNvPr descr="S1-supplement-sensitivity_files/figure-docx/fig-pool-inext-1.png" id="271" name="Picture"/>
                          <pic:cNvPicPr>
                            <a:picLocks noChangeArrowheads="1" noChangeAspect="1"/>
                          </pic:cNvPicPr>
                        </pic:nvPicPr>
                        <pic:blipFill>
                          <a:blip r:embed="rId269"/>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2"/>
        </w:tc>
      </w:tr>
    </w:tbl>
    <w:bookmarkEnd w:id="273"/>
    <w:bookmarkStart w:id="274"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4"/>
    <w:bookmarkEnd w:id="275"/>
    <w:bookmarkStart w:id="285" w:name="sec-s12-6"/>
    <w:p>
      <w:pPr>
        <w:pStyle w:val="Heading2"/>
      </w:pPr>
      <w:r>
        <w:t xml:space="preserve">S1.12.7 Figurine Exclusion</w:t>
      </w:r>
    </w:p>
    <w:bookmarkStart w:id="283"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6"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S 51: Distribution of figurine objects across phases and sites. Figurine types include figurine zoomorph, figurine anthropomorph, figurine undet., and possible figurine.</w:t>
            </w:r>
          </w:p>
          <w:bookmarkEnd w:id="276"/>
        </w:tc>
      </w:tr>
    </w:tbl>
    <w:p>
      <w:pPr>
        <w:pStyle w:val="BodyText"/>
      </w:pPr>
      <w:hyperlink w:anchor="tbl-figurine-count">
        <w:r>
          <w:rPr>
            <w:rStyle w:val="Hyperlink"/>
          </w:rPr>
          <w:t xml:space="preserve">Table S 51</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7"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S 52: Network statistics before and after excluding all figurine objects (figurine zoomorph, figurine anthropomorph, figurine undet., and possible figurine). Threshold = 0.2, Jaccard similarity.</w:t>
            </w:r>
          </w:p>
          <w:bookmarkEnd w:id="27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8"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S 53: Number of sites per phase before and after figurine exclusion. Sites are lost when all objects at that site are figurines.</w:t>
            </w:r>
          </w:p>
          <w:bookmarkEnd w:id="278"/>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9"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S 54: Network statistics before and after excluding figurines from Vogelherd only. All other figurines (Hohle Fels, Geissenklösterle, Hohlenstein-Stadel, La Ferrassie) are retained. Threshold = 0.2, Jaccard similarity.</w:t>
            </w:r>
          </w:p>
          <w:bookmarkEnd w:id="27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0"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S 55: Vogelherd object counts before and after removing figurines. Non-figurine objects at Vogelherd (tools, plaquettes, etc.) are retained.</w:t>
            </w:r>
          </w:p>
          <w:bookmarkEnd w:id="280"/>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mean degree is essentially unchanged. The figurines at Hohle Fels (4, 4), Geissenklösterle (3), Hohlenstein-Stadel (1) and La Ferrassie (1) do not change the number of edges or the mean degree. They do change the finer structure of the Aur-P1 network. When they are removed together with the Vogelherd figurines, transitivity falls from 0.706 to 0.683 and modularity falls from 0.333 to 0.318 (</w:t>
      </w:r>
      <w:hyperlink w:anchor="tbl-objtype-joint">
        <w:r>
          <w:rPr>
            <w:rStyle w:val="Hyperlink"/>
          </w:rPr>
          <w:t xml:space="preserve">Table S 56</w:t>
        </w:r>
      </w:hyperlink>
      <w:r>
        <w:t xml:space="preserve">). The 4 Hohle Fels figurines assigned to Aur-P2 leave that phase’s network unchanged. Within Aur-P1, the connectivity of Vogelherd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1"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S 56: Side-by-side comparison of network statistics across all conditions: baseline (all objects), exclude all figurines, and exclude Vogelherd figurines only. The rightmost columns show the percentage change in mean degree from baseline.</w:t>
            </w:r>
          </w:p>
          <w:bookmarkEnd w:id="281"/>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56</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2"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S 57: Mean degree by figurine-exclusion condition, with percentage change from baseline. Reproduced directly from the joint comparison in</w:t>
            </w:r>
            <w:r>
              <w:t xml:space="preserve"> </w:t>
            </w:r>
            <w:hyperlink w:anchor="tbl-objtype-joint">
              <w:r>
                <w:rPr>
                  <w:rStyle w:val="Hyperlink"/>
                </w:rPr>
                <w:t xml:space="preserve">Table S 56</w:t>
              </w:r>
            </w:hyperlink>
            <w:r>
              <w:t xml:space="preserve">.</w:t>
            </w:r>
          </w:p>
          <w:bookmarkEnd w:id="282"/>
        </w:tc>
      </w:tr>
    </w:tbl>
    <w:bookmarkEnd w:id="283"/>
    <w:bookmarkStart w:id="284"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4"/>
    <w:bookmarkEnd w:id="285"/>
    <w:bookmarkStart w:id="286"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mean network modularity falls: in Aur-P1 to 0.09 at k = 10, against 0.336 at baseline, and in Aur-P2 to near zero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large broad-range assemblages keep their group under downsampling. The test cannot show the same for restricted assemblages, because no restricted Aur-P1 site has more than 4 objects. Gargas, the largest restricted Aur-P2 site (11 objects), keeps its group in only 3% of the replicates at k = 10. For the many small assemblages, the division is partly an artefact of how many objects were recovered. The raw 26 vs 15 pool contraction does not survive equal-effort standardisation.</w:t>
      </w:r>
    </w:p>
    <w:bookmarkEnd w:id="286"/>
    <w:bookmarkEnd w:id="287"/>
    <w:bookmarkStart w:id="296" w:name="sec-s-power"/>
    <w:p>
      <w:pPr>
        <w:pStyle w:val="Heading1"/>
      </w:pPr>
      <w:r>
        <w:t xml:space="preserve">S1.13 Design Sensitivity: Minimum Detectable Effects</w:t>
      </w:r>
    </w:p>
    <w:bookmarkStart w:id="288" w:name="sec-s-power-rationale"/>
    <w:p>
      <w:pPr>
        <w:pStyle w:val="Heading2"/>
      </w:pPr>
      <w:r>
        <w:t xml:space="preserve">S1.13.1 Rationale</w:t>
      </w:r>
    </w:p>
    <w:p>
      <w:pPr>
        <w:pStyle w:val="FirstParagraph"/>
      </w:pPr>
      <w:r>
        <w:t xml:space="preserve">The main text reports three headline tests: the per-phase Mantel isolation-by-distance tests, the restricted/broad PerMANOVA tests and the Aur-P1 versus Aur-P2 network phase contrast. All of them are non-significant except the Aur-P1 PerMANOVA (p = 0.001;</w:t>
      </w:r>
      <w:r>
        <w:t xml:space="preserve"> </w:t>
      </w:r>
      <w:hyperlink w:anchor="tbl-permanova-comparison">
        <w:r>
          <w:rPr>
            <w:rStyle w:val="Hyperlink"/>
          </w:rPr>
          <w:t xml:space="preserve">Table S 22</w:t>
        </w:r>
      </w:hyperlink>
      <w:r>
        <w:t xml:space="preserve">).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8"/>
    <w:bookmarkStart w:id="294"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9"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S 58: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9"/>
        </w:tc>
      </w:tr>
    </w:tbl>
    <w:tbl>
      <w:tblPr>
        <w:tblStyle w:val="Table"/>
        <w:tblW w:type="pct" w:w="5000"/>
        <w:tblLook w:firstRow="0" w:lastRow="0" w:firstColumn="0" w:lastColumn="0" w:noHBand="0" w:noVBand="0" w:val="0000"/>
        <w:jc w:val="start"/>
        <w:tblLayout w:type="fixed"/>
      </w:tblPr>
      <w:tblGrid>
        <w:gridCol w:w="7920"/>
      </w:tblGrid>
      <w:tr>
        <w:tc>
          <w:tcPr/>
          <w:bookmarkStart w:id="293" w:name="fig-power-curves"/>
          <w:p>
            <w:pPr>
              <w:pStyle w:val="Compact"/>
              <w:jc w:val="left"/>
            </w:pPr>
            <w:r>
              <w:drawing>
                <wp:inline>
                  <wp:extent cx="5943600" cy="4622800"/>
                  <wp:effectExtent b="0" l="0" r="0" t="0"/>
                  <wp:docPr descr="" title="" id="291" name="Picture"/>
                  <a:graphic>
                    <a:graphicData uri="http://schemas.openxmlformats.org/drawingml/2006/picture">
                      <pic:pic>
                        <pic:nvPicPr>
                          <pic:cNvPr descr="S1-supplement-sensitivity_files/figure-docx/fig-power-curves-1.png" id="292" name="Picture"/>
                          <pic:cNvPicPr>
                            <a:picLocks noChangeArrowheads="1" noChangeAspect="1"/>
                          </pic:cNvPicPr>
                        </pic:nvPicPr>
                        <pic:blipFill>
                          <a:blip r:embed="rId290"/>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58</w:t>
              </w:r>
            </w:hyperlink>
            <w:r>
              <w:t xml:space="preserve">. Curves are simulation estimates (Mantel and PerMANOVA: B = 300 with 99 permutations; network: B = 200 with 99 permutations).</w:t>
            </w:r>
          </w:p>
          <w:bookmarkEnd w:id="293"/>
        </w:tc>
      </w:tr>
    </w:tbl>
    <w:bookmarkEnd w:id="294"/>
    <w:bookmarkStart w:id="295"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58</w:t>
        </w:r>
      </w:hyperlink>
      <w:r>
        <w:t xml:space="preserve"> </w:t>
      </w:r>
      <w:r>
        <w:t xml:space="preserve">can be excluded.</w:t>
      </w:r>
    </w:p>
    <w:bookmarkEnd w:id="295"/>
    <w:bookmarkEnd w:id="296"/>
    <w:bookmarkStart w:id="362"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In</w:t>
      </w:r>
      <w:r>
        <w:t xml:space="preserve"> </w:t>
      </w:r>
      <w:r>
        <w:t xml:space="preserve">Section S1.4</w:t>
      </w:r>
      <w:r>
        <w:t xml:space="preserve">, the Mantel tests find no isolation-by-distance correlation in either phase, under geodesic or Euclidean distance (</w:t>
      </w:r>
      <w:hyperlink w:anchor="tbl-geodesic-mantel">
        <w:r>
          <w:rPr>
            <w:rStyle w:val="Hyperlink"/>
          </w:rPr>
          <w:t xml:space="preserve">Table S 6</w:t>
        </w:r>
      </w:hyperlink>
      <w:r>
        <w:t xml:space="preserve">). The distance-based redundancy analysis finds a weak linear geographic trend in Aur-P1 (adjusted R² = 0.057, p = 0.038) and no trend in Aur-P2 (p = 0.850;</w:t>
      </w:r>
      <w:r>
        <w:t xml:space="preserve"> </w:t>
      </w:r>
      <w:hyperlink w:anchor="tbl-dbrda">
        <w:r>
          <w:rPr>
            <w:rStyle w:val="Hyperlink"/>
          </w:rPr>
          <w:t xml:space="preserve">Table S 7</w:t>
        </w:r>
      </w:hyperlink>
      <w:r>
        <w:t xml:space="preserve">). The mean-degree ordering also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broad-range assemblages keep their group under downsampling, while 4 restricted sites keep it in fewer than half of the replicates at k = 3 (</w:t>
      </w:r>
      <w:hyperlink w:anchor="tbl-retention">
        <w:r>
          <w:rPr>
            <w:rStyle w:val="Hyperlink"/>
          </w:rPr>
          <w:t xml:space="preserve">Table S 46</w:t>
        </w:r>
      </w:hyperlink>
      <w:r>
        <w:t xml:space="preserve">). Sites with one or two objects cannot be downsampled and never reach comparable coverage. The raw Aur-P1 versus Aur-P2 pool difference is not distinguishable from sampling variation at equal effort. Figurine exclusion is the exception and leaves the ordering intact.</w:t>
      </w:r>
    </w:p>
    <w:bookmarkStart w:id="361" w:name="references-cited"/>
    <w:p>
      <w:pPr>
        <w:pStyle w:val="Heading2"/>
      </w:pPr>
      <w:r>
        <w:t xml:space="preserve">References cited</w:t>
      </w:r>
    </w:p>
    <w:bookmarkStart w:id="360" w:name="refs"/>
    <w:bookmarkStart w:id="298"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7">
        <w:r>
          <w:rPr>
            <w:rStyle w:val="Hyperlink"/>
          </w:rPr>
          <w:t xml:space="preserve">10.18637/jss.v022.i07</w:t>
        </w:r>
      </w:hyperlink>
    </w:p>
    <w:bookmarkEnd w:id="298"/>
    <w:bookmarkStart w:id="300"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9">
        <w:r>
          <w:rPr>
            <w:rStyle w:val="Hyperlink"/>
          </w:rPr>
          <w:t xml:space="preserve">10.1890/0012-9615(1999)069[0001:DBRATM]2.0.CO;2</w:t>
        </w:r>
      </w:hyperlink>
    </w:p>
    <w:bookmarkEnd w:id="300"/>
    <w:bookmarkStart w:id="302"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1">
        <w:r>
          <w:rPr>
            <w:rStyle w:val="Hyperlink"/>
          </w:rPr>
          <w:t xml:space="preserve">10.1016/j.quascirev.2021.106995</w:t>
        </w:r>
      </w:hyperlink>
    </w:p>
    <w:bookmarkEnd w:id="302"/>
    <w:bookmarkStart w:id="304"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3">
        <w:r>
          <w:rPr>
            <w:rStyle w:val="Hyperlink"/>
          </w:rPr>
          <w:t xml:space="preserve">10.1007/s41982-017-0004-4</w:t>
        </w:r>
      </w:hyperlink>
    </w:p>
    <w:bookmarkEnd w:id="304"/>
    <w:bookmarkStart w:id="306"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5">
        <w:r>
          <w:rPr>
            <w:rStyle w:val="Hyperlink"/>
          </w:rPr>
          <w:t xml:space="preserve">10.30861/9781841718309</w:t>
        </w:r>
      </w:hyperlink>
    </w:p>
    <w:bookmarkEnd w:id="306"/>
    <w:bookmarkStart w:id="308"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7">
        <w:r>
          <w:rPr>
            <w:rStyle w:val="Hyperlink"/>
          </w:rPr>
          <w:t xml:space="preserve">10.1016/j.jhevol.2011.06.005</w:t>
        </w:r>
      </w:hyperlink>
    </w:p>
    <w:bookmarkEnd w:id="308"/>
    <w:bookmarkStart w:id="310"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9">
        <w:r>
          <w:rPr>
            <w:rStyle w:val="Hyperlink"/>
          </w:rPr>
          <w:t xml:space="preserve">10.1002/jqs.3236</w:t>
        </w:r>
      </w:hyperlink>
    </w:p>
    <w:bookmarkEnd w:id="310"/>
    <w:bookmarkStart w:id="311"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1"/>
    <w:bookmarkStart w:id="313"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2">
        <w:r>
          <w:rPr>
            <w:rStyle w:val="Hyperlink"/>
          </w:rPr>
          <w:t xml:space="preserve">10.1007/978-3-211-49294-9_4</w:t>
        </w:r>
      </w:hyperlink>
    </w:p>
    <w:bookmarkEnd w:id="313"/>
    <w:bookmarkStart w:id="315"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4">
        <w:r>
          <w:rPr>
            <w:rStyle w:val="Hyperlink"/>
          </w:rPr>
          <w:t xml:space="preserve">10.1038/nature03585</w:t>
        </w:r>
      </w:hyperlink>
    </w:p>
    <w:bookmarkEnd w:id="315"/>
    <w:bookmarkStart w:id="317"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6">
        <w:r>
          <w:rPr>
            <w:rStyle w:val="Hyperlink"/>
          </w:rPr>
          <w:t xml:space="preserve">10.1007/s41982-025-00246-x</w:t>
        </w:r>
      </w:hyperlink>
    </w:p>
    <w:bookmarkEnd w:id="317"/>
    <w:bookmarkStart w:id="319"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8">
        <w:r>
          <w:rPr>
            <w:rStyle w:val="Hyperlink"/>
          </w:rPr>
          <w:t xml:space="preserve">10.1088/1742-5468/2008/10/P10008</w:t>
        </w:r>
      </w:hyperlink>
    </w:p>
    <w:bookmarkEnd w:id="319"/>
    <w:bookmarkStart w:id="321"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20">
        <w:r>
          <w:rPr>
            <w:rStyle w:val="Hyperlink"/>
          </w:rPr>
          <w:t xml:space="preserve">10.1103/PhysRevE.69.026113</w:t>
        </w:r>
      </w:hyperlink>
    </w:p>
    <w:bookmarkEnd w:id="321"/>
    <w:bookmarkStart w:id="323"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2">
        <w:r>
          <w:rPr>
            <w:rStyle w:val="Hyperlink"/>
          </w:rPr>
          <w:t xml:space="preserve">10.1016/j.socnet.2020.11.005</w:t>
        </w:r>
      </w:hyperlink>
    </w:p>
    <w:bookmarkEnd w:id="323"/>
    <w:bookmarkStart w:id="325"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4">
        <w:r>
          <w:rPr>
            <w:rStyle w:val="Hyperlink"/>
          </w:rPr>
          <w:t xml:space="preserve">10.1198/108571102320</w:t>
        </w:r>
      </w:hyperlink>
    </w:p>
    <w:bookmarkEnd w:id="325"/>
    <w:bookmarkStart w:id="327"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6">
        <w:r>
          <w:rPr>
            <w:rStyle w:val="Hyperlink"/>
          </w:rPr>
          <w:t xml:space="preserve">10.1007/s11258-006-9126-3</w:t>
        </w:r>
      </w:hyperlink>
    </w:p>
    <w:bookmarkEnd w:id="327"/>
    <w:bookmarkStart w:id="329"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8">
        <w:r>
          <w:rPr>
            <w:rStyle w:val="Hyperlink"/>
          </w:rPr>
          <w:t xml:space="preserve">10.1890/12-2010.1</w:t>
        </w:r>
      </w:hyperlink>
    </w:p>
    <w:bookmarkEnd w:id="329"/>
    <w:bookmarkStart w:id="331"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30">
        <w:r>
          <w:rPr>
            <w:rStyle w:val="Hyperlink"/>
          </w:rPr>
          <w:t xml:space="preserve">10.1023/A:1023949509487</w:t>
        </w:r>
      </w:hyperlink>
    </w:p>
    <w:bookmarkEnd w:id="331"/>
    <w:bookmarkStart w:id="333"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2">
        <w:r>
          <w:rPr>
            <w:rStyle w:val="Hyperlink"/>
          </w:rPr>
          <w:t xml:space="preserve">10.48550/arXiv.1602.07587</w:t>
        </w:r>
      </w:hyperlink>
    </w:p>
    <w:bookmarkEnd w:id="333"/>
    <w:bookmarkStart w:id="335" w:name="ref-Hubert_Arabie_1985"/>
    <w:p>
      <w:pPr>
        <w:pStyle w:val="Bibliography"/>
      </w:pPr>
      <w:r>
        <w:t xml:space="preserve">20.</w:t>
      </w:r>
      <w:r>
        <w:t xml:space="preserve"> </w:t>
      </w:r>
      <w:r>
        <w:t xml:space="preserve">	</w:t>
      </w:r>
      <w:r>
        <w:t xml:space="preserve">Hubert L, Arabie P. Comparing partitions. J Classif. 1985;2: 193–218. doi:</w:t>
      </w:r>
      <w:hyperlink r:id="rId334">
        <w:r>
          <w:rPr>
            <w:rStyle w:val="Hyperlink"/>
          </w:rPr>
          <w:t xml:space="preserve">10.1007/BF01908075</w:t>
        </w:r>
      </w:hyperlink>
    </w:p>
    <w:bookmarkEnd w:id="335"/>
    <w:bookmarkStart w:id="337"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6">
        <w:r>
          <w:rPr>
            <w:rStyle w:val="Hyperlink"/>
          </w:rPr>
          <w:t xml:space="preserve">10.1038/ncomms5114</w:t>
        </w:r>
      </w:hyperlink>
    </w:p>
    <w:bookmarkEnd w:id="337"/>
    <w:bookmarkStart w:id="339"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8">
        <w:r>
          <w:rPr>
            <w:rStyle w:val="Hyperlink"/>
          </w:rPr>
          <w:t xml:space="preserve">10.1080/01621459.2022.2116331</w:t>
        </w:r>
      </w:hyperlink>
    </w:p>
    <w:bookmarkEnd w:id="339"/>
    <w:bookmarkStart w:id="341"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40">
        <w:r>
          <w:rPr>
            <w:rStyle w:val="Hyperlink"/>
          </w:rPr>
          <w:t xml:space="preserve">10.1093/biostatistics/kxac047</w:t>
        </w:r>
      </w:hyperlink>
    </w:p>
    <w:bookmarkEnd w:id="341"/>
    <w:bookmarkStart w:id="343"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2">
        <w:r>
          <w:rPr>
            <w:rStyle w:val="Hyperlink"/>
          </w:rPr>
          <w:t xml:space="preserve">10.1890/11-1952.1</w:t>
        </w:r>
      </w:hyperlink>
    </w:p>
    <w:bookmarkEnd w:id="343"/>
    <w:bookmarkStart w:id="345"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4">
        <w:r>
          <w:rPr>
            <w:rStyle w:val="Hyperlink"/>
          </w:rPr>
          <w:t xml:space="preserve">10.1046/j.1461-0248.2001.00230.x</w:t>
        </w:r>
      </w:hyperlink>
    </w:p>
    <w:bookmarkEnd w:id="345"/>
    <w:bookmarkStart w:id="347"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6">
        <w:r>
          <w:rPr>
            <w:rStyle w:val="Hyperlink"/>
          </w:rPr>
          <w:t xml:space="preserve">10.1111/2041-210X.12613</w:t>
        </w:r>
      </w:hyperlink>
    </w:p>
    <w:bookmarkEnd w:id="347"/>
    <w:bookmarkStart w:id="349"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8">
        <w:r>
          <w:rPr>
            <w:rStyle w:val="Hyperlink"/>
          </w:rPr>
          <w:t xml:space="preserve">10.1007/978-0-387-21706-2</w:t>
        </w:r>
      </w:hyperlink>
    </w:p>
    <w:bookmarkEnd w:id="349"/>
    <w:bookmarkStart w:id="351"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50">
        <w:r>
          <w:rPr>
            <w:rStyle w:val="Hyperlink"/>
          </w:rPr>
          <w:t xml:space="preserve">10.1073/pnas.2520385123</w:t>
        </w:r>
      </w:hyperlink>
    </w:p>
    <w:bookmarkEnd w:id="351"/>
    <w:bookmarkStart w:id="353"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2">
        <w:r>
          <w:rPr>
            <w:rStyle w:val="Hyperlink"/>
          </w:rPr>
          <w:t xml:space="preserve">10.1198/000313001300339897</w:t>
        </w:r>
      </w:hyperlink>
    </w:p>
    <w:bookmarkEnd w:id="353"/>
    <w:bookmarkStart w:id="355" w:name="ref-Cohen_1992"/>
    <w:p>
      <w:pPr>
        <w:pStyle w:val="Bibliography"/>
      </w:pPr>
      <w:r>
        <w:t xml:space="preserve">30.</w:t>
      </w:r>
      <w:r>
        <w:t xml:space="preserve"> </w:t>
      </w:r>
      <w:r>
        <w:t xml:space="preserve">	</w:t>
      </w:r>
      <w:r>
        <w:t xml:space="preserve">Cohen J. A power primer. Psychol Bull. 1992;112: 155–159. doi:</w:t>
      </w:r>
      <w:hyperlink r:id="rId354">
        <w:r>
          <w:rPr>
            <w:rStyle w:val="Hyperlink"/>
          </w:rPr>
          <w:t xml:space="preserve">10.1037/0033-2909.112.1.155</w:t>
        </w:r>
      </w:hyperlink>
    </w:p>
    <w:bookmarkEnd w:id="355"/>
    <w:bookmarkStart w:id="357"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6">
        <w:r>
          <w:rPr>
            <w:rStyle w:val="Hyperlink"/>
          </w:rPr>
          <w:t xml:space="preserve">10.1111/2041-210X.12425</w:t>
        </w:r>
      </w:hyperlink>
    </w:p>
    <w:bookmarkEnd w:id="357"/>
    <w:bookmarkStart w:id="359"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8">
        <w:r>
          <w:rPr>
            <w:rStyle w:val="Hyperlink"/>
          </w:rPr>
          <w:t xml:space="preserve">10.1111/2041-210X.12018</w:t>
        </w:r>
      </w:hyperlink>
    </w:p>
    <w:bookmarkEnd w:id="359"/>
    <w:bookmarkEnd w:id="360"/>
    <w:bookmarkEnd w:id="361"/>
    <w:bookmarkEnd w:id="36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0" Target="media/rId170.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50" Target="media/rId50.png" /><Relationship Type="http://schemas.openxmlformats.org/officeDocument/2006/relationships/image" Id="rId159" Target="media/rId15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1" Target="media/rId131.png" /><Relationship Type="http://schemas.openxmlformats.org/officeDocument/2006/relationships/image" Id="rId65" Target="media/rId65.png" /><Relationship Type="http://schemas.openxmlformats.org/officeDocument/2006/relationships/image" Id="rId240" Target="media/rId240.png" /><Relationship Type="http://schemas.openxmlformats.org/officeDocument/2006/relationships/image" Id="rId269" Target="media/rId269.png" /><Relationship Type="http://schemas.openxmlformats.org/officeDocument/2006/relationships/image" Id="rId290" Target="media/rId290.png" /><Relationship Type="http://schemas.openxmlformats.org/officeDocument/2006/relationships/image" Id="rId257" Target="media/rId257.png" /><Relationship Type="http://schemas.openxmlformats.org/officeDocument/2006/relationships/image" Id="rId249" Target="media/rId249.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195" Target="media/rId195.png" /><Relationship Type="http://schemas.openxmlformats.org/officeDocument/2006/relationships/image" Id="rId36" Target="media/rId36.png" /><Relationship Type="http://schemas.openxmlformats.org/officeDocument/2006/relationships/hyperlink" Id="rId309" Target="https://doi.org/10.1002/jqs.3236" TargetMode="External" /><Relationship Type="http://schemas.openxmlformats.org/officeDocument/2006/relationships/hyperlink" Id="rId348" Target="https://doi.org/10.1007/978-0-387-21706-2" TargetMode="External" /><Relationship Type="http://schemas.openxmlformats.org/officeDocument/2006/relationships/hyperlink" Id="rId312" Target="https://doi.org/10.1007/978-3-211-49294-9_4" TargetMode="External" /><Relationship Type="http://schemas.openxmlformats.org/officeDocument/2006/relationships/hyperlink" Id="rId334" Target="https://doi.org/10.1007/BF01908075" TargetMode="External" /><Relationship Type="http://schemas.openxmlformats.org/officeDocument/2006/relationships/hyperlink" Id="rId326" Target="https://doi.org/10.1007/s11258-006-9126-3" TargetMode="External" /><Relationship Type="http://schemas.openxmlformats.org/officeDocument/2006/relationships/hyperlink" Id="rId303" Target="https://doi.org/10.1007/s41982-017-0004-4" TargetMode="External" /><Relationship Type="http://schemas.openxmlformats.org/officeDocument/2006/relationships/hyperlink" Id="rId316" Target="https://doi.org/10.1007/s41982-025-00246-x" TargetMode="External" /><Relationship Type="http://schemas.openxmlformats.org/officeDocument/2006/relationships/hyperlink" Id="rId307" Target="https://doi.org/10.1016/j.jhevol.2011.06.005" TargetMode="External" /><Relationship Type="http://schemas.openxmlformats.org/officeDocument/2006/relationships/hyperlink" Id="rId301" Target="https://doi.org/10.1016/j.quascirev.2021.106995" TargetMode="External" /><Relationship Type="http://schemas.openxmlformats.org/officeDocument/2006/relationships/hyperlink" Id="rId322" Target="https://doi.org/10.1016/j.socnet.2020.11.005" TargetMode="External" /><Relationship Type="http://schemas.openxmlformats.org/officeDocument/2006/relationships/hyperlink" Id="rId330" Target="https://doi.org/10.1023/A:1023949509487" TargetMode="External" /><Relationship Type="http://schemas.openxmlformats.org/officeDocument/2006/relationships/hyperlink" Id="rId354" Target="https://doi.org/10.1037/0033-2909.112.1.155" TargetMode="External" /><Relationship Type="http://schemas.openxmlformats.org/officeDocument/2006/relationships/hyperlink" Id="rId314" Target="https://doi.org/10.1038/nature03585" TargetMode="External" /><Relationship Type="http://schemas.openxmlformats.org/officeDocument/2006/relationships/hyperlink" Id="rId336" Target="https://doi.org/10.1038/ncomms5114" TargetMode="External" /><Relationship Type="http://schemas.openxmlformats.org/officeDocument/2006/relationships/hyperlink" Id="rId344" Target="https://doi.org/10.1046/j.1461-0248.2001.00230.x" TargetMode="External" /><Relationship Type="http://schemas.openxmlformats.org/officeDocument/2006/relationships/hyperlink" Id="rId350" Target="https://doi.org/10.1073/pnas.2520385123" TargetMode="External" /><Relationship Type="http://schemas.openxmlformats.org/officeDocument/2006/relationships/hyperlink" Id="rId338" Target="https://doi.org/10.1080/01621459.2022.2116331" TargetMode="External" /><Relationship Type="http://schemas.openxmlformats.org/officeDocument/2006/relationships/hyperlink" Id="rId318" Target="https://doi.org/10.1088/1742-5468/2008/10/P10008" TargetMode="External" /><Relationship Type="http://schemas.openxmlformats.org/officeDocument/2006/relationships/hyperlink" Id="rId340" Target="https://doi.org/10.1093/biostatistics/kxac047" TargetMode="External" /><Relationship Type="http://schemas.openxmlformats.org/officeDocument/2006/relationships/hyperlink" Id="rId320" Target="https://doi.org/10.1103/PhysRevE.69.026113" TargetMode="External" /><Relationship Type="http://schemas.openxmlformats.org/officeDocument/2006/relationships/hyperlink" Id="rId358" Target="https://doi.org/10.1111/2041-210X.12018" TargetMode="External" /><Relationship Type="http://schemas.openxmlformats.org/officeDocument/2006/relationships/hyperlink" Id="rId356" Target="https://doi.org/10.1111/2041-210X.12425" TargetMode="External" /><Relationship Type="http://schemas.openxmlformats.org/officeDocument/2006/relationships/hyperlink" Id="rId346" Target="https://doi.org/10.1111/2041-210X.12613" TargetMode="External" /><Relationship Type="http://schemas.openxmlformats.org/officeDocument/2006/relationships/hyperlink" Id="rId352" Target="https://doi.org/10.1198/000313001300339897" TargetMode="External" /><Relationship Type="http://schemas.openxmlformats.org/officeDocument/2006/relationships/hyperlink" Id="rId324" Target="https://doi.org/10.1198/108571102320" TargetMode="External" /><Relationship Type="http://schemas.openxmlformats.org/officeDocument/2006/relationships/hyperlink" Id="rId297" Target="https://doi.org/10.18637/jss.v022.i07" TargetMode="External" /><Relationship Type="http://schemas.openxmlformats.org/officeDocument/2006/relationships/hyperlink" Id="rId299" Target="https://doi.org/10.1890/0012-9615(1999)069[0001:DBRATM]2.0.CO;2" TargetMode="External" /><Relationship Type="http://schemas.openxmlformats.org/officeDocument/2006/relationships/hyperlink" Id="rId342" Target="https://doi.org/10.1890/11-1952.1" TargetMode="External" /><Relationship Type="http://schemas.openxmlformats.org/officeDocument/2006/relationships/hyperlink" Id="rId328" Target="https://doi.org/10.1890/12-2010.1" TargetMode="External" /><Relationship Type="http://schemas.openxmlformats.org/officeDocument/2006/relationships/hyperlink" Id="rId305" Target="https://doi.org/10.30861/9781841718309" TargetMode="External" /><Relationship Type="http://schemas.openxmlformats.org/officeDocument/2006/relationships/hyperlink" Id="rId332"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9" Target="https://doi.org/10.1002/jqs.3236" TargetMode="External" /><Relationship Type="http://schemas.openxmlformats.org/officeDocument/2006/relationships/hyperlink" Id="rId348" Target="https://doi.org/10.1007/978-0-387-21706-2" TargetMode="External" /><Relationship Type="http://schemas.openxmlformats.org/officeDocument/2006/relationships/hyperlink" Id="rId312" Target="https://doi.org/10.1007/978-3-211-49294-9_4" TargetMode="External" /><Relationship Type="http://schemas.openxmlformats.org/officeDocument/2006/relationships/hyperlink" Id="rId334" Target="https://doi.org/10.1007/BF01908075" TargetMode="External" /><Relationship Type="http://schemas.openxmlformats.org/officeDocument/2006/relationships/hyperlink" Id="rId326" Target="https://doi.org/10.1007/s11258-006-9126-3" TargetMode="External" /><Relationship Type="http://schemas.openxmlformats.org/officeDocument/2006/relationships/hyperlink" Id="rId303" Target="https://doi.org/10.1007/s41982-017-0004-4" TargetMode="External" /><Relationship Type="http://schemas.openxmlformats.org/officeDocument/2006/relationships/hyperlink" Id="rId316" Target="https://doi.org/10.1007/s41982-025-00246-x" TargetMode="External" /><Relationship Type="http://schemas.openxmlformats.org/officeDocument/2006/relationships/hyperlink" Id="rId307" Target="https://doi.org/10.1016/j.jhevol.2011.06.005" TargetMode="External" /><Relationship Type="http://schemas.openxmlformats.org/officeDocument/2006/relationships/hyperlink" Id="rId301" Target="https://doi.org/10.1016/j.quascirev.2021.106995" TargetMode="External" /><Relationship Type="http://schemas.openxmlformats.org/officeDocument/2006/relationships/hyperlink" Id="rId322" Target="https://doi.org/10.1016/j.socnet.2020.11.005" TargetMode="External" /><Relationship Type="http://schemas.openxmlformats.org/officeDocument/2006/relationships/hyperlink" Id="rId330" Target="https://doi.org/10.1023/A:1023949509487" TargetMode="External" /><Relationship Type="http://schemas.openxmlformats.org/officeDocument/2006/relationships/hyperlink" Id="rId354" Target="https://doi.org/10.1037/0033-2909.112.1.155" TargetMode="External" /><Relationship Type="http://schemas.openxmlformats.org/officeDocument/2006/relationships/hyperlink" Id="rId314" Target="https://doi.org/10.1038/nature03585" TargetMode="External" /><Relationship Type="http://schemas.openxmlformats.org/officeDocument/2006/relationships/hyperlink" Id="rId336" Target="https://doi.org/10.1038/ncomms5114" TargetMode="External" /><Relationship Type="http://schemas.openxmlformats.org/officeDocument/2006/relationships/hyperlink" Id="rId344" Target="https://doi.org/10.1046/j.1461-0248.2001.00230.x" TargetMode="External" /><Relationship Type="http://schemas.openxmlformats.org/officeDocument/2006/relationships/hyperlink" Id="rId350" Target="https://doi.org/10.1073/pnas.2520385123" TargetMode="External" /><Relationship Type="http://schemas.openxmlformats.org/officeDocument/2006/relationships/hyperlink" Id="rId338" Target="https://doi.org/10.1080/01621459.2022.2116331" TargetMode="External" /><Relationship Type="http://schemas.openxmlformats.org/officeDocument/2006/relationships/hyperlink" Id="rId318" Target="https://doi.org/10.1088/1742-5468/2008/10/P10008" TargetMode="External" /><Relationship Type="http://schemas.openxmlformats.org/officeDocument/2006/relationships/hyperlink" Id="rId340" Target="https://doi.org/10.1093/biostatistics/kxac047" TargetMode="External" /><Relationship Type="http://schemas.openxmlformats.org/officeDocument/2006/relationships/hyperlink" Id="rId320" Target="https://doi.org/10.1103/PhysRevE.69.026113" TargetMode="External" /><Relationship Type="http://schemas.openxmlformats.org/officeDocument/2006/relationships/hyperlink" Id="rId358" Target="https://doi.org/10.1111/2041-210X.12018" TargetMode="External" /><Relationship Type="http://schemas.openxmlformats.org/officeDocument/2006/relationships/hyperlink" Id="rId356" Target="https://doi.org/10.1111/2041-210X.12425" TargetMode="External" /><Relationship Type="http://schemas.openxmlformats.org/officeDocument/2006/relationships/hyperlink" Id="rId346" Target="https://doi.org/10.1111/2041-210X.12613" TargetMode="External" /><Relationship Type="http://schemas.openxmlformats.org/officeDocument/2006/relationships/hyperlink" Id="rId352" Target="https://doi.org/10.1198/000313001300339897" TargetMode="External" /><Relationship Type="http://schemas.openxmlformats.org/officeDocument/2006/relationships/hyperlink" Id="rId324" Target="https://doi.org/10.1198/108571102320" TargetMode="External" /><Relationship Type="http://schemas.openxmlformats.org/officeDocument/2006/relationships/hyperlink" Id="rId297" Target="https://doi.org/10.18637/jss.v022.i07" TargetMode="External" /><Relationship Type="http://schemas.openxmlformats.org/officeDocument/2006/relationships/hyperlink" Id="rId299" Target="https://doi.org/10.1890/0012-9615(1999)069[0001:DBRATM]2.0.CO;2" TargetMode="External" /><Relationship Type="http://schemas.openxmlformats.org/officeDocument/2006/relationships/hyperlink" Id="rId342" Target="https://doi.org/10.1890/11-1952.1" TargetMode="External" /><Relationship Type="http://schemas.openxmlformats.org/officeDocument/2006/relationships/hyperlink" Id="rId328" Target="https://doi.org/10.1890/12-2010.1" TargetMode="External" /><Relationship Type="http://schemas.openxmlformats.org/officeDocument/2006/relationships/hyperlink" Id="rId305" Target="https://doi.org/10.30861/9781841718309" TargetMode="External" /><Relationship Type="http://schemas.openxmlformats.org/officeDocument/2006/relationships/hyperlink" Id="rId332"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2026-10-16T23:55:38Z</dcterms:created>
  <dcterms:modified xsi:type="dcterms:W3CDTF">2026-10-16T23:55:38Z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