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S 2</w:t>
        </w:r>
      </w:hyperlink>
      <w:r>
        <w:t xml:space="preserve"> </w:t>
      </w:r>
      <w:r>
        <w:t xml:space="preserve">and the full assignment basis in</w:t>
      </w:r>
      <w:r>
        <w:t xml:space="preserve"> </w:t>
      </w:r>
      <w:hyperlink w:anchor="tbl-site-objects-all">
        <w:r>
          <w:rPr>
            <w:rStyle w:val="Hyperlink"/>
          </w:rPr>
          <w:t xml:space="preserve">Table S 1</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Spy, because its assemblage is too mixed to assign to a single phase reliably</w:t>
      </w:r>
      <w:r>
        <w:t xml:space="preserve"> </w:t>
      </w:r>
      <w:r>
        <w:t xml:space="preserve">[8,9]</w:t>
      </w:r>
      <w:r>
        <w:t xml:space="preserve">, and El Castillo, because the Aurignacian attribution of its unit 18 is debated</w:t>
      </w:r>
      <w:r>
        <w:t xml:space="preserve"> </w:t>
      </w:r>
      <w:r>
        <w:t xml:space="preserve">[10]</w:t>
      </w:r>
      <w:r>
        <w:t xml:space="preserve"> </w:t>
      </w:r>
      <w:r>
        <w:t xml:space="preserve">(see</w:t>
      </w:r>
      <w:r>
        <w:t xml:space="preserve"> </w:t>
      </w:r>
      <w:hyperlink w:anchor="tbl-excluded">
        <w:r>
          <w:rPr>
            <w:rStyle w:val="Hyperlink"/>
          </w:rPr>
          <w:t xml:space="preserve">Table S 5</w:t>
        </w:r>
      </w:hyperlink>
      <w:r>
        <w:t xml:space="preserve">). The robustness of these assignments to reverting to purely date-based criteria is tested in S1 §</w:t>
      </w:r>
      <w:r>
        <w:t xml:space="preserve">S1.5.5</w:t>
      </w:r>
      <w:r>
        <w:t xml:space="preserve">, where stratigraphic mixing concerns at Vogelherd are also addressed</w:t>
      </w:r>
      <w:r>
        <w:t xml:space="preserve"> </w:t>
      </w:r>
      <w:r>
        <w:t xml:space="preserve">[11]</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pipeline in this supplement’s source document loads the raw SignBase dataset, parses radiocarbon dates, calibrates them, and assigns objects to phases. Sites excluded from the main analysis are filtered out, and sites reassigned based on technological attribution are overridden.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S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[14]</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[15]</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[5,11]</w:t>
                  </w:r>
                </w:p>
              </w:tc>
            </w:tr>
          </w:tbl>
          <w:p>
            <w:pPr>
              <w:jc w:val="left"/>
            </w:pPr>
            <w:pPr>
              <w:jc w:val="start"/>
              <w:spacing w:before="200"/>
              <w:pStyle w:val="ImageCaption"/>
            </w:pPr>
            <w:r>
              <w:t xml:space="preserve">Table S 1: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and Conard</w:t>
      </w:r>
      <w:r>
        <w:t xml:space="preserve"> </w:t>
      </w:r>
      <w:r>
        <w:t xml:space="preserve">[5]</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and Conard</w:t>
      </w:r>
      <w:r>
        <w:t xml:space="preserve"> </w:t>
      </w:r>
      <w:r>
        <w:t xml:space="preserve">[6]</w:t>
      </w:r>
      <w:r>
        <w:t xml:space="preserve">: AH IIIa and IV share similar tool/core assemblages typical of the Swabian Aurignacian, forming a coherent upper unit that contrasts with AH V.</w:t>
      </w:r>
    </w:p>
    <w:p>
      <w:pPr>
        <w:numPr>
          <w:ilvl w:val="0"/>
          <w:numId w:val="1001"/>
        </w:numPr>
        <w:pStyle w:val="Compact"/>
      </w:pPr>
      <w:r>
        <w:t xml:space="preserve">Dinnis et al.</w:t>
      </w:r>
      <w:r>
        <w:t xml:space="preserve"> </w:t>
      </w:r>
      <w:r>
        <w:t xml:space="preserve">[7]</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¹⁴C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cal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 assemblage from Spy.</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Bataille and Conard</w:t>
      </w:r>
      <w:r>
        <w:t xml:space="preserve"> </w:t>
      </w:r>
      <w:r>
        <w:t xml:space="preserve">[5]</w:t>
      </w:r>
      <w:r>
        <w:t xml:space="preserve">: The Geissenklösterle Aurignacian (AH III and II) is assigned to the Early Aurignacian on technological grounds.</w:t>
      </w:r>
    </w:p>
    <w:p>
      <w:pPr>
        <w:numPr>
          <w:ilvl w:val="0"/>
          <w:numId w:val="1002"/>
        </w:numPr>
        <w:pStyle w:val="Compact"/>
      </w:pPr>
      <w:r>
        <w:t xml:space="preserve">Higham et al.</w:t>
      </w:r>
      <w:r>
        <w:t xml:space="preserve"> </w:t>
      </w:r>
      <w:r>
        <w:t xml:space="preserve">[16]</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cal BP) and AH III (~42.7 ka cal BP) fall within the Aur-P1 range, so the technology- and date-based assignments agree for this site. A reassessment places AH III later (~33–35 ka BP)</w:t>
      </w:r>
      <w:r>
        <w:t xml:space="preserve"> </w:t>
      </w:r>
      <w:r>
        <w:t xml:space="preserve">[17]</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The reassessment documents mixing inside the Aurignacian sequence, with 38 refit connections between AH IV and AH V, and some mixing with later material</w:t>
      </w:r>
      <w:r>
        <w:t xml:space="preserve"> </w:t>
      </w:r>
      <w:r>
        <w:t xml:space="preserve">[11]</w:t>
      </w:r>
      <w:r>
        <w:t xml:space="preserve">. Only 27 of the 173 analysed Vogelherd objects carry an AH IV or AH V layer code in SignBase, so a layer-level phase boundary cannot be applied to them. The 15 radiocarbon dates in the reassessment span 42–34.5 ka cal BP</w:t>
      </w:r>
      <w:r>
        <w:t xml:space="preserve"> </w:t>
      </w:r>
      <w:r>
        <w:t xml:space="preserve">[11]</w:t>
      </w:r>
      <w:r>
        <w:t xml:space="preserve">. This span crosses the Aur-P1/Aur-P2 boundary, so the Aur-P1 assignment of the whole site is a simplification. The mixing concern is instead addressed directly in S1 §</w:t>
      </w:r>
      <w:r>
        <w:t xml:space="preserve">S1.5.5</w:t>
      </w:r>
      <w:r>
        <w:t xml:space="preserve"> </w:t>
      </w:r>
      <w:r>
        <w:t xml:space="preserve">(Analysis B, exclusion of Vogelherd).</w:t>
      </w:r>
    </w:p>
    <w:p>
      <w:pPr>
        <w:numPr>
          <w:ilvl w:val="0"/>
          <w:numId w:val="1003"/>
        </w:numPr>
        <w:pStyle w:val="Compact"/>
      </w:pPr>
      <w:r>
        <w:t xml:space="preserve">Schürch and Conard</w:t>
      </w:r>
      <w:r>
        <w:t xml:space="preserve"> </w:t>
      </w:r>
      <w:r>
        <w:t xml:space="preserve">[11]</w:t>
      </w:r>
      <w:r>
        <w:t xml:space="preserve">: Reassesses cultural stratigraphy; AH IV–V are Aurignacian but with severe mixing (38 refit connections between layers); 15 radiocarbon dates span 42–34.5 ka cal BP; Gravettian also present.</w:t>
      </w:r>
    </w:p>
    <w:p>
      <w:pPr>
        <w:numPr>
          <w:ilvl w:val="0"/>
          <w:numId w:val="1003"/>
        </w:numPr>
        <w:pStyle w:val="Compact"/>
      </w:pPr>
      <w:r>
        <w:t xml:space="preserve">Schürch et al.</w:t>
      </w:r>
      <w:r>
        <w:t xml:space="preserve"> </w:t>
      </w:r>
      <w:r>
        <w:t xml:space="preserve">[18]</w:t>
      </w:r>
      <w:r>
        <w:t xml:space="preserve">: Blade/bladelet production analysis; mixing documented but majority of artifacts are Aurignacian.</w:t>
      </w:r>
    </w:p>
    <w:bookmarkEnd w:id="26"/>
    <w:bookmarkStart w:id="27" w:name="fumane-protoaurignacian"/>
    <w:p>
      <w:pPr>
        <w:pStyle w:val="Heading3"/>
      </w:pPr>
      <w:r>
        <w:t xml:space="preserve">Fumane → Protoaurignacian</w:t>
      </w:r>
    </w:p>
    <w:p>
      <w:pPr>
        <w:numPr>
          <w:ilvl w:val="0"/>
          <w:numId w:val="1004"/>
        </w:numPr>
        <w:pStyle w:val="Compact"/>
      </w:pPr>
      <w:r>
        <w:t xml:space="preserve">Falcucci et al.</w:t>
      </w:r>
      <w:r>
        <w:t xml:space="preserve"> </w:t>
      </w:r>
      <w:r>
        <w:t xml:space="preserve">[12]</w:t>
      </w:r>
      <w:r>
        <w:t xml:space="preserve">: Protoaurignacian techno-typology persists throughout sequence at Fumane (A2-A1 through D3).</w:t>
      </w:r>
    </w:p>
    <w:p>
      <w:pPr>
        <w:numPr>
          <w:ilvl w:val="0"/>
          <w:numId w:val="1004"/>
        </w:numPr>
        <w:pStyle w:val="Compact"/>
      </w:pPr>
      <w:r>
        <w:t xml:space="preserve">Falcucci et al.</w:t>
      </w:r>
      <w:r>
        <w:t xml:space="preserve"> </w:t>
      </w:r>
      <w:r>
        <w:t xml:space="preserve">[13]</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Talamo et al.</w:t>
      </w:r>
      <w:r>
        <w:t xml:space="preserve"> </w:t>
      </w:r>
      <w:r>
        <w:t xml:space="preserve">[3]</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Chiotti</w:t>
      </w:r>
      <w:r>
        <w:t xml:space="preserve"> </w:t>
      </w:r>
      <w:r>
        <w:t xml:space="preserve">[1]</w:t>
      </w:r>
      <w:r>
        <w:t xml:space="preserve">: Technological analysis assigns Abri Pataud to the Early Aurignacian.</w:t>
      </w:r>
    </w:p>
    <w:p>
      <w:pPr>
        <w:numPr>
          <w:ilvl w:val="0"/>
          <w:numId w:val="1006"/>
        </w:numPr>
        <w:pStyle w:val="Compact"/>
      </w:pPr>
      <w:r>
        <w:t xml:space="preserve">Higham et al.</w:t>
      </w:r>
      <w:r>
        <w:t xml:space="preserve"> </w:t>
      </w:r>
      <w:r>
        <w:t xml:space="preserve">[2]</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Oliva</w:t>
      </w:r>
      <w:r>
        <w:t xml:space="preserve"> </w:t>
      </w:r>
      <w:r>
        <w:t xml:space="preserve">[15]</w:t>
      </w:r>
      <w:r>
        <w:t xml:space="preserve">: Technological and typological analysis assigns Mladeč to the Evolved Aurignacian.</w:t>
      </w:r>
    </w:p>
    <w:p>
      <w:pPr>
        <w:numPr>
          <w:ilvl w:val="0"/>
          <w:numId w:val="1007"/>
        </w:numPr>
        <w:pStyle w:val="Compact"/>
      </w:pPr>
      <w:r>
        <w:t xml:space="preserve">Wild et al.</w:t>
      </w:r>
      <w:r>
        <w:t xml:space="preserve"> </w:t>
      </w:r>
      <w:r>
        <w:t xml:space="preserve">[4]</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Flas et al.</w:t>
      </w:r>
      <w:r>
        <w:t xml:space="preserve"> </w:t>
      </w:r>
      <w:r>
        <w:t xml:space="preserve">[8]</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w:t>
      </w:r>
      <w:r>
        <w:t xml:space="preserve"> </w:t>
      </w:r>
      <w:r>
        <w:t xml:space="preserve">[9]</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w:t>
      </w:r>
      <w:r>
        <w:t xml:space="preserve"> </w:t>
      </w:r>
      <w:r>
        <w:t xml:space="preserve">[19]</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Barshay-Szmidt et al.</w:t>
      </w:r>
      <w:r>
        <w:t xml:space="preserve"> </w:t>
      </w:r>
      <w:r>
        <w:t xml:space="preserve">[14]</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w:t>
      </w:r>
      <w:r>
        <w:t xml:space="preserve"> </w:t>
      </w:r>
      <w:r>
        <w:t xml:space="preserve">[20]</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Wood et al.</w:t>
      </w:r>
      <w:r>
        <w:t xml:space="preserve"> </w:t>
      </w:r>
      <w:r>
        <w:t xml:space="preserve">[10]</w:t>
      </w:r>
      <w:r>
        <w:t xml:space="preserve">: The SignBase objects come from layer 18b of the modern excavations. This unit is the basis of the proposed</w:t>
      </w:r>
      <w:r>
        <w:t xml:space="preserve"> </w:t>
      </w:r>
      <w:r>
        <w:t xml:space="preserve">“</w:t>
      </w:r>
      <w:r>
        <w:t xml:space="preserve">Transitional Aurignacian</w:t>
      </w:r>
      <w:r>
        <w:t xml:space="preserve">”</w:t>
      </w:r>
      <w:r>
        <w:t xml:space="preserve">, an interpretation that has been heavily debated, with criticism of the lithic and bone assemblages and of the chronology. Radiocarbon dates place unit 18 earlier than 42 ka cal BP, with no evidence of younger material in the new excavation area. Because the Aurignacian attribution of this unit is debated, we do not assign its objects to a phase.</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16 objects from 13 sites carry no geometric signs and are excluded upstream (see</w:t>
      </w:r>
      <w:r>
        <w:t xml:space="preserve"> </w:t>
      </w:r>
      <w:hyperlink w:anchor="tbl-zero-sign">
        <w:r>
          <w:rPr>
            <w:rStyle w:val="Hyperlink"/>
          </w:rPr>
          <w:t xml:space="preserve">Table S 9</w:t>
        </w:r>
      </w:hyperlink>
      <w:r>
        <w:t xml:space="preserve">). A further eight sites are removed from the sample before phase assignment: Willendorf, because its single object carries only a sign coded as</w:t>
      </w:r>
      <w:r>
        <w:t xml:space="preserve"> </w:t>
      </w:r>
      <w:r>
        <w:t xml:space="preserve">“</w:t>
      </w:r>
      <w:r>
        <w:t xml:space="preserve">other</w:t>
      </w:r>
      <w:r>
        <w:t xml:space="preserve">”</w:t>
      </w:r>
      <w:r>
        <w:t xml:space="preserve">; Riparo di Fontana Nuova, Muralovka, Shanidar Cave and Hayonim Cave, because of geographic isolation; El Salitre, because it lacks a reliable chronological context; and Grotte De La Princesse Pauline and Šandalja II, because they date much later than the other assemblages. After phase reclassification and the exclusion of Spy (mixed assemblage) and El Castillo (debated attribution; see</w:t>
      </w:r>
      <w:r>
        <w:t xml:space="preserve"> </w:t>
      </w:r>
      <w:hyperlink w:anchor="tbl-excluded">
        <w:r>
          <w:rPr>
            <w:rStyle w:val="Hyperlink"/>
          </w:rPr>
          <w:t xml:space="preserve">Table S 5</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S 2</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S 3</w:t>
        </w:r>
      </w:hyperlink>
      <w:r>
        <w:t xml:space="preserve"> </w:t>
      </w:r>
      <w:r>
        <w:t xml:space="preserve">(Aur-P1) and</w:t>
      </w:r>
      <w:r>
        <w:t xml:space="preserve"> </w:t>
      </w:r>
      <w:hyperlink w:anchor="tbl-tech-aurp2">
        <w:r>
          <w:rPr>
            <w:rStyle w:val="Hyperlink"/>
          </w:rPr>
          <w:t xml:space="preserve">Table S 4</w:t>
        </w:r>
      </w:hyperlink>
      <w:r>
        <w:t xml:space="preserve"> </w:t>
      </w:r>
      <w:r>
        <w:t xml:space="preserve">(Aur-P2); date-based assignments in</w:t>
      </w:r>
      <w:r>
        <w:t xml:space="preserve"> </w:t>
      </w:r>
      <w:hyperlink w:anchor="tbl-date-aurp1">
        <w:r>
          <w:rPr>
            <w:rStyle w:val="Hyperlink"/>
          </w:rPr>
          <w:t xml:space="preserve">Table S 7</w:t>
        </w:r>
      </w:hyperlink>
      <w:r>
        <w:t xml:space="preserve"> </w:t>
      </w:r>
      <w:r>
        <w:t xml:space="preserve">(Aur-P1) and</w:t>
      </w:r>
      <w:r>
        <w:t xml:space="preserve"> </w:t>
      </w:r>
      <w:hyperlink w:anchor="tbl-date-aurp2">
        <w:r>
          <w:rPr>
            <w:rStyle w:val="Hyperlink"/>
          </w:rPr>
          <w:t xml:space="preserve">Table S 8</w:t>
        </w:r>
      </w:hyperlink>
      <w:r>
        <w:t xml:space="preserve"> </w:t>
      </w:r>
      <w:r>
        <w:t xml:space="preserve">(Aur-P2). Sites lost during date parsing are listed in</w:t>
      </w:r>
      <w:r>
        <w:t xml:space="preserve"> </w:t>
      </w:r>
      <w:hyperlink w:anchor="tbl-date-excluded">
        <w:r>
          <w:rPr>
            <w:rStyle w:val="Hyperlink"/>
          </w:rPr>
          <w:t xml:space="preserve">Table S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S 2: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S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[5,11]</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[14]</w:t>
                  </w:r>
                </w:p>
              </w:tc>
            </w:tr>
          </w:tbl>
          <w:p>
            <w:pPr>
              <w:jc w:val="left"/>
            </w:pPr>
            <w:pPr>
              <w:jc w:val="start"/>
              <w:spacing w:before="200"/>
              <w:pStyle w:val="ImageCaption"/>
            </w:pPr>
            <w:r>
              <w:t xml:space="preserve">Table S 3: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Mladeč and the upper horizons of Hohle Fels (AH IV, III and the II-series) are placed in Aur-P2 on technological grounds (see</w:t>
      </w:r>
      <w:r>
        <w:t xml:space="preserve"> </w:t>
      </w:r>
      <w:hyperlink w:anchor="tbl-tech-aurp2">
        <w:r>
          <w:rPr>
            <w:rStyle w:val="Hyperlink"/>
          </w:rPr>
          <w:t xml:space="preserve">Table S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[15]</w:t>
                  </w:r>
                </w:p>
              </w:tc>
            </w:tr>
          </w:tbl>
          <w:p>
            <w:pPr>
              <w:jc w:val="left"/>
            </w:pPr>
            <w:pPr>
              <w:jc w:val="start"/>
              <w:spacing w:before="200"/>
              <w:pStyle w:val="ImageCaption"/>
            </w:pPr>
            <w:r>
              <w:t xml:space="preserve">Table S 4: Aur-P2 sites assigned by technology rather than radiocarbon date.</w:t>
            </w:r>
          </w:p>
          <w:bookmarkEnd w:id="38"/>
        </w:tc>
      </w:tr>
    </w:tbl>
    <w:bookmarkEnd w:id="39"/>
    <w:bookmarkStart w:id="41" w:name="Xbea03578033e329200c24c3fba54cf194a21f2d"/>
    <w:p>
      <w:pPr>
        <w:pStyle w:val="Heading3"/>
      </w:pPr>
      <w:r>
        <w:t xml:space="preserve">Excluded because of mixing or debated attribution</w:t>
      </w:r>
    </w:p>
    <w:p>
      <w:pPr>
        <w:pStyle w:val="FirstParagraph"/>
      </w:pPr>
      <w:r>
        <w:t xml:space="preserve">Two sites are excluded: Spy, because its assemblage is mixed, and El Castillo, because the Aurignacian attribution of its unit 18 is debated (see</w:t>
      </w:r>
      <w:r>
        <w:t xml:space="preserve"> </w:t>
      </w:r>
      <w:hyperlink w:anchor="tbl-excluded">
        <w:r>
          <w:rPr>
            <w:rStyle w:val="Hyperlink"/>
          </w:rPr>
          <w:t xml:space="preserve">Table S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Aurignacian attribution of unit 18 (the Transitional Aurignacian) is debated</w:t>
                  </w:r>
                  <w:r>
                    <w:t xml:space="preserve"> </w:t>
                  </w:r>
                  <w:r>
                    <w:t xml:space="preserve">[10]</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[8,9,19]</w:t>
                  </w:r>
                </w:p>
              </w:tc>
            </w:tr>
          </w:tbl>
          <w:p>
            <w:pPr>
              <w:jc w:val="left"/>
            </w:pPr>
            <w:pPr>
              <w:jc w:val="start"/>
              <w:spacing w:before="200"/>
              <w:pStyle w:val="ImageCaption"/>
            </w:pPr>
            <w:r>
              <w:t xml:space="preserve">Table S 5: Sites excluded from the analysis because of a mixed assemblage (Spy) or a debated cultural attribution (El Castillo).</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We exclude 27 sites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S 6</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(26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Exclusion reason</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4</w:t>
                  </w:r>
                </w:p>
              </w:tc>
              <w:tc>
                <w:tcPr/>
                <w:p>
                  <w:pPr>
                    <w:pStyle w:val="Compact"/>
                    <w:jc w:val="left"/>
                    <w:jc w:val="left"/>
                  </w:pPr>
                  <w:r>
                    <w:t xml:space="preserve">No date_bp_max_min</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30000 - 27000; 26000 - 28 000 BP</w:t>
                  </w:r>
                  <w:r>
                    <w:t xml:space="preserve">’</w:t>
                  </w:r>
                  <w:r>
                    <w:t xml:space="preserve"> </w:t>
                  </w:r>
                  <w:r>
                    <w:t xml:space="preserve">(C14) has no ± error</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Date string</w:t>
                  </w:r>
                  <w:r>
                    <w:t xml:space="preserve"> </w:t>
                  </w:r>
                  <w:r>
                    <w:t xml:space="preserve">‘</w:t>
                  </w:r>
                  <w:r>
                    <w:t xml:space="preserve">35160 - 33140</w:t>
                  </w:r>
                  <w:r>
                    <w:t xml:space="preserve">’</w:t>
                  </w:r>
                  <w:r>
                    <w:t xml:space="preserve"> </w:t>
                  </w:r>
                  <w:r>
                    <w:t xml:space="preserve">(C14) has no ± error</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35000 - 32000</w:t>
                  </w:r>
                  <w:r>
                    <w:t xml:space="preserve">’</w:t>
                  </w:r>
                  <w:r>
                    <w:t xml:space="preserve"> </w:t>
                  </w:r>
                  <w:r>
                    <w:t xml:space="preserve">(AMS) has no ± error</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38300 - 33500</w:t>
                  </w:r>
                  <w:r>
                    <w:t xml:space="preserve">’</w:t>
                  </w:r>
                  <w:r>
                    <w:t xml:space="preserve"> </w:t>
                  </w:r>
                  <w:r>
                    <w:t xml:space="preserve">(AMS) has no ± error</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34750</w:t>
                  </w:r>
                  <w:r>
                    <w:t xml:space="preserve">’</w:t>
                  </w:r>
                  <w:r>
                    <w:t xml:space="preserve"> </w:t>
                  </w:r>
                  <w:r>
                    <w:t xml:space="preserve">(C14) has no ± error</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34300 - 30000</w:t>
                  </w:r>
                  <w:r>
                    <w:t xml:space="preserve">’</w:t>
                  </w:r>
                  <w:r>
                    <w:t xml:space="preserve"> </w:t>
                  </w:r>
                  <w:r>
                    <w:t xml:space="preserve">(C14) has no ± error</w:t>
                  </w:r>
                </w:p>
              </w:tc>
            </w:tr>
          </w:tbl>
          <w:p>
            <w:pPr>
              <w:jc w:val="left"/>
            </w:pPr>
            <w:pPr>
              <w:jc w:val="start"/>
              <w:spacing w:before="200"/>
              <w:pStyle w:val="ImageCaption"/>
            </w:pPr>
            <w:r>
              <w:t xml:space="preserve">Table S 6: Sites excluded during the date-parsing/calibration step. Category B = no date string; Category C = date string without an error term.</w:t>
            </w:r>
          </w:p>
          <w:bookmarkEnd w:id="42"/>
        </w:tc>
      </w:tr>
    </w:tbl>
    <w:p>
      <w:pPr>
        <w:pStyle w:val="SourceCode"/>
      </w:pPr>
      <w:r>
        <w:rPr>
          <w:rStyle w:val="VerbatimChar"/>
        </w:rPr>
        <w:t xml:space="preserve">**Summary:** 27 sites with 65 total objects (58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S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S 7: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S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S 8: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16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S 9</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S 6</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Abri de Laussel</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No (date parsing)</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S 9: Sites contributing objects without geometric signs, and whether the site remains in the analysis.</w:t>
            </w:r>
          </w:p>
          <w:bookmarkEnd w:id="48"/>
        </w:tc>
      </w:tr>
    </w:tbl>
    <w:p>
      <w:pPr>
        <w:pStyle w:val="BodyText"/>
      </w:pPr>
      <w:r>
        <w:t xml:space="preserve">Of the sites in</w:t>
      </w:r>
      <w:r>
        <w:t xml:space="preserve"> </w:t>
      </w:r>
      <w:hyperlink w:anchor="tbl-zero-sign">
        <w:r>
          <w:rPr>
            <w:rStyle w:val="Hyperlink"/>
          </w:rPr>
          <w:t xml:space="preserve">Table S 9</w:t>
        </w:r>
      </w:hyperlink>
      <w:r>
        <w:t xml:space="preserve">, only Willendorf has no signed object, because its single object carries only a sign coded as</w:t>
      </w:r>
      <w:r>
        <w:t xml:space="preserve"> </w:t>
      </w:r>
      <w:r>
        <w:t xml:space="preserve">“</w:t>
      </w:r>
      <w:r>
        <w:t xml:space="preserve">other</w:t>
      </w:r>
      <w:r>
        <w:t xml:space="preserve">”</w:t>
      </w:r>
      <w:r>
        <w:t xml:space="preserve">. Spy is excluded because its assemblage is mixed (</w:t>
      </w:r>
      <w:hyperlink w:anchor="tbl-excluded">
        <w:r>
          <w:rPr>
            <w:rStyle w:val="Hyperlink"/>
          </w:rPr>
          <w:t xml:space="preserve">Table S 5</w:t>
        </w:r>
      </w:hyperlink>
      <w:r>
        <w:t xml:space="preserve">). The other</w:t>
      </w:r>
      <w:r>
        <w:t xml:space="preserve"> </w:t>
      </w:r>
      <w:r>
        <w:t xml:space="preserve">“</w:t>
      </w:r>
      <w:r>
        <w:t xml:space="preserve">No</w:t>
      </w:r>
      <w:r>
        <w:t xml:space="preserve">”</w:t>
      </w:r>
      <w:r>
        <w:t xml:space="preserve"> </w:t>
      </w:r>
      <w:r>
        <w:t xml:space="preserve">sites are lost at the date-parsing step, not because of the zero-sign filter.</w:t>
      </w:r>
    </w:p>
    <w:bookmarkEnd w:id="49"/>
    <w:bookmarkEnd w:id="50"/>
    <w:bookmarkStart w:id="91" w:name="references-cited"/>
    <w:p>
      <w:pPr>
        <w:pStyle w:val="Heading2"/>
      </w:pPr>
      <w:r>
        <w:t xml:space="preserve">References cited</w:t>
      </w:r>
    </w:p>
    <w:bookmarkStart w:id="90"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51">
        <w:r>
          <w:rPr>
            <w:rStyle w:val="Hyperlink"/>
          </w:rPr>
          <w:t xml:space="preserve">10.30861/9781841718309</w:t>
        </w:r>
      </w:hyperlink>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53">
        <w:r>
          <w:rPr>
            <w:rStyle w:val="Hyperlink"/>
          </w:rPr>
          <w:t xml:space="preserve">10.1016/j.jhevol.2011.06.005</w:t>
        </w:r>
      </w:hyperlink>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55">
        <w:r>
          <w:rPr>
            <w:rStyle w:val="Hyperlink"/>
          </w:rPr>
          <w:t xml:space="preserve">10.1002/jqs.3236</w:t>
        </w:r>
      </w:hyperlink>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57">
        <w:r>
          <w:rPr>
            <w:rStyle w:val="Hyperlink"/>
          </w:rPr>
          <w:t xml:space="preserve">10.1038/nature03585</w:t>
        </w:r>
      </w:hyperlink>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 e0194097. doi:</w:t>
      </w:r>
      <w:hyperlink r:id="rId59">
        <w:r>
          <w:rPr>
            <w:rStyle w:val="Hyperlink"/>
          </w:rPr>
          <w:t xml:space="preserve">10.1371/journal.pone.0194097</w:t>
        </w:r>
      </w:hyperlink>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61">
        <w:r>
          <w:rPr>
            <w:rStyle w:val="Hyperlink"/>
          </w:rPr>
          <w:t xml:space="preserve">10.7485/QU65_1</w:t>
        </w:r>
      </w:hyperlink>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63">
        <w:r>
          <w:rPr>
            <w:rStyle w:val="Hyperlink"/>
          </w:rPr>
          <w:t xml:space="preserve">10.1017/ppr.2019.11</w:t>
        </w:r>
      </w:hyperlink>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Royal Belgian Institute of Natural Sciences, Royal Belgian Society of Anthropology; Prehistory,; NESPOS Society; 2013. pp. 231–255.</w:t>
      </w:r>
      <w:r>
        <w:t xml:space="preserve"> </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Palethnology, Toulouse; 2015. pp. 57–75. doi:</w:t>
      </w:r>
      <w:hyperlink r:id="rId66">
        <w:r>
          <w:rPr>
            <w:rStyle w:val="Hyperlink"/>
          </w:rPr>
          <w:t xml:space="preserve">10.4000/palethnologie.736</w:t>
        </w:r>
      </w:hyperlink>
    </w:p>
    <w:bookmarkEnd w:id="67"/>
    <w:bookmarkStart w:id="69" w:name="ref-Wood_2018"/>
    <w:p>
      <w:pPr>
        <w:pStyle w:val="Bibliography"/>
      </w:pPr>
      <w:r>
        <w:t xml:space="preserve">10.</w:t>
      </w:r>
      <w:r>
        <w:t xml:space="preserve"> </w:t>
      </w:r>
      <w:r>
        <w:t xml:space="preserve">	</w:t>
      </w:r>
      <w:r>
        <w:t xml:space="preserve">Wood R, Bernaldo de Quirós F, Maíllo-Fernández J-M, Tejero J-M, Neira A, Higham T.</w:t>
      </w:r>
      <w:r>
        <w:t xml:space="preserve"> </w:t>
      </w:r>
      <w:r>
        <w:t xml:space="preserve">El Castillo</w:t>
      </w:r>
      <w:r>
        <w:t xml:space="preserve"> </w:t>
      </w:r>
      <w:r>
        <w:t xml:space="preserve">(</w:t>
      </w:r>
      <w:r>
        <w:t xml:space="preserve">Cantabria</w:t>
      </w:r>
      <w:r>
        <w:t xml:space="preserve">, northern</w:t>
      </w:r>
      <w:r>
        <w:t xml:space="preserve"> </w:t>
      </w:r>
      <w:r>
        <w:t xml:space="preserve">Iberia</w:t>
      </w:r>
      <w:r>
        <w:t xml:space="preserve">) and the</w:t>
      </w:r>
      <w:r>
        <w:t xml:space="preserve"> </w:t>
      </w:r>
      <w:r>
        <w:t xml:space="preserve">Transitional Aurignacian</w:t>
      </w:r>
      <w:r>
        <w:t xml:space="preserve">: Using radiocarbon dating to assess site taphonomy. Quat Int. 2018;474: 56–70. doi:</w:t>
      </w:r>
      <w:hyperlink r:id="rId68">
        <w:r>
          <w:rPr>
            <w:rStyle w:val="Hyperlink"/>
          </w:rPr>
          <w:t xml:space="preserve">10.1016/j.quaint.2016.03.005</w:t>
        </w:r>
      </w:hyperlink>
    </w:p>
    <w:bookmarkEnd w:id="69"/>
    <w:bookmarkStart w:id="71"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70">
        <w:r>
          <w:rPr>
            <w:rStyle w:val="Hyperlink"/>
          </w:rPr>
          <w:t xml:space="preserve">10.1007/s41982-025-00246-x</w:t>
        </w:r>
      </w:hyperlink>
    </w:p>
    <w:bookmarkEnd w:id="71"/>
    <w:bookmarkStart w:id="73" w:name="ref-Falcucci_Peresani_2017"/>
    <w:p>
      <w:pPr>
        <w:pStyle w:val="Bibliography"/>
      </w:pPr>
      <w:r>
        <w:t xml:space="preserve">12.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72">
        <w:r>
          <w:rPr>
            <w:rStyle w:val="Hyperlink"/>
          </w:rPr>
          <w:t xml:space="preserve">10.1371/journal.pone.0189241</w:t>
        </w:r>
      </w:hyperlink>
    </w:p>
    <w:bookmarkEnd w:id="73"/>
    <w:bookmarkStart w:id="75" w:name="ref-falcucci2020breaking"/>
    <w:p>
      <w:pPr>
        <w:pStyle w:val="Bibliography"/>
      </w:pPr>
      <w:r>
        <w:t xml:space="preserve">13.</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74">
        <w:r>
          <w:rPr>
            <w:rStyle w:val="Hyperlink"/>
          </w:rPr>
          <w:t xml:space="preserve">10.4436/JASS.98021</w:t>
        </w:r>
      </w:hyperlink>
    </w:p>
    <w:bookmarkEnd w:id="75"/>
    <w:bookmarkStart w:id="77" w:name="ref-Barshay_Szmidt_2012"/>
    <w:p>
      <w:pPr>
        <w:pStyle w:val="Bibliography"/>
      </w:pPr>
      <w:r>
        <w:t xml:space="preserve">14.</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Paleo. 2012;23: 11–38. doi:</w:t>
      </w:r>
      <w:hyperlink r:id="rId76">
        <w:r>
          <w:rPr>
            <w:rStyle w:val="Hyperlink"/>
          </w:rPr>
          <w:t xml:space="preserve">10.4000/paleo.2250</w:t>
        </w:r>
      </w:hyperlink>
    </w:p>
    <w:bookmarkEnd w:id="77"/>
    <w:bookmarkStart w:id="79"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78">
        <w:r>
          <w:rPr>
            <w:rStyle w:val="Hyperlink"/>
          </w:rPr>
          <w:t xml:space="preserve">10.1007/978-3-211-49294-9_4</w:t>
        </w:r>
      </w:hyperlink>
    </w:p>
    <w:bookmarkEnd w:id="79"/>
    <w:bookmarkStart w:id="81" w:name="ref-Higham_2012"/>
    <w:p>
      <w:pPr>
        <w:pStyle w:val="Bibliography"/>
      </w:pPr>
      <w:r>
        <w:t xml:space="preserve">16.</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 Hum Evol. 2012;62: 664–676. doi:</w:t>
      </w:r>
      <w:hyperlink r:id="rId80">
        <w:r>
          <w:rPr>
            <w:rStyle w:val="Hyperlink"/>
          </w:rPr>
          <w:t xml:space="preserve">10.1016/j.jhevol.2012.03.003</w:t>
        </w:r>
      </w:hyperlink>
    </w:p>
    <w:bookmarkEnd w:id="81"/>
    <w:bookmarkStart w:id="83" w:name="ref-zilhao2003aurignacian"/>
    <w:p>
      <w:pPr>
        <w:pStyle w:val="Bibliography"/>
      </w:pPr>
      <w:r>
        <w:t xml:space="preserve">17.</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2003; 69–86. doi:</w:t>
      </w:r>
      <w:hyperlink r:id="rId82">
        <w:r>
          <w:rPr>
            <w:rStyle w:val="Hyperlink"/>
          </w:rPr>
          <w:t xml:space="preserve">10.4000/paleo.1231</w:t>
        </w:r>
      </w:hyperlink>
    </w:p>
    <w:bookmarkEnd w:id="83"/>
    <w:bookmarkStart w:id="85" w:name="ref-Schurch_et_al_2025_bladelet"/>
    <w:p>
      <w:pPr>
        <w:pStyle w:val="Bibliography"/>
      </w:pPr>
      <w:r>
        <w:t xml:space="preserve">18.</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 e0331921. doi:</w:t>
      </w:r>
      <w:hyperlink r:id="rId84">
        <w:r>
          <w:rPr>
            <w:rStyle w:val="Hyperlink"/>
          </w:rPr>
          <w:t xml:space="preserve">10.1371/journal.pone.0331921</w:t>
        </w:r>
      </w:hyperlink>
    </w:p>
    <w:bookmarkEnd w:id="85"/>
    <w:bookmarkStart w:id="87" w:name="ref-Semal_2009"/>
    <w:p>
      <w:pPr>
        <w:pStyle w:val="Bibliography"/>
      </w:pPr>
      <w:r>
        <w:t xml:space="preserve">19.</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 J Phys Anthropol. 2009;138: 421–428. doi:</w:t>
      </w:r>
      <w:hyperlink r:id="rId86">
        <w:r>
          <w:rPr>
            <w:rStyle w:val="Hyperlink"/>
          </w:rPr>
          <w:t xml:space="preserve">10.1002/ajpa.20954</w:t>
        </w:r>
      </w:hyperlink>
    </w:p>
    <w:bookmarkEnd w:id="87"/>
    <w:bookmarkStart w:id="89" w:name="ref-Deschamps_2019"/>
    <w:p>
      <w:pPr>
        <w:pStyle w:val="Bibliography"/>
      </w:pPr>
      <w:r>
        <w:t xml:space="preserve">20.</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 R Palevol. 2019;18: 569–586. doi:</w:t>
      </w:r>
      <w:hyperlink r:id="rId88">
        <w:r>
          <w:rPr>
            <w:rStyle w:val="Hyperlink"/>
          </w:rPr>
          <w:t xml:space="preserve">10.1016/j.crpv.2019.04.001</w:t>
        </w:r>
      </w:hyperlink>
    </w:p>
    <w:bookmarkEnd w:id="89"/>
    <w:bookmarkEnd w:id="90"/>
    <w:bookmarkEnd w:id="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2026-10-16T23:56:21Z</dcterms:created>
  <dcterms:modified xsi:type="dcterms:W3CDTF">2026-10-16T23:56:21Z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