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now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[12]</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[13]</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[14]</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p>
      <w:pPr>
        <w:numPr>
          <w:ilvl w:val="0"/>
          <w:numId w:val="1007"/>
        </w:numPr>
        <w:pStyle w:val="Compact"/>
      </w:pPr>
      <w:r>
        <w:t xml:space="preserve">[15]</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[16]</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[17]</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[16–18]</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5" w:name="references-cited"/>
    <w:p>
      <w:pPr>
        <w:pStyle w:val="Heading2"/>
      </w:pPr>
      <w:r>
        <w:t xml:space="preserve">References cited</w:t>
      </w:r>
    </w:p>
    <w:bookmarkStart w:id="84"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Higham_2012"/>
    <w:p>
      <w:pPr>
        <w:pStyle w:val="Bibliography"/>
      </w:pPr>
      <w:r>
        <w:t xml:space="preserve">[12]</w:t>
      </w:r>
      <w:r>
        <w:t xml:space="preserve"> </w:t>
      </w:r>
      <w:r>
        <w:t xml:space="preserve">	</w:t>
      </w:r>
      <w:r>
        <w:t xml:space="preserve">Higham T, Basell L, Jacobi R, Wood R, Ramsey CB, Conard NJ. Testing models for the beginnings of the aurignacian and the advent of figurative art and music: The radiocarbon chronology of geißenklösterle. Journal of Human Evolution 2012;62:664–76.</w:t>
      </w:r>
      <w:r>
        <w:t xml:space="preserve"> </w:t>
      </w:r>
      <w:hyperlink r:id="rId69">
        <w:r>
          <w:rPr>
            <w:rStyle w:val="Hyperlink"/>
          </w:rPr>
          <w:t xml:space="preserve">https://doi.org/10.1016/j.jhevol.2012.03.003</w:t>
        </w:r>
      </w:hyperlink>
      <w:r>
        <w:t xml:space="preserve">.</w:t>
      </w:r>
    </w:p>
    <w:bookmarkEnd w:id="70"/>
    <w:bookmarkStart w:id="72" w:name="ref-zilhao2003aurignacian"/>
    <w:p>
      <w:pPr>
        <w:pStyle w:val="Bibliography"/>
      </w:pPr>
      <w:r>
        <w:t xml:space="preserve">[13]</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1">
        <w:r>
          <w:rPr>
            <w:rStyle w:val="Hyperlink"/>
          </w:rPr>
          <w:t xml:space="preserve">https://doi.org/10.4000/paleo.1231</w:t>
        </w:r>
      </w:hyperlink>
      <w:r>
        <w:t xml:space="preserve">.</w:t>
      </w:r>
    </w:p>
    <w:bookmarkEnd w:id="72"/>
    <w:bookmarkStart w:id="74" w:name="ref-Schurch_et_al_2025_bladelet"/>
    <w:p>
      <w:pPr>
        <w:pStyle w:val="Bibliography"/>
      </w:pPr>
      <w:r>
        <w:t xml:space="preserve">[14]</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3">
        <w:r>
          <w:rPr>
            <w:rStyle w:val="Hyperlink"/>
          </w:rPr>
          <w:t xml:space="preserve">https://doi.org/10.1371/journal.pone.0331921</w:t>
        </w:r>
      </w:hyperlink>
      <w:r>
        <w:t xml:space="preserve">.</w:t>
      </w:r>
    </w:p>
    <w:bookmarkEnd w:id="74"/>
    <w:bookmarkStart w:id="76" w:name="ref-Wild_et_al_2005"/>
    <w:p>
      <w:pPr>
        <w:pStyle w:val="Bibliography"/>
      </w:pPr>
      <w:r>
        <w:t xml:space="preserve">[15]</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75">
        <w:r>
          <w:rPr>
            <w:rStyle w:val="Hyperlink"/>
          </w:rPr>
          <w:t xml:space="preserve">https://doi.org/10.1038/nature03585</w:t>
        </w:r>
      </w:hyperlink>
      <w:r>
        <w:t xml:space="preserve">.</w:t>
      </w:r>
    </w:p>
    <w:bookmarkEnd w:id="76"/>
    <w:bookmarkStart w:id="77" w:name="ref-Flas_et_al_2013"/>
    <w:p>
      <w:pPr>
        <w:pStyle w:val="Bibliography"/>
      </w:pPr>
      <w:r>
        <w:t xml:space="preserve">[16]</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7"/>
    <w:bookmarkStart w:id="79" w:name="ref-Flas_2015"/>
    <w:p>
      <w:pPr>
        <w:pStyle w:val="Bibliography"/>
      </w:pPr>
      <w:r>
        <w:t xml:space="preserve">[17]</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8">
        <w:r>
          <w:rPr>
            <w:rStyle w:val="Hyperlink"/>
          </w:rPr>
          <w:t xml:space="preserve">https://doi.org/10.4000/palethnologie.736</w:t>
        </w:r>
      </w:hyperlink>
      <w:r>
        <w:t xml:space="preserve">.</w:t>
      </w:r>
    </w:p>
    <w:bookmarkEnd w:id="79"/>
    <w:bookmarkStart w:id="81"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0">
        <w:r>
          <w:rPr>
            <w:rStyle w:val="Hyperlink"/>
          </w:rPr>
          <w:t xml:space="preserve">https://doi.org/10.1002/ajpa.20954</w:t>
        </w:r>
      </w:hyperlink>
      <w:r>
        <w:t xml:space="preserve">.</w:t>
      </w:r>
    </w:p>
    <w:bookmarkEnd w:id="81"/>
    <w:bookmarkStart w:id="83"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2">
        <w:r>
          <w:rPr>
            <w:rStyle w:val="Hyperlink"/>
          </w:rPr>
          <w:t xml:space="preserve">https://doi.org/10.1016/j.crpv.2019.04.001</w:t>
        </w:r>
      </w:hyperlink>
      <w:r>
        <w:t xml:space="preserve">.</w:t>
      </w:r>
    </w:p>
    <w:bookmarkEnd w:id="83"/>
    <w:bookmarkEnd w:id="84"/>
    <w:bookmarkEnd w:id="8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2026-09-03T20:17:36Z</dcterms:created>
  <dcterms:modified xsi:type="dcterms:W3CDTF">2026-09-03T20:17:36Z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