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Site</w:t>
      </w:r>
      <w:r>
        <w:t xml:space="preserve"> </w:t>
      </w:r>
      <w:r>
        <w:t xml:space="preserve">Phase</w:t>
      </w:r>
      <w:r>
        <w:t xml:space="preserve"> </w:t>
      </w:r>
      <w:r>
        <w:t xml:space="preserve">Assignments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2,</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Computing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1" w:name="overview"/>
    <w:p>
      <w:pPr>
        <w:pStyle w:val="Heading2"/>
      </w:pPr>
      <w:r>
        <w:t xml:space="preserve">Overview</w:t>
      </w:r>
    </w:p>
    <w:p>
      <w:pPr>
        <w:pStyle w:val="FirstParagraph"/>
      </w:pPr>
      <w:r>
        <w:t xml:space="preserve">This supplement documents the rationale and procedure for assigning archaeological sites to Aurignacian phases. Phase assignments in the main analysis are based on specialist technological attributions from the published literature, not solely on radiocarbon dates. This supplement summarises the evidence for each reclassification and provides the complete site-level status table.</w:t>
      </w:r>
    </w:p>
    <w:bookmarkEnd w:id="21"/>
    <w:bookmarkStart w:id="22" w:name="data-pipeline"/>
    <w:p>
      <w:pPr>
        <w:pStyle w:val="Heading2"/>
      </w:pPr>
      <w:r>
        <w:t xml:space="preserve">Data pipeline</w:t>
      </w:r>
    </w:p>
    <w:p>
      <w:pPr>
        <w:pStyle w:val="FirstParagraph"/>
      </w:pPr>
      <w:r>
        <w:t xml:space="preserve">The following code loads the raw SignBase dataset, parses radiocarbon dates, calibrates them, and assigns objects to phases. Sites excluded from the main analysis are filtered out, and sites reassigned based on technological attribution are overrides in the</w:t>
      </w:r>
      <w:r>
        <w:t xml:space="preserve"> </w:t>
      </w:r>
      <w:r>
        <w:rPr>
          <w:rStyle w:val="VerbatimChar"/>
        </w:rPr>
        <w:t xml:space="preserve">case_when()</w:t>
      </w:r>
      <w:r>
        <w:t xml:space="preserve">. Date parsing now handles both ends of date ranges, routes OSL ages around radiocarbon calibration, and uses IntCal20 explicitly. The default</w:t>
      </w:r>
      <w:r>
        <w:t xml:space="preserve"> </w:t>
      </w:r>
      <w:r>
        <w:rPr>
          <w:rStyle w:val="VerbatimChar"/>
        </w:rPr>
        <w:t xml:space="preserve">date_variant = "midpoint"</w:t>
      </w:r>
      <w:r>
        <w:t xml:space="preserve"> </w:t>
      </w:r>
      <w:r>
        <w:t xml:space="preserve">is used here; sensitivity to variant choice is explored in Supplement S1.</w:t>
      </w:r>
    </w:p>
    <w:p>
      <w:pPr>
        <w:pStyle w:val="TableCaption"/>
      </w:pPr>
      <w:r>
        <w:t xml:space="preserve">Retained sites with object counts and assignment basis.</w:t>
      </w:r>
    </w:p>
    <w:tbl>
      <w:tblPr>
        <w:tblStyle w:val="Table"/>
        <w:tblW w:type="pct" w:w="5000"/>
        <w:tblLook w:firstRow="1" w:lastRow="0" w:firstColumn="0" w:lastColumn="0" w:noHBand="0" w:noVBand="0" w:val="0020"/>
        <w:jc w:val="start"/>
        <w:tblLayout w:type="fixed"/>
        <w:tblCaption w:val="Retained sites with object counts and assignment basis."/>
      </w:tblPr>
      <w:tblGrid>
        <w:gridCol w:w="887"/>
        <w:gridCol w:w="230"/>
        <w:gridCol w:w="262"/>
        <w:gridCol w:w="328"/>
        <w:gridCol w:w="361"/>
        <w:gridCol w:w="5849"/>
      </w:tblGrid>
      <w:tr>
        <w:trPr>
          <w:tblHeader w:val="true"/>
        </w:trPr>
        <w:tc>
          <w:tcPr/>
          <w:p>
            <w:pPr>
              <w:pStyle w:val="Compact"/>
              <w:jc w:val="left"/>
            </w:pPr>
            <w:r>
              <w:t xml:space="preserve">site_name</w:t>
            </w:r>
          </w:p>
        </w:tc>
        <w:tc>
          <w:tcPr/>
          <w:p>
            <w:pPr>
              <w:pStyle w:val="Compact"/>
              <w:jc w:val="left"/>
            </w:pPr>
            <w:r>
              <w:t xml:space="preserve">phase2</w:t>
            </w:r>
          </w:p>
        </w:tc>
        <w:tc>
          <w:tcPr/>
          <w:p>
            <w:pPr>
              <w:pStyle w:val="Compact"/>
              <w:jc w:val="right"/>
            </w:pPr>
            <w:r>
              <w:t xml:space="preserve">objects</w:t>
            </w:r>
          </w:p>
        </w:tc>
        <w:tc>
          <w:tcPr/>
          <w:p>
            <w:pPr>
              <w:pStyle w:val="Compact"/>
              <w:jc w:val="right"/>
            </w:pPr>
            <w:r>
              <w:t xml:space="preserve">median_bp</w:t>
            </w:r>
          </w:p>
        </w:tc>
        <w:tc>
          <w:tcPr/>
          <w:p>
            <w:pPr>
              <w:pStyle w:val="Compact"/>
              <w:jc w:val="left"/>
            </w:pPr>
            <w:r>
              <w:t xml:space="preserve">assignment</w:t>
            </w:r>
          </w:p>
        </w:tc>
        <w:tc>
          <w:tcPr/>
          <w:p>
            <w:pPr>
              <w:pStyle w:val="Compact"/>
              <w:jc w:val="left"/>
            </w:pPr>
            <w:r>
              <w:t xml:space="preserve">basis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40127</w:t>
            </w:r>
          </w:p>
        </w:tc>
        <w:tc>
          <w:tcPr/>
          <w:p>
            <w:pPr>
              <w:pStyle w:val="Compact"/>
              <w:jc w:val="left"/>
            </w:pPr>
            <w:r>
              <w:t xml:space="preserve">technology</w:t>
            </w:r>
          </w:p>
        </w:tc>
        <w:tc>
          <w:tcPr/>
          <w:p>
            <w:pPr>
              <w:pStyle w:val="Compact"/>
              <w:jc w:val="left"/>
            </w:pPr>
            <w:r>
              <w:t xml:space="preserve">Early Aurignacian</w:t>
            </w:r>
            <w:r>
              <w:t xml:space="preserve"> </w:t>
            </w:r>
            <w:r>
              <w:t xml:space="preserve">[1,2]</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c>
          <w:tcPr/>
          <w:p>
            <w:pPr>
              <w:pStyle w:val="Compact"/>
              <w:jc w:val="right"/>
            </w:pPr>
            <w:r>
              <w:t xml:space="preserve">38235</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c>
          <w:tcPr/>
          <w:p>
            <w:pPr>
              <w:pStyle w:val="Compact"/>
              <w:jc w:val="right"/>
            </w:pPr>
            <w:r>
              <w:t xml:space="preserve">35872</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c>
          <w:tcPr/>
          <w:p>
            <w:pPr>
              <w:pStyle w:val="Compact"/>
              <w:jc w:val="right"/>
            </w:pPr>
            <w:r>
              <w:t xml:space="preserve">39413</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42561</w:t>
            </w:r>
          </w:p>
        </w:tc>
        <w:tc>
          <w:tcPr/>
          <w:p>
            <w:pPr>
              <w:pStyle w:val="Compact"/>
              <w:jc w:val="left"/>
            </w:pPr>
            <w:r>
              <w:t xml:space="preserve">date</w:t>
            </w:r>
          </w:p>
        </w:tc>
        <w:tc>
          <w:tcPr/>
          <w:p>
            <w:pPr>
              <w:pStyle w:val="Compact"/>
              <w:jc w:val="left"/>
            </w:pPr>
            <w:r>
              <w:t xml:space="preserve">MedianBP &gt; 39,799 (Protoaurignacian throughout sequence</w:t>
            </w:r>
            <w:r>
              <w:t xml:space="preserve"> </w:t>
            </w:r>
            <w:r>
              <w:t xml:space="preserve">[3,4]</w:t>
            </w:r>
            <w:r>
              <w:t xml:space="preserve">)</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c>
          <w:tcPr/>
          <w:p>
            <w:pPr>
              <w:pStyle w:val="Compact"/>
              <w:jc w:val="right"/>
            </w:pPr>
            <w:r>
              <w:t xml:space="preserve">35908</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41007</w:t>
            </w:r>
          </w:p>
        </w:tc>
        <w:tc>
          <w:tcPr/>
          <w:p>
            <w:pPr>
              <w:pStyle w:val="Compact"/>
              <w:jc w:val="left"/>
            </w:pPr>
            <w:r>
              <w:t xml:space="preserve">technology</w:t>
            </w:r>
          </w:p>
        </w:tc>
        <w:tc>
          <w:tcPr/>
          <w:p>
            <w:pPr>
              <w:pStyle w:val="Compact"/>
              <w:jc w:val="left"/>
            </w:pPr>
            <w:r>
              <w:t xml:space="preserve">Proto-Aurignacian, layer Cjn2</w:t>
            </w:r>
            <w:r>
              <w:t xml:space="preserve"> </w:t>
            </w:r>
            <w:r>
              <w:t xml:space="preserve">[5]</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c>
          <w:tcPr/>
          <w:p>
            <w:pPr>
              <w:pStyle w:val="Compact"/>
              <w:jc w:val="right"/>
            </w:pPr>
            <w:r>
              <w:t xml:space="preserve">40747</w:t>
            </w:r>
          </w:p>
        </w:tc>
        <w:tc>
          <w:tcPr/>
          <w:p>
            <w:pPr>
              <w:pStyle w:val="Compact"/>
              <w:jc w:val="left"/>
            </w:pPr>
            <w:r>
              <w:t xml:space="preserve">technology</w:t>
            </w:r>
          </w:p>
        </w:tc>
        <w:tc>
          <w:tcPr/>
          <w:p>
            <w:pPr>
              <w:pStyle w:val="Compact"/>
              <w:jc w:val="left"/>
            </w:pPr>
            <w:r>
              <w:t xml:space="preserve">Early Aurignacian</w:t>
            </w:r>
            <w:r>
              <w:t xml:space="preserve"> </w:t>
            </w:r>
            <w:r>
              <w:t xml:space="preserve">[6]</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c>
          <w:tcPr/>
          <w:p>
            <w:pPr>
              <w:pStyle w:val="Compact"/>
              <w:jc w:val="right"/>
            </w:pPr>
            <w:r>
              <w:t xml:space="preserve">41146</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38509</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c>
          <w:tcPr/>
          <w:p>
            <w:pPr>
              <w:pStyle w:val="Compact"/>
              <w:jc w:val="right"/>
            </w:pPr>
            <w:r>
              <w:t xml:space="preserve">39718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[6–8]</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c>
          <w:tcPr/>
          <w:p>
            <w:pPr>
              <w:pStyle w:val="Compact"/>
              <w:jc w:val="right"/>
            </w:pPr>
            <w:r>
              <w:t xml:space="preserve">35538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[6–8]</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40329</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c>
          <w:tcPr/>
          <w:p>
            <w:pPr>
              <w:pStyle w:val="Compact"/>
              <w:jc w:val="right"/>
            </w:pPr>
            <w:r>
              <w:t xml:space="preserve">37200</w:t>
            </w:r>
          </w:p>
        </w:tc>
        <w:tc>
          <w:tcPr/>
          <w:p>
            <w:pPr>
              <w:pStyle w:val="Compact"/>
              <w:jc w:val="left"/>
            </w:pPr>
            <w:r>
              <w:t xml:space="preserve">technology</w:t>
            </w:r>
          </w:p>
        </w:tc>
        <w:tc>
          <w:tcPr/>
          <w:p>
            <w:pPr>
              <w:pStyle w:val="Compact"/>
              <w:jc w:val="left"/>
            </w:pPr>
            <w:r>
              <w:t xml:space="preserve">Early Aurignacian</w:t>
            </w:r>
            <w:r>
              <w:t xml:space="preserve"> </w:t>
            </w:r>
            <w:r>
              <w:t xml:space="preserve">[9]</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35544</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41575</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40037</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33093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c>
          <w:tcPr/>
          <w:p>
            <w:pPr>
              <w:pStyle w:val="Compact"/>
              <w:jc w:val="right"/>
            </w:pPr>
            <w:r>
              <w:t xml:space="preserve">40091</w:t>
            </w:r>
          </w:p>
        </w:tc>
        <w:tc>
          <w:tcPr/>
          <w:p>
            <w:pPr>
              <w:pStyle w:val="Compact"/>
              <w:jc w:val="left"/>
            </w:pPr>
            <w:r>
              <w:t xml:space="preserve">technology</w:t>
            </w:r>
          </w:p>
        </w:tc>
        <w:tc>
          <w:tcPr/>
          <w:p>
            <w:pPr>
              <w:pStyle w:val="Compact"/>
              <w:jc w:val="left"/>
            </w:pPr>
            <w:r>
              <w:t xml:space="preserve">Evolved Aurignacian</w:t>
            </w:r>
            <w:r>
              <w:t xml:space="preserve"> </w:t>
            </w:r>
            <w:r>
              <w:t xml:space="preserve">[10]</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44778</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39256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34773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c>
          <w:tcPr/>
          <w:p>
            <w:pPr>
              <w:pStyle w:val="Compact"/>
              <w:jc w:val="right"/>
            </w:pPr>
            <w:r>
              <w:t xml:space="preserve">32893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37615</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c>
          <w:tcPr/>
          <w:p>
            <w:pPr>
              <w:pStyle w:val="Compact"/>
              <w:jc w:val="right"/>
            </w:pPr>
            <w:r>
              <w:t xml:space="preserve">40840</w:t>
            </w:r>
          </w:p>
        </w:tc>
        <w:tc>
          <w:tcPr/>
          <w:p>
            <w:pPr>
              <w:pStyle w:val="Compact"/>
              <w:jc w:val="left"/>
            </w:pPr>
            <w:r>
              <w:t xml:space="preserve">technology</w:t>
            </w:r>
          </w:p>
        </w:tc>
        <w:tc>
          <w:tcPr/>
          <w:p>
            <w:pPr>
              <w:pStyle w:val="Compact"/>
              <w:jc w:val="left"/>
            </w:pPr>
            <w:r>
              <w:t xml:space="preserve">Early Aurignacian</w:t>
            </w:r>
            <w:r>
              <w:t xml:space="preserve"> </w:t>
            </w:r>
            <w:r>
              <w:t xml:space="preserve">[6,11]</w:t>
            </w:r>
          </w:p>
        </w:tc>
      </w:tr>
    </w:tbl>
    <w:bookmarkEnd w:id="22"/>
    <w:bookmarkStart w:id="33" w:name="key-literature-findings"/>
    <w:p>
      <w:pPr>
        <w:pStyle w:val="Heading2"/>
      </w:pPr>
      <w:r>
        <w:t xml:space="preserve">Key literature findings</w:t>
      </w:r>
    </w:p>
    <w:bookmarkStart w:id="23" w:name="Xaa48a3383dbb317aa56ed49af9ef72d79b6a3c9"/>
    <w:p>
      <w:pPr>
        <w:pStyle w:val="Heading3"/>
      </w:pPr>
      <w:r>
        <w:t xml:space="preserve">Hohle Fels → layer-level assignment (AH V Early; AH IV, III, II-series Evolved)</w:t>
      </w:r>
    </w:p>
    <w:p>
      <w:pPr>
        <w:pStyle w:val="FirstParagraph"/>
      </w:pPr>
      <w:r>
        <w:t xml:space="preserve">Hohle Fels is the only site in the dataset whose internal sequence warrants splitting the phase assignment at the layer level rather than treating the whole site as a single phase.</w:t>
      </w:r>
    </w:p>
    <w:p>
      <w:pPr>
        <w:numPr>
          <w:ilvl w:val="0"/>
          <w:numId w:val="1001"/>
        </w:numPr>
        <w:pStyle w:val="Compact"/>
      </w:pPr>
      <w:r>
        <w:t xml:space="preserve">[6]</w:t>
      </w:r>
      <w:r>
        <w:t xml:space="preserve"> </w:t>
      </w:r>
      <w:r>
        <w:t xml:space="preserve">: AH IV is a</w:t>
      </w:r>
      <w:r>
        <w:t xml:space="preserve"> </w:t>
      </w:r>
      <w:r>
        <w:t xml:space="preserve">“</w:t>
      </w:r>
      <w:r>
        <w:t xml:space="preserve">techno-functional facies of the Swabian Aurignacian</w:t>
      </w:r>
      <w:r>
        <w:t xml:space="preserve">”</w:t>
      </w:r>
      <w:r>
        <w:t xml:space="preserve"> </w:t>
      </w:r>
      <w:r>
        <w:t xml:space="preserve">with burin-core bladelet production; it shares features with the Early Aurignacian but is compositionally distinct from the underlying AH V assemblage, challenging the straightforward application of the Western European typo-chronological system to Central Europe.</w:t>
      </w:r>
    </w:p>
    <w:p>
      <w:pPr>
        <w:numPr>
          <w:ilvl w:val="0"/>
          <w:numId w:val="1001"/>
        </w:numPr>
        <w:pStyle w:val="Compact"/>
      </w:pPr>
      <w:r>
        <w:t xml:space="preserve">[7]</w:t>
      </w:r>
      <w:r>
        <w:t xml:space="preserve"> </w:t>
      </w:r>
      <w:r>
        <w:t xml:space="preserve">: AH IIIa and IV share similar tool/core assemblages typical of the Swabian Aurignacian, forming a coherent upper unit that contrasts with AH V.</w:t>
      </w:r>
    </w:p>
    <w:p>
      <w:pPr>
        <w:numPr>
          <w:ilvl w:val="0"/>
          <w:numId w:val="1001"/>
        </w:numPr>
        <w:pStyle w:val="Compact"/>
      </w:pPr>
      <w:r>
        <w:t xml:space="preserve">[8]</w:t>
      </w:r>
      <w:r>
        <w:t xml:space="preserve"> </w:t>
      </w:r>
      <w:r>
        <w:t xml:space="preserve">: Hohle Fels IV shows</w:t>
      </w:r>
      <w:r>
        <w:t xml:space="preserve"> </w:t>
      </w:r>
      <w:r>
        <w:t xml:space="preserve">“</w:t>
      </w:r>
      <w:r>
        <w:t xml:space="preserve">important similarities with the Western European Late Aurignacian</w:t>
      </w:r>
      <w:r>
        <w:t xml:space="preserve">”</w:t>
      </w:r>
      <w:r>
        <w:t xml:space="preserve">; its radiocarbon dates of 33–30 ka uncal BP are not older than those of the Western European Late Aurignacian. This is the direct basis for placing AH IV and the overlying III and II-series layers in Aur-P2 (Evolved/Late).</w:t>
      </w:r>
    </w:p>
    <w:p>
      <w:pPr>
        <w:numPr>
          <w:ilvl w:val="0"/>
          <w:numId w:val="1001"/>
        </w:numPr>
        <w:pStyle w:val="Compact"/>
      </w:pPr>
      <w:r>
        <w:t xml:space="preserve">AH V (Va, Vaa, Vab, Vb) is the earlier Aurignacian unit at Hohle Fels and is retained in Aur-P1 (Early Aurignacian); its calibrated median dates (~39.7–43.3 ka BP) are consistent with that placement.</w:t>
      </w:r>
    </w:p>
    <w:p>
      <w:pPr>
        <w:numPr>
          <w:ilvl w:val="0"/>
          <w:numId w:val="1001"/>
        </w:numPr>
        <w:pStyle w:val="Compact"/>
      </w:pPr>
      <w:r>
        <w:t xml:space="preserve">The single object recorded from the mixed layer</w:t>
      </w:r>
      <w:r>
        <w:t xml:space="preserve"> </w:t>
      </w:r>
      <w:r>
        <w:t xml:space="preserve">“</w:t>
      </w:r>
      <w:r>
        <w:t xml:space="preserve">IIIa-V</w:t>
      </w:r>
      <w:r>
        <w:t xml:space="preserve">”</w:t>
      </w:r>
      <w:r>
        <w:t xml:space="preserve"> </w:t>
      </w:r>
      <w:r>
        <w:t xml:space="preserve">spans the whole Aurignacian sequence and is therefore excluded from the analysis, in line with the treatment of the mixed-assemblage sites Spy and El Castillo.</w:t>
      </w:r>
    </w:p>
    <w:bookmarkEnd w:id="23"/>
    <w:bookmarkStart w:id="24" w:name="X929d947406c212d8f968cd52856f51a1bb90040"/>
    <w:p>
      <w:pPr>
        <w:pStyle w:val="Heading3"/>
      </w:pPr>
      <w:r>
        <w:t xml:space="preserve">Geissenklösterle → Early Aurignacian (Aur-P1)</w:t>
      </w:r>
    </w:p>
    <w:p>
      <w:pPr>
        <w:numPr>
          <w:ilvl w:val="0"/>
          <w:numId w:val="1002"/>
        </w:numPr>
        <w:pStyle w:val="Compact"/>
      </w:pPr>
      <w:r>
        <w:t xml:space="preserve">[6]</w:t>
      </w:r>
      <w:r>
        <w:t xml:space="preserve"> </w:t>
      </w:r>
      <w:r>
        <w:t xml:space="preserve">: The Geissenklösterle Aurignacian (AH III and II) is assigned to the Early Aurignacian on technological grounds.</w:t>
      </w:r>
    </w:p>
    <w:p>
      <w:pPr>
        <w:numPr>
          <w:ilvl w:val="0"/>
          <w:numId w:val="1002"/>
        </w:numPr>
        <w:pStyle w:val="Compact"/>
      </w:pPr>
      <w:r>
        <w:t xml:space="preserve">[12]</w:t>
      </w:r>
      <w:r>
        <w:t xml:space="preserve"> </w:t>
      </w:r>
      <w:r>
        <w:t xml:space="preserve">: Radiocarbon chronology of Geißenklösterle provides the direct dating basis for this assignment.</w:t>
      </w:r>
    </w:p>
    <w:p>
      <w:pPr>
        <w:numPr>
          <w:ilvl w:val="0"/>
          <w:numId w:val="1002"/>
        </w:numPr>
        <w:pStyle w:val="Compact"/>
      </w:pPr>
      <w:r>
        <w:t xml:space="preserve">Both Geissenklösterle layers remain in Aur-P1: the calibrated median dates of the SignBase radiocarbon determinations for AH II (~40.7 ka BP) and AH III (~42.7 ka BP) fall within the Aur-P1 range, so the technology- and date-based assignments agree for this site. A reassessment [places AH III later (~33–35 ka BP)</w:t>
      </w:r>
      <w:r>
        <w:t xml:space="preserve"> </w:t>
      </w:r>
      <w:r>
        <w:t xml:space="preserve">[13]</w:t>
      </w:r>
      <w:r>
        <w:t xml:space="preserve">, but this conflicts with the site’s own radiocarbon chronology and is not adopted here; the weight of the technological and stratigraphic evidence keeps both layers in Aur-P1.</w:t>
      </w:r>
    </w:p>
    <w:bookmarkEnd w:id="24"/>
    <w:bookmarkStart w:id="25" w:name="Xeaab8167c3763f4e7d6b9af5f079d3bf695d673"/>
    <w:p>
      <w:pPr>
        <w:pStyle w:val="Heading3"/>
      </w:pPr>
      <w:r>
        <w:t xml:space="preserve">Vogelherd → Early Aurignacian (Aur-P1, site-level)</w:t>
      </w:r>
    </w:p>
    <w:p>
      <w:pPr>
        <w:pStyle w:val="FirstParagraph"/>
      </w:pPr>
      <w:r>
        <w:t xml:space="preserve">Vogelherd is kept as a single site-level Aur-P1 unit rather than split by layer: unlike Hohle Fels, its documented mixing is</w:t>
      </w:r>
      <w:r>
        <w:t xml:space="preserve"> </w:t>
      </w:r>
      <w:r>
        <w:rPr>
          <w:iCs/>
          <w:i/>
        </w:rPr>
        <w:t xml:space="preserve">between</w:t>
      </w:r>
      <w:r>
        <w:t xml:space="preserve"> </w:t>
      </w:r>
      <w:r>
        <w:t xml:space="preserve">the Aurignacian and other technocomplexes (Gravettian, Magdalenian), not between Aur-P1 and Aur-P2 Aurignacian facies, so no layer-level phase boundary can be drawn from the published reassessments. The mixing concern is instead addressed directly in Supplement S8 Analysis B (exclusion of Vogelherd).</w:t>
      </w:r>
    </w:p>
    <w:p>
      <w:pPr>
        <w:numPr>
          <w:ilvl w:val="0"/>
          <w:numId w:val="1003"/>
        </w:numPr>
        <w:pStyle w:val="Compact"/>
      </w:pPr>
      <w:r>
        <w:t xml:space="preserve">[11]</w:t>
      </w:r>
      <w:r>
        <w:t xml:space="preserve"> </w:t>
      </w:r>
      <w:r>
        <w:t xml:space="preserve">: Reassesses cultural stratigraphy; AH IV–V are Aurignacian but with severe mixing (38 refit connections between layers); 15 radiocarbon dates span 42–34.5 ka BP (calibrated); Gravettian also present.</w:t>
      </w:r>
    </w:p>
    <w:p>
      <w:pPr>
        <w:numPr>
          <w:ilvl w:val="0"/>
          <w:numId w:val="1003"/>
        </w:numPr>
        <w:pStyle w:val="Compact"/>
      </w:pPr>
      <w:r>
        <w:t xml:space="preserve">[14]</w:t>
      </w:r>
      <w:r>
        <w:t xml:space="preserve"> </w:t>
      </w:r>
      <w:r>
        <w:t xml:space="preserve">: Blade/bladelet production analysis; mixing documented but majority of artifacts are Aurignacian.</w:t>
      </w:r>
    </w:p>
    <w:p>
      <w:pPr>
        <w:numPr>
          <w:ilvl w:val="0"/>
          <w:numId w:val="1003"/>
        </w:numPr>
        <w:pStyle w:val="Compact"/>
      </w:pPr>
      <w:r>
        <w:t xml:space="preserve">Original dating of Vogelherd Aurignacian to 41–35 ka BP (calibrated).</w:t>
      </w:r>
    </w:p>
    <w:bookmarkEnd w:id="25"/>
    <w:bookmarkStart w:id="26" w:name="fumane-protoaurignacian"/>
    <w:p>
      <w:pPr>
        <w:pStyle w:val="Heading3"/>
      </w:pPr>
      <w:r>
        <w:t xml:space="preserve">Fumane → Protoaurignacian</w:t>
      </w:r>
    </w:p>
    <w:p>
      <w:pPr>
        <w:numPr>
          <w:ilvl w:val="0"/>
          <w:numId w:val="1004"/>
        </w:numPr>
        <w:pStyle w:val="Compact"/>
      </w:pPr>
      <w:r>
        <w:t xml:space="preserve">[3]</w:t>
      </w:r>
      <w:r>
        <w:t xml:space="preserve"> </w:t>
      </w:r>
      <w:r>
        <w:t xml:space="preserve">: Protoaurignacian techno-typology persists throughout sequence at Fumane (A2-A1 through D3).</w:t>
      </w:r>
    </w:p>
    <w:p>
      <w:pPr>
        <w:numPr>
          <w:ilvl w:val="0"/>
          <w:numId w:val="1004"/>
        </w:numPr>
        <w:pStyle w:val="Compact"/>
      </w:pPr>
      <w:r>
        <w:t xml:space="preserve">[4]</w:t>
      </w:r>
      <w:r>
        <w:t xml:space="preserve"> </w:t>
      </w:r>
      <w:r>
        <w:t xml:space="preserve">:</w:t>
      </w:r>
      <w:r>
        <w:t xml:space="preserve"> </w:t>
      </w:r>
      <w:r>
        <w:t xml:space="preserve">“</w:t>
      </w:r>
      <w:r>
        <w:t xml:space="preserve">Features of the Protoaurignacian techno-typology are present throughout the stratigraphic sequence.</w:t>
      </w:r>
      <w:r>
        <w:t xml:space="preserve">”</w:t>
      </w:r>
    </w:p>
    <w:bookmarkEnd w:id="26"/>
    <w:bookmarkStart w:id="27" w:name="la-ferrassie-early-aurignacian"/>
    <w:p>
      <w:pPr>
        <w:pStyle w:val="Heading3"/>
      </w:pPr>
      <w:r>
        <w:t xml:space="preserve">La Ferrassie → Early Aurignacian</w:t>
      </w:r>
    </w:p>
    <w:p>
      <w:pPr>
        <w:numPr>
          <w:ilvl w:val="0"/>
          <w:numId w:val="1005"/>
        </w:numPr>
        <w:pStyle w:val="Compact"/>
      </w:pPr>
      <w:r>
        <w:t xml:space="preserve">[9]</w:t>
      </w:r>
      <w:r>
        <w:t xml:space="preserve"> </w:t>
      </w:r>
      <w:r>
        <w:t xml:space="preserve">: Technological attribution places La Ferrassie in the Early Aurignacian.</w:t>
      </w:r>
    </w:p>
    <w:bookmarkEnd w:id="27"/>
    <w:bookmarkStart w:id="28" w:name="abri-pataud-early-aurignacian"/>
    <w:p>
      <w:pPr>
        <w:pStyle w:val="Heading3"/>
      </w:pPr>
      <w:r>
        <w:t xml:space="preserve">Abri Pataud → Early Aurignacian</w:t>
      </w:r>
    </w:p>
    <w:p>
      <w:pPr>
        <w:numPr>
          <w:ilvl w:val="0"/>
          <w:numId w:val="1006"/>
        </w:numPr>
        <w:pStyle w:val="Compact"/>
      </w:pPr>
      <w:r>
        <w:t xml:space="preserve">[1]</w:t>
      </w:r>
      <w:r>
        <w:t xml:space="preserve"> </w:t>
      </w:r>
      <w:r>
        <w:t xml:space="preserve">: Technological analysis assigns Abri Pataud to the Early Aurignacian.</w:t>
      </w:r>
    </w:p>
    <w:p>
      <w:pPr>
        <w:numPr>
          <w:ilvl w:val="0"/>
          <w:numId w:val="1006"/>
        </w:numPr>
        <w:pStyle w:val="Compact"/>
      </w:pPr>
      <w:r>
        <w:t xml:space="preserve">[2]</w:t>
      </w:r>
      <w:r>
        <w:t xml:space="preserve"> </w:t>
      </w:r>
      <w:r>
        <w:t xml:space="preserve">: Radiocarbon dating supports Early Aurignacian placement.</w:t>
      </w:r>
    </w:p>
    <w:bookmarkEnd w:id="28"/>
    <w:bookmarkStart w:id="29" w:name="mladeč-evolved-aurignacian"/>
    <w:p>
      <w:pPr>
        <w:pStyle w:val="Heading3"/>
      </w:pPr>
      <w:r>
        <w:t xml:space="preserve">Mladeč → Evolved Aurignacian</w:t>
      </w:r>
    </w:p>
    <w:p>
      <w:pPr>
        <w:numPr>
          <w:ilvl w:val="0"/>
          <w:numId w:val="1007"/>
        </w:numPr>
        <w:pStyle w:val="Compact"/>
      </w:pPr>
      <w:r>
        <w:t xml:space="preserve">[10]</w:t>
      </w:r>
      <w:r>
        <w:t xml:space="preserve"> </w:t>
      </w:r>
      <w:r>
        <w:t xml:space="preserve">: Technological and typological analysis assigns Mladeč to the Evolved Aurignacian.</w:t>
      </w:r>
    </w:p>
    <w:p>
      <w:pPr>
        <w:numPr>
          <w:ilvl w:val="0"/>
          <w:numId w:val="1007"/>
        </w:numPr>
        <w:pStyle w:val="Compact"/>
      </w:pPr>
      <w:r>
        <w:t xml:space="preserve">[15]</w:t>
      </w:r>
      <w:r>
        <w:t xml:space="preserve"> </w:t>
      </w:r>
      <w:r>
        <w:t xml:space="preserve">: Direct AMS dates of ~31 ka ¹⁴C BP (~35–36 ka cal BP) support an Evolved Aurignacian attribution.</w:t>
      </w:r>
    </w:p>
    <w:bookmarkEnd w:id="29"/>
    <w:bookmarkStart w:id="30" w:name="spy-excluded"/>
    <w:p>
      <w:pPr>
        <w:pStyle w:val="Heading3"/>
      </w:pPr>
      <w:r>
        <w:t xml:space="preserve">Spy → Excluded</w:t>
      </w:r>
    </w:p>
    <w:p>
      <w:pPr>
        <w:numPr>
          <w:ilvl w:val="0"/>
          <w:numId w:val="1008"/>
        </w:numPr>
        <w:pStyle w:val="Compact"/>
      </w:pPr>
      <w:r>
        <w:t xml:space="preserve">[16]</w:t>
      </w:r>
      <w:r>
        <w:t xml:space="preserve"> </w:t>
      </w:r>
      <w:r>
        <w:t xml:space="preserve">: The Spy Aurignacian assemblage exhibits features of both Early and Late Aurignacian phases. Split-based osseous points suggest Early Aurignacian; small curved bladelets from nosed endscrapers, burins busqués, and Vachons burins suggest Late Aurignacian.</w:t>
      </w:r>
    </w:p>
    <w:p>
      <w:pPr>
        <w:numPr>
          <w:ilvl w:val="0"/>
          <w:numId w:val="1008"/>
        </w:numPr>
        <w:pStyle w:val="Compact"/>
      </w:pPr>
      <w:r>
        <w:t xml:space="preserve">[17]</w:t>
      </w:r>
      <w:r>
        <w:t xml:space="preserve"> </w:t>
      </w:r>
      <w:r>
        <w:t xml:space="preserve">: The Aurignacian at Spy is a mixed assemblage containing a small Early Aurignacian component and several Late Aurignacian components. The earliest convincing Aurignacian date in the region is about 33,000–32,000 BP.</w:t>
      </w:r>
    </w:p>
    <w:p>
      <w:pPr>
        <w:numPr>
          <w:ilvl w:val="0"/>
          <w:numId w:val="1008"/>
        </w:numPr>
        <w:pStyle w:val="Compact"/>
      </w:pPr>
      <w:r>
        <w:t xml:space="preserve">[18]</w:t>
      </w:r>
      <w:r>
        <w:t xml:space="preserve"> </w:t>
      </w:r>
      <w:r>
        <w:t xml:space="preserve">: The Spy Neandertals date to ~36,000 BP, associated with the Lincombian-Ranisian-Jerzmanowician (LRJ). The LRJ and Aurignacian are mixed in the</w:t>
      </w:r>
      <w:r>
        <w:t xml:space="preserve"> </w:t>
      </w:r>
      <w:r>
        <w:t xml:space="preserve">“</w:t>
      </w:r>
      <w:r>
        <w:t xml:space="preserve">deuxième niveau ossifère.</w:t>
      </w:r>
      <w:r>
        <w:t xml:space="preserve">”</w:t>
      </w:r>
    </w:p>
    <w:p>
      <w:pPr>
        <w:numPr>
          <w:ilvl w:val="0"/>
          <w:numId w:val="1008"/>
        </w:numPr>
        <w:pStyle w:val="Compact"/>
      </w:pPr>
      <w:r>
        <w:t xml:space="preserve">The site is heavily mixed: Multiple excavations (1885–1886, 1903–1904, 1952–1960s) with inconsistent methods. The</w:t>
      </w:r>
      <w:r>
        <w:t xml:space="preserve"> </w:t>
      </w:r>
      <w:r>
        <w:t xml:space="preserve">“</w:t>
      </w:r>
      <w:r>
        <w:t xml:space="preserve">deuxième niveau ossifère</w:t>
      </w:r>
      <w:r>
        <w:t xml:space="preserve">”</w:t>
      </w:r>
      <w:r>
        <w:t xml:space="preserve"> </w:t>
      </w:r>
      <w:r>
        <w:t xml:space="preserve">contains Mousterian, LRJ, and Aurignacian materials mixed together.</w:t>
      </w:r>
    </w:p>
    <w:bookmarkEnd w:id="30"/>
    <w:bookmarkStart w:id="31" w:name="gatzarria-proto-aurignacian"/>
    <w:p>
      <w:pPr>
        <w:pStyle w:val="Heading3"/>
      </w:pPr>
      <w:r>
        <w:t xml:space="preserve">Gatzarria → Proto-Aurignacian</w:t>
      </w:r>
    </w:p>
    <w:p>
      <w:pPr>
        <w:numPr>
          <w:ilvl w:val="0"/>
          <w:numId w:val="1009"/>
        </w:numPr>
        <w:pStyle w:val="Compact"/>
      </w:pPr>
      <w:r>
        <w:t xml:space="preserve">[5]</w:t>
      </w:r>
      <w:r>
        <w:t xml:space="preserve"> </w:t>
      </w:r>
      <w:r>
        <w:t xml:space="preserve">: Layer Cjn2 is a Proto-Aurignacian —</w:t>
      </w:r>
      <w:r>
        <w:t xml:space="preserve"> </w:t>
      </w:r>
      <w:r>
        <w:t xml:space="preserve">“</w:t>
      </w:r>
      <w:r>
        <w:t xml:space="preserve">fits completely within the definition and characterization of the Proto-Aurignacian</w:t>
      </w:r>
      <w:r>
        <w:t xml:space="preserve">”</w:t>
      </w:r>
      <w:r>
        <w:t xml:space="preserve"> </w:t>
      </w:r>
      <w:r>
        <w:t xml:space="preserve">with exclusive blade/bladelet production and Dufour bladelets (sub-type Dufour). Layer Cjn1 may be mixed with Cjn2 and Cbf (Classic Aurignacian). The back of the cave is mixed, but the front zone (</w:t>
      </w:r>
      <w:r>
        <w:t xml:space="preserve">“</w:t>
      </w:r>
      <w:r>
        <w:t xml:space="preserve">sampled set</w:t>
      </w:r>
      <w:r>
        <w:t xml:space="preserve">”</w:t>
      </w:r>
      <w:r>
        <w:t xml:space="preserve">) is internally coherent; refitting confirms minimal vertical displacement.</w:t>
      </w:r>
    </w:p>
    <w:p>
      <w:pPr>
        <w:numPr>
          <w:ilvl w:val="0"/>
          <w:numId w:val="1009"/>
        </w:numPr>
        <w:pStyle w:val="Compact"/>
      </w:pPr>
      <w:r>
        <w:t xml:space="preserve">[19]</w:t>
      </w:r>
      <w:r>
        <w:t xml:space="preserve"> </w:t>
      </w:r>
      <w:r>
        <w:t xml:space="preserve">: Confirms complex stratigraphy and mixing concerns, but notes Cjn2 is internally coherent in the anterior zone.</w:t>
      </w:r>
    </w:p>
    <w:bookmarkEnd w:id="31"/>
    <w:bookmarkStart w:id="32" w:name="el-castillo-excluded"/>
    <w:p>
      <w:pPr>
        <w:pStyle w:val="Heading3"/>
      </w:pPr>
      <w:r>
        <w:t xml:space="preserve">El Castillo → Excluded</w:t>
      </w:r>
    </w:p>
    <w:p>
      <w:pPr>
        <w:numPr>
          <w:ilvl w:val="0"/>
          <w:numId w:val="1010"/>
        </w:numPr>
        <w:pStyle w:val="Compact"/>
      </w:pPr>
      <w:r>
        <w:t xml:space="preserve">Mixed/contaminated layers preclude reliable phase assignment.</w:t>
      </w:r>
    </w:p>
    <w:bookmarkEnd w:id="32"/>
    <w:bookmarkEnd w:id="33"/>
    <w:bookmarkStart w:id="46" w:name="site-status-table"/>
    <w:p>
      <w:pPr>
        <w:pStyle w:val="Heading2"/>
      </w:pPr>
      <w:r>
        <w:t xml:space="preserve">Site status table</w:t>
      </w:r>
    </w:p>
    <w:p>
      <w:pPr>
        <w:pStyle w:val="FirstParagraph"/>
      </w:pPr>
      <w:r>
        <w:rPr>
          <w:rStyle w:val="VerbatimChar"/>
        </w:rPr>
        <w:t xml:space="preserve">signBase_Version1.0.csv</w:t>
      </w:r>
      <w:r>
        <w:t xml:space="preserve"> </w:t>
      </w:r>
      <w:r>
        <w:t xml:space="preserve">contains</w:t>
      </w:r>
      <w:r>
        <w:t xml:space="preserve"> </w:t>
      </w:r>
      <w:r>
        <w:rPr>
          <w:bCs/>
          <w:b/>
        </w:rPr>
        <w:t xml:space="preserve">531 objects distributed across 65 sites</w:t>
      </w:r>
      <w:r>
        <w:t xml:space="preserve">. 15 objects from 13 sites carry no geometric signs and are excluded upstream. A further eight sites are removed from the sample before phase assignment (Willendorf; Muralovka, Shanidar Cave and Hayonim Cave for geographic isolation; El Salitre for lack of a reliable chronological context; Riparo di Fontana Nuova and Grotte De La Princesse Pauline, and Šandalja II as later or peripheral). After phase reclassification and the exclusion of the two mixed-assemblage sites Spy and El Castillo, the analysed sample retains</w:t>
      </w:r>
      <w:r>
        <w:t xml:space="preserve"> </w:t>
      </w:r>
      <w:r>
        <w:rPr>
          <w:bCs/>
          <w:b/>
        </w:rPr>
        <w:t xml:space="preserve">28 sites carrying 409 objects across 7 countries</w:t>
      </w:r>
      <w:r>
        <w:t xml:space="preserve">: Aur-P1 (Proto/Early) has 20 sites and 346 objects, Aur-P2 (Evolved/Late) has 9 sites and 63 objects.</w:t>
      </w:r>
    </w:p>
    <w:p>
      <w:pPr>
        <w:pStyle w:val="TableCaption"/>
      </w:pPr>
      <w:r>
        <w:t xml:space="preserve">Sites and object counts after phase reclassification (Aur-P1 = Proto/Early, Aur-P2 = Evolved/Late).</w:t>
      </w:r>
    </w:p>
    <w:tbl>
      <w:tblPr>
        <w:tblStyle w:val="Table"/>
        <w:tblW w:type="auto" w:w="0"/>
        <w:tblLook w:firstRow="1" w:lastRow="0" w:firstColumn="0" w:lastColumn="0" w:noHBand="0" w:noVBand="0" w:val="0020"/>
        <w:jc w:val="start"/>
        <w:tblCaption w:val="Sites and object counts after phase reclassification (Aur-P1 = Proto/Early, Aur-P2 = Evolved/Late)."/>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Phase</w:t>
            </w:r>
          </w:p>
        </w:tc>
        <w:tc>
          <w:tcPr/>
          <w:p>
            <w:pPr>
              <w:pStyle w:val="Compact"/>
              <w:jc w:val="right"/>
            </w:pPr>
            <w:r>
              <w:t xml:space="preserve">Objects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r>
    </w:tbl>
    <w:bookmarkStart w:id="35" w:name="X2806760d9dbc8bdb45d251bcf5a3a592ba28839"/>
    <w:p>
      <w:pPr>
        <w:pStyle w:val="Heading3"/>
      </w:pPr>
      <w:r>
        <w:t xml:space="preserve">Aur-P1 (Proto/Early) — technology-based assignment</w:t>
      </w:r>
    </w:p>
    <w:p>
      <w:pPr>
        <w:pStyle w:val="FirstParagraph"/>
      </w:pPr>
      <w:r>
        <w:t xml:space="preserve">Sites placed in Aur-P1 on the basis of specialist technological attributions rather than radiocarbon dates alone.</w:t>
      </w:r>
    </w:p>
    <w:tbl>
      <w:tblPr>
        <w:tblStyle w:val="Table"/>
        <w:tblW w:type="pct" w:w="5000"/>
        <w:tblLook w:firstRow="0" w:lastRow="0" w:firstColumn="0" w:lastColumn="0" w:noHBand="0" w:noVBand="0" w:val="0000"/>
        <w:jc w:val="start"/>
        <w:tblLayout w:type="fixed"/>
      </w:tblPr>
      <w:tblGrid>
        <w:gridCol w:w="7920"/>
      </w:tblGrid>
      <w:tr>
        <w:tc>
          <w:tcPr/>
          <w:bookmarkStart w:id="34" w:name="tbl-tech-aurp1"/>
          <w:p>
            <w:pPr>
              <w:jc w:val="center"/>
            </w:pPr>
            <w:pPr>
              <w:jc w:val="start"/>
              <w:spacing w:before="200"/>
              <w:pStyle w:val="ImageCaption"/>
            </w:pPr>
            <w:r>
              <w:t xml:space="preserve">Table 1: Aur-P1 sites assigned by technology rather than radiocarbon date.</w:t>
            </w:r>
          </w:p>
          <w:tbl>
            <w:tblPr>
              <w:tblStyle w:val="Table"/>
              <w:tblW w:type="pct" w:w="5000"/>
              <w:tblLook w:firstRow="1" w:lastRow="0" w:firstColumn="0" w:lastColumn="0" w:noHBand="0" w:noVBand="0" w:val="0020"/>
              <w:jc w:val="start"/>
              <w:tblLayout w:type="fixed"/>
            </w:tblPr>
            <w:tblGrid>
              <w:gridCol w:w="663"/>
              <w:gridCol w:w="312"/>
              <w:gridCol w:w="694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Vogelherd</w:t>
                  </w:r>
                </w:p>
              </w:tc>
              <w:tc>
                <w:tcPr/>
                <w:p>
                  <w:pPr>
                    <w:pStyle w:val="Compact"/>
                    <w:jc w:val="right"/>
                    <w:jc w:val="center"/>
                  </w:pPr>
                  <w:r>
                    <w:t xml:space="preserve">173</w:t>
                  </w:r>
                </w:p>
              </w:tc>
              <w:tc>
                <w:tcPr/>
                <w:p>
                  <w:pPr>
                    <w:pStyle w:val="Compact"/>
                    <w:jc w:val="left"/>
                    <w:jc w:val="center"/>
                  </w:pPr>
                  <w:r>
                    <w:t xml:space="preserve">Early Aurignacian</w:t>
                  </w:r>
                  <w:r>
                    <w:t xml:space="preserve"> </w:t>
                  </w:r>
                  <w:r>
                    <w:t xml:space="preserve">[6,11]</w:t>
                  </w:r>
                </w:p>
              </w:tc>
            </w:tr>
            <w:tr>
              <w:tc>
                <w:tcPr/>
                <w:p>
                  <w:pPr>
                    <w:pStyle w:val="Compact"/>
                    <w:jc w:val="left"/>
                    <w:jc w:val="center"/>
                  </w:pPr>
                  <w:r>
                    <w:t xml:space="preserve">Geissenklösterle</w:t>
                  </w:r>
                </w:p>
              </w:tc>
              <w:tc>
                <w:tcPr/>
                <w:p>
                  <w:pPr>
                    <w:pStyle w:val="Compact"/>
                    <w:jc w:val="right"/>
                    <w:jc w:val="center"/>
                  </w:pPr>
                  <w:r>
                    <w:t xml:space="preserve">30</w:t>
                  </w:r>
                </w:p>
              </w:tc>
              <w:tc>
                <w:tcPr/>
                <w:p>
                  <w:pPr>
                    <w:pStyle w:val="Compact"/>
                    <w:jc w:val="left"/>
                    <w:jc w:val="center"/>
                  </w:pPr>
                  <w:r>
                    <w:t xml:space="preserve">Early Aurignacian</w:t>
                  </w:r>
                  <w:r>
                    <w:t xml:space="preserve"> </w:t>
                  </w:r>
                  <w:r>
                    <w:t xml:space="preserve">[6]</w:t>
                  </w:r>
                </w:p>
              </w:tc>
            </w:tr>
            <w:tr>
              <w:tc>
                <w:tcPr/>
                <w:p>
                  <w:pPr>
                    <w:pStyle w:val="Compact"/>
                    <w:jc w:val="left"/>
                    <w:jc w:val="center"/>
                  </w:pPr>
                  <w:r>
                    <w:t xml:space="preserve">La Ferrassie</w:t>
                  </w:r>
                </w:p>
              </w:tc>
              <w:tc>
                <w:tcPr/>
                <w:p>
                  <w:pPr>
                    <w:pStyle w:val="Compact"/>
                    <w:jc w:val="right"/>
                    <w:jc w:val="center"/>
                  </w:pPr>
                  <w:r>
                    <w:t xml:space="preserve">22</w:t>
                  </w:r>
                </w:p>
              </w:tc>
              <w:tc>
                <w:tcPr/>
                <w:p>
                  <w:pPr>
                    <w:pStyle w:val="Compact"/>
                    <w:jc w:val="left"/>
                    <w:jc w:val="center"/>
                  </w:pPr>
                  <w:r>
                    <w:t xml:space="preserve">Early Aurignacian</w:t>
                  </w:r>
                  <w:r>
                    <w:t xml:space="preserve"> </w:t>
                  </w:r>
                  <w:r>
                    <w:t xml:space="preserve">[9]</w:t>
                  </w:r>
                </w:p>
              </w:tc>
            </w:tr>
            <w:tr>
              <w:tc>
                <w:tcPr/>
                <w:p>
                  <w:pPr>
                    <w:pStyle w:val="Compact"/>
                    <w:jc w:val="left"/>
                    <w:jc w:val="center"/>
                  </w:pPr>
                  <w:r>
                    <w:t xml:space="preserve">Hohle Fels</w:t>
                  </w:r>
                </w:p>
              </w:tc>
              <w:tc>
                <w:tcPr/>
                <w:p>
                  <w:pPr>
                    <w:pStyle w:val="Compact"/>
                    <w:jc w:val="right"/>
                    <w:jc w:val="center"/>
                  </w:pPr>
                  <w:r>
                    <w:t xml:space="preserve">20</w:t>
                  </w:r>
                </w:p>
              </w:tc>
              <w:tc>
                <w:tcPr/>
                <w:p>
                  <w:pPr>
                    <w:pStyle w:val="Compact"/>
                    <w:jc w:val="left"/>
                    <w:jc w:val="center"/>
                  </w:pPr>
                  <w:r>
                    <w:t xml:space="preserve">Layer-level split: AH V Early Aurignacian (Aur-P1); AH IV, III and II-series Evolved/Late Aurignacian (Aur-P2)</w:t>
                  </w:r>
                  <w:r>
                    <w:t xml:space="preserve"> </w:t>
                  </w:r>
                  <w:r>
                    <w:t xml:space="preserve">[6–8]</w:t>
                  </w:r>
                </w:p>
              </w:tc>
            </w:tr>
            <w:tr>
              <w:tc>
                <w:tcPr/>
                <w:p>
                  <w:pPr>
                    <w:pStyle w:val="Compact"/>
                    <w:jc w:val="left"/>
                    <w:jc w:val="center"/>
                  </w:pPr>
                  <w:r>
                    <w:t xml:space="preserve">Abri Pataud</w:t>
                  </w:r>
                </w:p>
              </w:tc>
              <w:tc>
                <w:tcPr/>
                <w:p>
                  <w:pPr>
                    <w:pStyle w:val="Compact"/>
                    <w:jc w:val="right"/>
                    <w:jc w:val="center"/>
                  </w:pPr>
                  <w:r>
                    <w:t xml:space="preserve">3</w:t>
                  </w:r>
                </w:p>
              </w:tc>
              <w:tc>
                <w:tcPr/>
                <w:p>
                  <w:pPr>
                    <w:pStyle w:val="Compact"/>
                    <w:jc w:val="left"/>
                    <w:jc w:val="center"/>
                  </w:pPr>
                  <w:r>
                    <w:t xml:space="preserve">Early Aurignacian</w:t>
                  </w:r>
                  <w:r>
                    <w:t xml:space="preserve"> </w:t>
                  </w:r>
                  <w:r>
                    <w:t xml:space="preserve">[1,2]</w:t>
                  </w:r>
                </w:p>
              </w:tc>
            </w:tr>
            <w:tr>
              <w:tc>
                <w:tcPr/>
                <w:p>
                  <w:pPr>
                    <w:pStyle w:val="Compact"/>
                    <w:jc w:val="left"/>
                    <w:jc w:val="center"/>
                  </w:pPr>
                  <w:r>
                    <w:t xml:space="preserve">Gatzarria</w:t>
                  </w:r>
                </w:p>
              </w:tc>
              <w:tc>
                <w:tcPr/>
                <w:p>
                  <w:pPr>
                    <w:pStyle w:val="Compact"/>
                    <w:jc w:val="right"/>
                    <w:jc w:val="center"/>
                  </w:pPr>
                  <w:r>
                    <w:t xml:space="preserve">3</w:t>
                  </w:r>
                </w:p>
              </w:tc>
              <w:tc>
                <w:tcPr/>
                <w:p>
                  <w:pPr>
                    <w:pStyle w:val="Compact"/>
                    <w:jc w:val="left"/>
                    <w:jc w:val="center"/>
                  </w:pPr>
                  <w:r>
                    <w:t xml:space="preserve">Proto-Aurignacian, layer Cjn2</w:t>
                  </w:r>
                  <w:r>
                    <w:t xml:space="preserve"> </w:t>
                  </w:r>
                  <w:r>
                    <w:t xml:space="preserve">[5]</w:t>
                  </w:r>
                </w:p>
              </w:tc>
            </w:tr>
          </w:tbl>
          <w:bookmarkEnd w:id="34"/>
          <w:p/>
        </w:tc>
      </w:tr>
    </w:tbl>
    <w:bookmarkEnd w:id="35"/>
    <w:bookmarkStart w:id="37" w:name="X076eb53732cccd673d661c39585e38c9b7c9759"/>
    <w:p>
      <w:pPr>
        <w:pStyle w:val="Heading3"/>
      </w:pPr>
      <w:r>
        <w:t xml:space="preserve">Aur-P2 (Evolved/Late) — technology-based assignment</w:t>
      </w:r>
    </w:p>
    <w:tbl>
      <w:tblPr>
        <w:tblStyle w:val="Table"/>
        <w:tblW w:type="pct" w:w="5000"/>
        <w:tblLook w:firstRow="0" w:lastRow="0" w:firstColumn="0" w:lastColumn="0" w:noHBand="0" w:noVBand="0" w:val="0000"/>
        <w:jc w:val="start"/>
        <w:tblLayout w:type="fixed"/>
      </w:tblPr>
      <w:tblGrid>
        <w:gridCol w:w="7920"/>
      </w:tblGrid>
      <w:tr>
        <w:tc>
          <w:tcPr/>
          <w:bookmarkStart w:id="36" w:name="tbl-tech-aurp2"/>
          <w:p>
            <w:pPr>
              <w:jc w:val="center"/>
            </w:pPr>
            <w:pPr>
              <w:jc w:val="start"/>
              <w:spacing w:before="200"/>
              <w:pStyle w:val="ImageCaption"/>
            </w:pPr>
            <w:r>
              <w:t xml:space="preserve">Table 2: Aur-P2 sites assigned by technology rather than radiocarbon date.</w:t>
            </w:r>
          </w:p>
          <w:tbl>
            <w:tblPr>
              <w:tblStyle w:val="Table"/>
              <w:tblW w:type="pct" w:w="5000"/>
              <w:tblLook w:firstRow="1" w:lastRow="0" w:firstColumn="0" w:lastColumn="0" w:noHBand="0" w:noVBand="0" w:val="0020"/>
              <w:jc w:val="start"/>
              <w:tblLayout w:type="fixed"/>
            </w:tblPr>
            <w:tblGrid>
              <w:gridCol w:w="442"/>
              <w:gridCol w:w="321"/>
              <w:gridCol w:w="7156"/>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Hohle Fels</w:t>
                  </w:r>
                </w:p>
              </w:tc>
              <w:tc>
                <w:tcPr/>
                <w:p>
                  <w:pPr>
                    <w:pStyle w:val="Compact"/>
                    <w:jc w:val="right"/>
                    <w:jc w:val="center"/>
                  </w:pPr>
                  <w:r>
                    <w:t xml:space="preserve">29</w:t>
                  </w:r>
                </w:p>
              </w:tc>
              <w:tc>
                <w:tcPr/>
                <w:p>
                  <w:pPr>
                    <w:pStyle w:val="Compact"/>
                    <w:jc w:val="left"/>
                    <w:jc w:val="center"/>
                  </w:pPr>
                  <w:r>
                    <w:t xml:space="preserve">Layer-level split: AH V Early Aurignacian (Aur-P1); AH IV, III and II-series Evolved/Late Aurignacian (Aur-P2)</w:t>
                  </w:r>
                  <w:r>
                    <w:t xml:space="preserve"> </w:t>
                  </w:r>
                  <w:r>
                    <w:t xml:space="preserve">[6–8]</w:t>
                  </w:r>
                </w:p>
              </w:tc>
            </w:tr>
            <w:tr>
              <w:tc>
                <w:tcPr/>
                <w:p>
                  <w:pPr>
                    <w:pStyle w:val="Compact"/>
                    <w:jc w:val="left"/>
                    <w:jc w:val="center"/>
                  </w:pPr>
                  <w:r>
                    <w:t xml:space="preserve">Mladeč</w:t>
                  </w:r>
                </w:p>
              </w:tc>
              <w:tc>
                <w:tcPr/>
                <w:p>
                  <w:pPr>
                    <w:pStyle w:val="Compact"/>
                    <w:jc w:val="right"/>
                    <w:jc w:val="center"/>
                  </w:pPr>
                  <w:r>
                    <w:t xml:space="preserve">4</w:t>
                  </w:r>
                </w:p>
              </w:tc>
              <w:tc>
                <w:tcPr/>
                <w:p>
                  <w:pPr>
                    <w:pStyle w:val="Compact"/>
                    <w:jc w:val="left"/>
                    <w:jc w:val="center"/>
                  </w:pPr>
                  <w:r>
                    <w:t xml:space="preserve">Evolved Aurignacian</w:t>
                  </w:r>
                  <w:r>
                    <w:t xml:space="preserve"> </w:t>
                  </w:r>
                  <w:r>
                    <w:t xml:space="preserve">[10]</w:t>
                  </w:r>
                </w:p>
              </w:tc>
            </w:tr>
          </w:tbl>
          <w:bookmarkEnd w:id="36"/>
          <w:p/>
        </w:tc>
      </w:tr>
    </w:tbl>
    <w:bookmarkEnd w:id="37"/>
    <w:bookmarkStart w:id="39" w:name="excluded-due-to-mixing"/>
    <w:p>
      <w:pPr>
        <w:pStyle w:val="Heading3"/>
      </w:pPr>
      <w:r>
        <w:t xml:space="preserve">Excluded due to mixing</w:t>
      </w:r>
    </w:p>
    <w:tbl>
      <w:tblPr>
        <w:tblStyle w:val="Table"/>
        <w:tblW w:type="pct" w:w="5000"/>
        <w:tblLook w:firstRow="0" w:lastRow="0" w:firstColumn="0" w:lastColumn="0" w:noHBand="0" w:noVBand="0" w:val="0000"/>
        <w:jc w:val="start"/>
        <w:tblLayout w:type="fixed"/>
      </w:tblPr>
      <w:tblGrid>
        <w:gridCol w:w="7920"/>
      </w:tblGrid>
      <w:tr>
        <w:tc>
          <w:tcPr/>
          <w:bookmarkStart w:id="38" w:name="tbl-excluded"/>
          <w:p>
            <w:pPr>
              <w:jc w:val="center"/>
            </w:pPr>
            <w:pPr>
              <w:jc w:val="start"/>
              <w:spacing w:before="200"/>
              <w:pStyle w:val="ImageCaption"/>
            </w:pPr>
            <w:r>
              <w:t xml:space="preserve">Table 3: Sites excluded from the analysis because of mixed/contaminated assemblages.</w:t>
            </w:r>
          </w:p>
          <w:tbl>
            <w:tblPr>
              <w:tblStyle w:val="Table"/>
              <w:tblW w:type="pct" w:w="5000"/>
              <w:tblLook w:firstRow="1" w:lastRow="0" w:firstColumn="0" w:lastColumn="0" w:noHBand="0" w:noVBand="0" w:val="0020"/>
              <w:jc w:val="start"/>
              <w:tblLayout w:type="fixed"/>
            </w:tblPr>
            <w:tblGrid>
              <w:gridCol w:w="779"/>
              <w:gridCol w:w="519"/>
              <w:gridCol w:w="6621"/>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El Castillo</w:t>
                  </w:r>
                </w:p>
              </w:tc>
              <w:tc>
                <w:tcPr/>
                <w:p>
                  <w:pPr>
                    <w:pStyle w:val="Compact"/>
                    <w:jc w:val="right"/>
                    <w:jc w:val="center"/>
                  </w:pPr>
                  <w:r>
                    <w:t xml:space="preserve">3</w:t>
                  </w:r>
                </w:p>
              </w:tc>
              <w:tc>
                <w:tcPr/>
                <w:p>
                  <w:pPr>
                    <w:pStyle w:val="Compact"/>
                    <w:jc w:val="left"/>
                    <w:jc w:val="center"/>
                  </w:pPr>
                  <w:r>
                    <w:t xml:space="preserve">Mixed/contaminated layers preclude reliable assignment</w:t>
                  </w:r>
                </w:p>
              </w:tc>
            </w:tr>
            <w:tr>
              <w:tc>
                <w:tcPr/>
                <w:p>
                  <w:pPr>
                    <w:pStyle w:val="Compact"/>
                    <w:jc w:val="left"/>
                    <w:jc w:val="center"/>
                  </w:pPr>
                  <w:r>
                    <w:t xml:space="preserve">Spy</w:t>
                  </w:r>
                </w:p>
              </w:tc>
              <w:tc>
                <w:tcPr/>
                <w:p>
                  <w:pPr>
                    <w:pStyle w:val="Compact"/>
                    <w:jc w:val="right"/>
                    <w:jc w:val="center"/>
                  </w:pPr>
                  <w:r>
                    <w:t xml:space="preserve">25</w:t>
                  </w:r>
                </w:p>
              </w:tc>
              <w:tc>
                <w:tcPr/>
                <w:p>
                  <w:pPr>
                    <w:pStyle w:val="Compact"/>
                    <w:jc w:val="left"/>
                    <w:jc w:val="center"/>
                  </w:pPr>
                  <w:r>
                    <w:t xml:space="preserve">Mixed assemblage, no single Proto-Aurignacian attribution</w:t>
                  </w:r>
                  <w:r>
                    <w:t xml:space="preserve"> </w:t>
                  </w:r>
                  <w:r>
                    <w:t xml:space="preserve">[16–18]</w:t>
                  </w:r>
                </w:p>
              </w:tc>
            </w:tr>
          </w:tbl>
          <w:bookmarkEnd w:id="38"/>
          <w:p/>
        </w:tc>
      </w:tr>
    </w:tbl>
    <w:bookmarkEnd w:id="39"/>
    <w:bookmarkStart w:id="41" w:name="aur-p1-protoearly-date-based-assignment"/>
    <w:p>
      <w:pPr>
        <w:pStyle w:val="Heading3"/>
      </w:pPr>
      <w:r>
        <w:t xml:space="preserve">Aur-P1 (Proto/Early)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(default case), which fall in Aur-P1 once the Proto/Early distinction is collapsed. Sites listed here are unchanged from a date-only assignment.</w:t>
      </w:r>
    </w:p>
    <w:tbl>
      <w:tblPr>
        <w:tblStyle w:val="Table"/>
        <w:tblW w:type="pct" w:w="5000"/>
        <w:tblLook w:firstRow="0" w:lastRow="0" w:firstColumn="0" w:lastColumn="0" w:noHBand="0" w:noVBand="0" w:val="0000"/>
        <w:jc w:val="start"/>
        <w:tblLayout w:type="fixed"/>
      </w:tblPr>
      <w:tblGrid>
        <w:gridCol w:w="7920"/>
      </w:tblGrid>
      <w:tr>
        <w:tc>
          <w:tcPr/>
          <w:bookmarkStart w:id="40" w:name="tbl-date-aurp1"/>
          <w:p>
            <w:pPr>
              <w:jc w:val="center"/>
            </w:pPr>
            <w:pPr>
              <w:jc w:val="start"/>
              <w:spacing w:before="200"/>
              <w:pStyle w:val="ImageCaption"/>
            </w:pPr>
            <w:r>
              <w:t xml:space="preserve">Table 4: Aur-P1 sites assigned by their calibrated radiocarbon date.</w:t>
            </w:r>
          </w:p>
          <w:tbl>
            <w:tblPr>
              <w:tblStyle w:val="Table"/>
              <w:tblW w:type="pct" w:w="5000"/>
              <w:tblLook w:firstRow="1" w:lastRow="0" w:firstColumn="0" w:lastColumn="0" w:noHBand="0" w:noVBand="0" w:val="0020"/>
              <w:jc w:val="start"/>
              <w:tblLayout w:type="fixed"/>
            </w:tblPr>
            <w:tblGrid>
              <w:gridCol w:w="1516"/>
              <w:gridCol w:w="449"/>
              <w:gridCol w:w="595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Cellier</w:t>
                  </w:r>
                </w:p>
              </w:tc>
              <w:tc>
                <w:tcPr/>
                <w:p>
                  <w:pPr>
                    <w:pStyle w:val="Compact"/>
                    <w:jc w:val="right"/>
                    <w:jc w:val="center"/>
                  </w:pPr>
                  <w:r>
                    <w:t xml:space="preserve">28</w:t>
                  </w:r>
                </w:p>
              </w:tc>
              <w:tc>
                <w:tcPr/>
                <w:p>
                  <w:pPr>
                    <w:pStyle w:val="Compact"/>
                    <w:jc w:val="left"/>
                    <w:jc w:val="center"/>
                  </w:pPr>
                  <w:r>
                    <w:t xml:space="preserve">MedianBP 37,799–39,799</w:t>
                  </w:r>
                </w:p>
              </w:tc>
            </w:tr>
            <w:tr>
              <w:tc>
                <w:tcPr/>
                <w:p>
                  <w:pPr>
                    <w:pStyle w:val="Compact"/>
                    <w:jc w:val="left"/>
                    <w:jc w:val="center"/>
                  </w:pPr>
                  <w:r>
                    <w:t xml:space="preserve">Castanet</w:t>
                  </w:r>
                </w:p>
              </w:tc>
              <w:tc>
                <w:tcPr/>
                <w:p>
                  <w:pPr>
                    <w:pStyle w:val="Compact"/>
                    <w:jc w:val="right"/>
                    <w:jc w:val="center"/>
                  </w:pPr>
                  <w:r>
                    <w:t xml:space="preserve">21</w:t>
                  </w:r>
                </w:p>
              </w:tc>
              <w:tc>
                <w:tcPr/>
                <w:p>
                  <w:pPr>
                    <w:pStyle w:val="Compact"/>
                    <w:jc w:val="left"/>
                    <w:jc w:val="center"/>
                  </w:pPr>
                  <w:r>
                    <w:t xml:space="preserve">MedianBP 37,799–39,799</w:t>
                  </w:r>
                </w:p>
              </w:tc>
            </w:tr>
            <w:tr>
              <w:tc>
                <w:tcPr/>
                <w:p>
                  <w:pPr>
                    <w:pStyle w:val="Compact"/>
                    <w:jc w:val="left"/>
                    <w:jc w:val="center"/>
                  </w:pPr>
                  <w:r>
                    <w:t xml:space="preserve">Blanchard</w:t>
                  </w:r>
                </w:p>
              </w:tc>
              <w:tc>
                <w:tcPr/>
                <w:p>
                  <w:pPr>
                    <w:pStyle w:val="Compact"/>
                    <w:jc w:val="right"/>
                    <w:jc w:val="center"/>
                  </w:pPr>
                  <w:r>
                    <w:t xml:space="preserve">18</w:t>
                  </w:r>
                </w:p>
              </w:tc>
              <w:tc>
                <w:tcPr/>
                <w:p>
                  <w:pPr>
                    <w:pStyle w:val="Compact"/>
                    <w:jc w:val="left"/>
                    <w:jc w:val="center"/>
                  </w:pPr>
                  <w:r>
                    <w:t xml:space="preserve">MedianBP 37,799–39,799</w:t>
                  </w:r>
                </w:p>
              </w:tc>
            </w:tr>
            <w:tr>
              <w:tc>
                <w:tcPr/>
                <w:p>
                  <w:pPr>
                    <w:pStyle w:val="Compact"/>
                    <w:jc w:val="left"/>
                    <w:jc w:val="center"/>
                  </w:pPr>
                  <w:r>
                    <w:t xml:space="preserve">Grotte du Renne</w:t>
                  </w:r>
                </w:p>
              </w:tc>
              <w:tc>
                <w:tcPr/>
                <w:p>
                  <w:pPr>
                    <w:pStyle w:val="Compact"/>
                    <w:jc w:val="right"/>
                    <w:jc w:val="center"/>
                  </w:pPr>
                  <w:r>
                    <w:t xml:space="preserve">7</w:t>
                  </w:r>
                </w:p>
              </w:tc>
              <w:tc>
                <w:tcPr/>
                <w:p>
                  <w:pPr>
                    <w:pStyle w:val="Compact"/>
                    <w:jc w:val="left"/>
                    <w:jc w:val="center"/>
                  </w:pPr>
                  <w:r>
                    <w:t xml:space="preserve">MedianBP &gt; 39,799</w:t>
                  </w:r>
                </w:p>
              </w:tc>
            </w:tr>
            <w:tr>
              <w:tc>
                <w:tcPr/>
                <w:p>
                  <w:pPr>
                    <w:pStyle w:val="Compact"/>
                    <w:jc w:val="left"/>
                    <w:jc w:val="center"/>
                  </w:pPr>
                  <w:r>
                    <w:t xml:space="preserve">Grotte de la Verpillière I</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Solutré</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Riparo Bombrini</w:t>
                  </w:r>
                </w:p>
              </w:tc>
              <w:tc>
                <w:tcPr/>
                <w:p>
                  <w:pPr>
                    <w:pStyle w:val="Compact"/>
                    <w:jc w:val="right"/>
                    <w:jc w:val="center"/>
                  </w:pPr>
                  <w:r>
                    <w:t xml:space="preserve">3</w:t>
                  </w:r>
                </w:p>
              </w:tc>
              <w:tc>
                <w:tcPr/>
                <w:p>
                  <w:pPr>
                    <w:pStyle w:val="Compact"/>
                    <w:jc w:val="left"/>
                    <w:jc w:val="center"/>
                  </w:pPr>
                  <w:r>
                    <w:t xml:space="preserve">MedianBP 37,799–39,799</w:t>
                  </w:r>
                </w:p>
              </w:tc>
            </w:tr>
            <w:tr>
              <w:tc>
                <w:tcPr/>
                <w:p>
                  <w:pPr>
                    <w:pStyle w:val="Compact"/>
                    <w:jc w:val="left"/>
                    <w:jc w:val="center"/>
                  </w:pPr>
                  <w:r>
                    <w:t xml:space="preserve">Hohlenstein-Stadel</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Labeko Koba</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Les Cottés</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left"/>
                    <w:jc w:val="center"/>
                  </w:pPr>
                  <w:r>
                    <w:t xml:space="preserve">MedianBP &gt; 39,799 (Protoaurignacian throughout sequence</w:t>
                  </w:r>
                  <w:r>
                    <w:t xml:space="preserve"> </w:t>
                  </w:r>
                  <w:r>
                    <w:t xml:space="preserve">[3,4]</w:t>
                  </w:r>
                  <w:r>
                    <w:t xml:space="preserve">)</w:t>
                  </w:r>
                </w:p>
              </w:tc>
            </w:tr>
            <w:tr>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left"/>
                    <w:jc w:val="center"/>
                  </w:pPr>
                  <w:r>
                    <w:t xml:space="preserve">MedianBP 37,799–39,799</w:t>
                  </w:r>
                </w:p>
              </w:tc>
            </w:tr>
            <w:tr>
              <w:tc>
                <w:tcPr/>
                <w:p>
                  <w:pPr>
                    <w:pStyle w:val="Compact"/>
                    <w:jc w:val="left"/>
                    <w:jc w:val="center"/>
                  </w:pPr>
                  <w:r>
                    <w:t xml:space="preserve">Pod Hradem</w:t>
                  </w:r>
                </w:p>
              </w:tc>
              <w:tc>
                <w:tcPr/>
                <w:p>
                  <w:pPr>
                    <w:pStyle w:val="Compact"/>
                    <w:jc w:val="right"/>
                    <w:jc w:val="center"/>
                  </w:pPr>
                  <w:r>
                    <w:t xml:space="preserve">1</w:t>
                  </w:r>
                </w:p>
              </w:tc>
              <w:tc>
                <w:tcPr/>
                <w:p>
                  <w:pPr>
                    <w:pStyle w:val="Compact"/>
                    <w:jc w:val="left"/>
                    <w:jc w:val="center"/>
                  </w:pPr>
                  <w:r>
                    <w:t xml:space="preserve">MedianBP &gt; 39,799</w:t>
                  </w:r>
                </w:p>
              </w:tc>
            </w:tr>
            <w:tr>
              <w:tc>
                <w:tcPr/>
                <w:p>
                  <w:pPr>
                    <w:pStyle w:val="Compact"/>
                    <w:jc w:val="left"/>
                    <w:jc w:val="center"/>
                  </w:pPr>
                  <w:r>
                    <w:t xml:space="preserve">Trou al’Wesse</w:t>
                  </w:r>
                </w:p>
              </w:tc>
              <w:tc>
                <w:tcPr/>
                <w:p>
                  <w:pPr>
                    <w:pStyle w:val="Compact"/>
                    <w:jc w:val="right"/>
                    <w:jc w:val="center"/>
                  </w:pPr>
                  <w:r>
                    <w:t xml:space="preserve">1</w:t>
                  </w:r>
                </w:p>
              </w:tc>
              <w:tc>
                <w:tcPr/>
                <w:p>
                  <w:pPr>
                    <w:pStyle w:val="Compact"/>
                    <w:jc w:val="left"/>
                    <w:jc w:val="center"/>
                  </w:pPr>
                  <w:r>
                    <w:t xml:space="preserve">MedianBP 37,799–39,799</w:t>
                  </w:r>
                </w:p>
              </w:tc>
            </w:tr>
          </w:tbl>
          <w:bookmarkEnd w:id="40"/>
          <w:p/>
        </w:tc>
      </w:tr>
    </w:tbl>
    <w:bookmarkEnd w:id="41"/>
    <w:bookmarkStart w:id="43" w:name="aur-p2-evolvedlate-date-based-assignment"/>
    <w:p>
      <w:pPr>
        <w:pStyle w:val="Heading3"/>
      </w:pPr>
      <w:r>
        <w:t xml:space="preserve">Aur-P2 (Evolved/Late) — date-based assignment</w:t>
      </w:r>
    </w:p>
    <w:tbl>
      <w:tblPr>
        <w:tblStyle w:val="Table"/>
        <w:tblW w:type="pct" w:w="5000"/>
        <w:tblLook w:firstRow="0" w:lastRow="0" w:firstColumn="0" w:lastColumn="0" w:noHBand="0" w:noVBand="0" w:val="0000"/>
        <w:jc w:val="start"/>
        <w:tblLayout w:type="fixed"/>
      </w:tblPr>
      <w:tblGrid>
        <w:gridCol w:w="7920"/>
      </w:tblGrid>
      <w:tr>
        <w:tc>
          <w:tcPr/>
          <w:bookmarkStart w:id="42" w:name="tbl-date-aurp2"/>
          <w:p>
            <w:pPr>
              <w:jc w:val="center"/>
            </w:pPr>
            <w:pPr>
              <w:jc w:val="start"/>
              <w:spacing w:before="200"/>
              <w:pStyle w:val="ImageCaption"/>
            </w:pPr>
            <w:r>
              <w:t xml:space="preserve">Table 5: Aur-P2 sites assigned by their calibrated radiocarbon date.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Trou Magrite</w:t>
                  </w:r>
                </w:p>
              </w:tc>
              <w:tc>
                <w:tcPr/>
                <w:p>
                  <w:pPr>
                    <w:pStyle w:val="Compact"/>
                    <w:jc w:val="right"/>
                    <w:jc w:val="center"/>
                  </w:pPr>
                  <w:r>
                    <w:t xml:space="preserve">12</w:t>
                  </w:r>
                </w:p>
              </w:tc>
              <w:tc>
                <w:tcPr/>
                <w:p>
                  <w:pPr>
                    <w:pStyle w:val="Compact"/>
                    <w:jc w:val="left"/>
                    <w:jc w:val="center"/>
                  </w:pPr>
                  <w:r>
                    <w:t xml:space="preserve">MedianBP 31,999–37,799</w:t>
                  </w:r>
                </w:p>
              </w:tc>
            </w:tr>
            <w:tr>
              <w:tc>
                <w:tcPr/>
                <w:p>
                  <w:pPr>
                    <w:pStyle w:val="Compact"/>
                    <w:jc w:val="left"/>
                    <w:jc w:val="center"/>
                  </w:pPr>
                  <w:r>
                    <w:t xml:space="preserve">Gargas</w:t>
                  </w:r>
                </w:p>
              </w:tc>
              <w:tc>
                <w:tcPr/>
                <w:p>
                  <w:pPr>
                    <w:pStyle w:val="Compact"/>
                    <w:jc w:val="right"/>
                    <w:jc w:val="center"/>
                  </w:pPr>
                  <w:r>
                    <w:t xml:space="preserve">11</w:t>
                  </w:r>
                </w:p>
              </w:tc>
              <w:tc>
                <w:tcPr/>
                <w:p>
                  <w:pPr>
                    <w:pStyle w:val="Compact"/>
                    <w:jc w:val="left"/>
                    <w:jc w:val="center"/>
                  </w:pPr>
                  <w:r>
                    <w:t xml:space="preserve">MedianBP 31,999–37,799</w:t>
                  </w:r>
                </w:p>
              </w:tc>
            </w:tr>
            <w:tr>
              <w:tc>
                <w:tcPr/>
                <w:p>
                  <w:pPr>
                    <w:pStyle w:val="Compact"/>
                    <w:jc w:val="left"/>
                    <w:jc w:val="center"/>
                  </w:pPr>
                  <w:r>
                    <w:t xml:space="preserve">Bockstein-Törle</w:t>
                  </w:r>
                </w:p>
              </w:tc>
              <w:tc>
                <w:tcPr/>
                <w:p>
                  <w:pPr>
                    <w:pStyle w:val="Compact"/>
                    <w:jc w:val="right"/>
                    <w:jc w:val="center"/>
                  </w:pPr>
                  <w:r>
                    <w:t xml:space="preserve">3</w:t>
                  </w:r>
                </w:p>
              </w:tc>
              <w:tc>
                <w:tcPr/>
                <w:p>
                  <w:pPr>
                    <w:pStyle w:val="Compact"/>
                    <w:jc w:val="left"/>
                    <w:jc w:val="center"/>
                  </w:pPr>
                  <w:r>
                    <w:t xml:space="preserve">MedianBP 31,999–37,799</w:t>
                  </w:r>
                </w:p>
              </w:tc>
            </w:tr>
            <w:tr>
              <w:tc>
                <w:tcPr/>
                <w:p>
                  <w:pPr>
                    <w:pStyle w:val="Compact"/>
                    <w:jc w:val="left"/>
                    <w:jc w:val="center"/>
                  </w:pPr>
                  <w:r>
                    <w:t xml:space="preserve">La Viña</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Les Rois</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Sirgenstein Cave</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Vindija Cave</w:t>
                  </w:r>
                </w:p>
              </w:tc>
              <w:tc>
                <w:tcPr/>
                <w:p>
                  <w:pPr>
                    <w:pStyle w:val="Compact"/>
                    <w:jc w:val="right"/>
                    <w:jc w:val="center"/>
                  </w:pPr>
                  <w:r>
                    <w:t xml:space="preserve">1</w:t>
                  </w:r>
                </w:p>
              </w:tc>
              <w:tc>
                <w:tcPr/>
                <w:p>
                  <w:pPr>
                    <w:pStyle w:val="Compact"/>
                    <w:jc w:val="left"/>
                    <w:jc w:val="center"/>
                  </w:pPr>
                  <w:r>
                    <w:t xml:space="preserve">MedianBP 31,999–37,799</w:t>
                  </w:r>
                </w:p>
              </w:tc>
            </w:tr>
          </w:tbl>
          <w:bookmarkEnd w:id="42"/>
          <w:p/>
        </w:tc>
      </w:tr>
    </w:tbl>
    <w:bookmarkEnd w:id="43"/>
    <w:bookmarkStart w:id="45" w:name="objects-without-geometric-signs"/>
    <w:p>
      <w:pPr>
        <w:pStyle w:val="Heading3"/>
      </w:pPr>
      <w:r>
        <w:t xml:space="preserve">Objects without geometric signs</w:t>
      </w:r>
    </w:p>
    <w:p>
      <w:pPr>
        <w:pStyle w:val="FirstParagraph"/>
      </w:pPr>
      <w:r>
        <w:t xml:space="preserve">These are</w:t>
      </w:r>
      <w:r>
        <w:t xml:space="preserve"> </w:t>
      </w:r>
      <w:r>
        <w:rPr>
          <w:bCs/>
          <w:b/>
        </w:rPr>
        <w:t xml:space="preserve">individual objects</w:t>
      </w:r>
      <w:r>
        <w:t xml:space="preserve">, not sites: 15 objects from 13 sites carry no geometric signs and are removed upstream by the</w:t>
      </w:r>
      <w:r>
        <w:t xml:space="preserve"> </w:t>
      </w:r>
      <w:r>
        <w:rPr>
          <w:rStyle w:val="VerbatimChar"/>
        </w:rPr>
        <w:t xml:space="preserve">sign_total &gt; 0</w:t>
      </w:r>
      <w:r>
        <w:t xml:space="preserve"> </w:t>
      </w:r>
      <w:r>
        <w:t xml:space="preserve">filter. A site’s signed objects remain in the analysis only if the site also passes the date-parsing/calibration step (27 sites drop out there) and phase assignment.</w:t>
      </w:r>
    </w:p>
    <w:tbl>
      <w:tblPr>
        <w:tblStyle w:val="Table"/>
        <w:tblW w:type="pct" w:w="5000"/>
        <w:tblLook w:firstRow="0" w:lastRow="0" w:firstColumn="0" w:lastColumn="0" w:noHBand="0" w:noVBand="0" w:val="0000"/>
        <w:jc w:val="start"/>
        <w:tblLayout w:type="fixed"/>
      </w:tblPr>
      <w:tblGrid>
        <w:gridCol w:w="7920"/>
      </w:tblGrid>
      <w:tr>
        <w:tc>
          <w:tcPr/>
          <w:bookmarkStart w:id="44" w:name="tbl-zero-sign"/>
          <w:p>
            <w:pPr>
              <w:jc w:val="center"/>
            </w:pPr>
            <w:pPr>
              <w:jc w:val="start"/>
              <w:spacing w:before="200"/>
              <w:pStyle w:val="ImageCaption"/>
            </w:pPr>
            <w:r>
              <w:t xml:space="preserve">Table 6: Sites contributing objects without geometric signs, and whether the site remains in the analysis.</w:t>
            </w:r>
          </w:p>
          <w:tbl>
            <w:tblPr>
              <w:tblStyle w:val="Table"/>
              <w:tblW w:type="pct" w:w="5000"/>
              <w:tblLook w:firstRow="1" w:lastRow="0" w:firstColumn="0" w:lastColumn="0" w:noHBand="0" w:noVBand="0" w:val="0020"/>
              <w:jc w:val="start"/>
              <w:tblLayout w:type="fixed"/>
            </w:tblPr>
            <w:tblGrid>
              <w:gridCol w:w="2096"/>
              <w:gridCol w:w="1708"/>
              <w:gridCol w:w="1164"/>
              <w:gridCol w:w="2950"/>
            </w:tblGrid>
            <w:tr>
              <w:trPr>
                <w:tblHeader w:val="true"/>
              </w:trPr>
              <w:tc>
                <w:tcPr/>
                <w:p>
                  <w:pPr>
                    <w:pStyle w:val="Compact"/>
                    <w:jc w:val="left"/>
                    <w:jc w:val="center"/>
                  </w:pPr>
                  <w:r>
                    <w:t xml:space="preserve">Site</w:t>
                  </w:r>
                </w:p>
              </w:tc>
              <w:tc>
                <w:tcPr/>
                <w:p>
                  <w:pPr>
                    <w:pStyle w:val="Compact"/>
                    <w:jc w:val="right"/>
                    <w:jc w:val="center"/>
                  </w:pPr>
                  <w:r>
                    <w:t xml:space="preserve">Objects without signs</w:t>
                  </w:r>
                </w:p>
              </w:tc>
              <w:tc>
                <w:tcPr/>
                <w:p>
                  <w:pPr>
                    <w:pStyle w:val="Compact"/>
                    <w:jc w:val="right"/>
                    <w:jc w:val="center"/>
                  </w:pPr>
                  <w:r>
                    <w:t xml:space="preserve">Signed objects</w:t>
                  </w:r>
                </w:p>
              </w:tc>
              <w:tc>
                <w:tcPr/>
                <w:p>
                  <w:pPr>
                    <w:pStyle w:val="Compact"/>
                    <w:jc w:val="left"/>
                    <w:jc w:val="center"/>
                  </w:pPr>
                  <w:r>
                    <w:t xml:space="preserve">In analysis?</w:t>
                  </w:r>
                </w:p>
              </w:tc>
            </w:tr>
            <w:tr>
              <w:tc>
                <w:tcPr/>
                <w:p>
                  <w:pPr>
                    <w:pStyle w:val="Compact"/>
                    <w:jc w:val="left"/>
                    <w:jc w:val="center"/>
                  </w:pPr>
                  <w:r>
                    <w:t xml:space="preserve">Maisières-Canal</w:t>
                  </w:r>
                </w:p>
              </w:tc>
              <w:tc>
                <w:tcPr/>
                <w:p>
                  <w:pPr>
                    <w:pStyle w:val="Compact"/>
                    <w:jc w:val="right"/>
                    <w:jc w:val="center"/>
                  </w:pPr>
                  <w:r>
                    <w:t xml:space="preserve">2</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173</w:t>
                  </w:r>
                </w:p>
              </w:tc>
              <w:tc>
                <w:tcPr/>
                <w:p>
                  <w:pPr>
                    <w:pStyle w:val="Compact"/>
                    <w:jc w:val="left"/>
                    <w:jc w:val="center"/>
                  </w:pPr>
                  <w:r>
                    <w:t xml:space="preserve">Yes</w:t>
                  </w:r>
                </w:p>
              </w:tc>
            </w:tr>
            <w:tr>
              <w:tc>
                <w:tcPr/>
                <w:p>
                  <w:pPr>
                    <w:pStyle w:val="Compact"/>
                    <w:jc w:val="left"/>
                    <w:jc w:val="center"/>
                  </w:pPr>
                  <w:r>
                    <w:t xml:space="preserve">Abri de Laussel</w:t>
                  </w:r>
                </w:p>
              </w:tc>
              <w:tc>
                <w:tcPr/>
                <w:p>
                  <w:pPr>
                    <w:pStyle w:val="Compact"/>
                    <w:jc w:val="right"/>
                    <w:jc w:val="center"/>
                  </w:pPr>
                  <w:r>
                    <w:t xml:space="preserve">1</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Blanchard</w:t>
                  </w:r>
                </w:p>
              </w:tc>
              <w:tc>
                <w:tcPr/>
                <w:p>
                  <w:pPr>
                    <w:pStyle w:val="Compact"/>
                    <w:jc w:val="right"/>
                    <w:jc w:val="center"/>
                  </w:pPr>
                  <w:r>
                    <w:t xml:space="preserve">1</w:t>
                  </w:r>
                </w:p>
              </w:tc>
              <w:tc>
                <w:tcPr/>
                <w:p>
                  <w:pPr>
                    <w:pStyle w:val="Compact"/>
                    <w:jc w:val="right"/>
                    <w:jc w:val="center"/>
                  </w:pPr>
                  <w:r>
                    <w:t xml:space="preserve">18</w:t>
                  </w:r>
                </w:p>
              </w:tc>
              <w:tc>
                <w:tcPr/>
                <w:p>
                  <w:pPr>
                    <w:pStyle w:val="Compact"/>
                    <w:jc w:val="left"/>
                    <w:jc w:val="center"/>
                  </w:pPr>
                  <w:r>
                    <w:t xml:space="preserve">Yes</w:t>
                  </w:r>
                </w:p>
              </w:tc>
            </w:tr>
            <w:tr>
              <w:tc>
                <w:tcPr/>
                <w:p>
                  <w:pPr>
                    <w:pStyle w:val="Compact"/>
                    <w:jc w:val="left"/>
                    <w:jc w:val="center"/>
                  </w:pPr>
                  <w:r>
                    <w:t xml:space="preserve">Castanet</w:t>
                  </w:r>
                </w:p>
              </w:tc>
              <w:tc>
                <w:tcPr/>
                <w:p>
                  <w:pPr>
                    <w:pStyle w:val="Compact"/>
                    <w:jc w:val="right"/>
                    <w:jc w:val="center"/>
                  </w:pPr>
                  <w:r>
                    <w:t xml:space="preserve">1</w:t>
                  </w:r>
                </w:p>
              </w:tc>
              <w:tc>
                <w:tcPr/>
                <w:p>
                  <w:pPr>
                    <w:pStyle w:val="Compact"/>
                    <w:jc w:val="right"/>
                    <w:jc w:val="center"/>
                  </w:pPr>
                  <w:r>
                    <w:t xml:space="preserve">21</w:t>
                  </w:r>
                </w:p>
              </w:tc>
              <w:tc>
                <w:tcPr/>
                <w:p>
                  <w:pPr>
                    <w:pStyle w:val="Compact"/>
                    <w:jc w:val="left"/>
                    <w:jc w:val="center"/>
                  </w:pPr>
                  <w:r>
                    <w:t xml:space="preserve">Yes</w:t>
                  </w:r>
                </w:p>
              </w:tc>
            </w:tr>
            <w:tr>
              <w:tc>
                <w:tcPr/>
                <w:p>
                  <w:pPr>
                    <w:pStyle w:val="Compact"/>
                    <w:jc w:val="left"/>
                    <w:jc w:val="center"/>
                  </w:pPr>
                  <w:r>
                    <w:t xml:space="preserve">Cellier</w:t>
                  </w:r>
                </w:p>
              </w:tc>
              <w:tc>
                <w:tcPr/>
                <w:p>
                  <w:pPr>
                    <w:pStyle w:val="Compact"/>
                    <w:jc w:val="right"/>
                    <w:jc w:val="center"/>
                  </w:pPr>
                  <w:r>
                    <w:t xml:space="preserve">1</w:t>
                  </w:r>
                </w:p>
              </w:tc>
              <w:tc>
                <w:tcPr/>
                <w:p>
                  <w:pPr>
                    <w:pStyle w:val="Compact"/>
                    <w:jc w:val="right"/>
                    <w:jc w:val="center"/>
                  </w:pPr>
                  <w:r>
                    <w:t xml:space="preserve">28</w:t>
                  </w:r>
                </w:p>
              </w:tc>
              <w:tc>
                <w:tcPr/>
                <w:p>
                  <w:pPr>
                    <w:pStyle w:val="Compact"/>
                    <w:jc w:val="left"/>
                    <w:jc w:val="center"/>
                  </w:pPr>
                  <w:r>
                    <w:t xml:space="preserve">Yes</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Yes</w:t>
                  </w:r>
                </w:p>
              </w:tc>
            </w:tr>
            <w:tr>
              <w:tc>
                <w:tcPr/>
                <w:p>
                  <w:pPr>
                    <w:pStyle w:val="Compact"/>
                    <w:jc w:val="left"/>
                    <w:jc w:val="center"/>
                  </w:pPr>
                  <w:r>
                    <w:t xml:space="preserve">Grotte de Goyet</w:t>
                  </w:r>
                </w:p>
              </w:tc>
              <w:tc>
                <w:tcPr/>
                <w:p>
                  <w:pPr>
                    <w:pStyle w:val="Compact"/>
                    <w:jc w:val="right"/>
                    <w:jc w:val="center"/>
                  </w:pPr>
                  <w:r>
                    <w:t xml:space="preserve">1</w:t>
                  </w:r>
                </w:p>
              </w:tc>
              <w:tc>
                <w:tcPr/>
                <w:p>
                  <w:pPr>
                    <w:pStyle w:val="Compact"/>
                    <w:jc w:val="right"/>
                    <w:jc w:val="center"/>
                  </w:pPr>
                  <w:r>
                    <w:t xml:space="preserve">12</w:t>
                  </w:r>
                </w:p>
              </w:tc>
              <w:tc>
                <w:tcPr/>
                <w:p>
                  <w:pPr>
                    <w:pStyle w:val="Compact"/>
                    <w:jc w:val="left"/>
                    <w:jc w:val="center"/>
                  </w:pPr>
                  <w:r>
                    <w:t xml:space="preserve">No (date parsing)</w:t>
                  </w:r>
                </w:p>
              </w:tc>
            </w:tr>
            <w:tr>
              <w:tc>
                <w:tcPr/>
                <w:p>
                  <w:pPr>
                    <w:pStyle w:val="Compact"/>
                    <w:jc w:val="left"/>
                    <w:jc w:val="center"/>
                  </w:pPr>
                  <w:r>
                    <w:t xml:space="preserve">Labeko Koba</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Yes</w:t>
                  </w:r>
                </w:p>
              </w:tc>
            </w:tr>
            <w:tr>
              <w:tc>
                <w:tcPr/>
                <w:p>
                  <w:pPr>
                    <w:pStyle w:val="Compact"/>
                    <w:jc w:val="left"/>
                    <w:jc w:val="center"/>
                  </w:pPr>
                  <w:r>
                    <w:t xml:space="preserve">Menton/Grottes du Grimaldi</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No (date parsing)</w:t>
                  </w:r>
                </w:p>
              </w:tc>
            </w:tr>
            <w:tr>
              <w:tc>
                <w:tcPr/>
                <w:p>
                  <w:pPr>
                    <w:pStyle w:val="Compact"/>
                    <w:jc w:val="left"/>
                    <w:jc w:val="center"/>
                  </w:pPr>
                  <w:r>
                    <w:t xml:space="preserve">Nová Dědina</w:t>
                  </w:r>
                </w:p>
              </w:tc>
              <w:tc>
                <w:tcPr/>
                <w:p>
                  <w:pPr>
                    <w:pStyle w:val="Compact"/>
                    <w:jc w:val="right"/>
                    <w:jc w:val="center"/>
                  </w:pPr>
                  <w:r>
                    <w:t xml:space="preserve">1</w:t>
                  </w:r>
                </w:p>
              </w:tc>
              <w:tc>
                <w:tcPr/>
                <w:p>
                  <w:pPr>
                    <w:pStyle w:val="Compact"/>
                    <w:jc w:val="right"/>
                    <w:jc w:val="center"/>
                  </w:pPr>
                  <w:r>
                    <w:t xml:space="preserve">3</w:t>
                  </w:r>
                </w:p>
              </w:tc>
              <w:tc>
                <w:tcPr/>
                <w:p>
                  <w:pPr>
                    <w:pStyle w:val="Compact"/>
                    <w:jc w:val="left"/>
                    <w:jc w:val="center"/>
                  </w:pPr>
                  <w:r>
                    <w:t xml:space="preserve">No (date parsing)</w:t>
                  </w:r>
                </w:p>
              </w:tc>
            </w:tr>
            <w:tr>
              <w:tc>
                <w:tcPr/>
                <w:p>
                  <w:pPr>
                    <w:pStyle w:val="Compact"/>
                    <w:jc w:val="left"/>
                    <w:jc w:val="center"/>
                  </w:pPr>
                  <w:r>
                    <w:t xml:space="preserve">Spy</w:t>
                  </w:r>
                </w:p>
              </w:tc>
              <w:tc>
                <w:tcPr/>
                <w:p>
                  <w:pPr>
                    <w:pStyle w:val="Compact"/>
                    <w:jc w:val="right"/>
                    <w:jc w:val="center"/>
                  </w:pPr>
                  <w:r>
                    <w:t xml:space="preserve">1</w:t>
                  </w:r>
                </w:p>
              </w:tc>
              <w:tc>
                <w:tcPr/>
                <w:p>
                  <w:pPr>
                    <w:pStyle w:val="Compact"/>
                    <w:jc w:val="right"/>
                    <w:jc w:val="center"/>
                  </w:pPr>
                  <w:r>
                    <w:t xml:space="preserve">25</w:t>
                  </w:r>
                </w:p>
              </w:tc>
              <w:tc>
                <w:tcPr/>
                <w:p>
                  <w:pPr>
                    <w:pStyle w:val="Compact"/>
                    <w:jc w:val="left"/>
                    <w:jc w:val="center"/>
                  </w:pPr>
                  <w:r>
                    <w:t xml:space="preserve">No (excluded for mixing)</w:t>
                  </w:r>
                </w:p>
              </w:tc>
            </w:tr>
            <w:tr>
              <w:tc>
                <w:tcPr/>
                <w:p>
                  <w:pPr>
                    <w:pStyle w:val="Compact"/>
                    <w:jc w:val="left"/>
                    <w:jc w:val="center"/>
                  </w:pPr>
                  <w:r>
                    <w:t xml:space="preserve">Willendorf</w:t>
                  </w:r>
                </w:p>
              </w:tc>
              <w:tc>
                <w:tcPr/>
                <w:p>
                  <w:pPr>
                    <w:pStyle w:val="Compact"/>
                    <w:jc w:val="right"/>
                    <w:jc w:val="center"/>
                  </w:pPr>
                  <w:r>
                    <w:t xml:space="preserve">1</w:t>
                  </w:r>
                </w:p>
              </w:tc>
              <w:tc>
                <w:tcPr/>
                <w:p>
                  <w:pPr>
                    <w:pStyle w:val="Compact"/>
                    <w:jc w:val="right"/>
                    <w:jc w:val="center"/>
                  </w:pPr>
                  <w:r>
                    <w:t xml:space="preserve">0</w:t>
                  </w:r>
                </w:p>
              </w:tc>
              <w:tc>
                <w:tcPr/>
                <w:p>
                  <w:pPr>
                    <w:pStyle w:val="Compact"/>
                    <w:jc w:val="left"/>
                    <w:jc w:val="center"/>
                  </w:pPr>
                  <w:r>
                    <w:t xml:space="preserve">No (excluded before phase assignment)</w:t>
                  </w:r>
                </w:p>
              </w:tc>
            </w:tr>
          </w:tbl>
          <w:bookmarkEnd w:id="44"/>
          <w:p/>
        </w:tc>
      </w:tr>
    </w:tbl>
    <w:p>
      <w:pPr>
        <w:pStyle w:val="BodyText"/>
      </w:pPr>
      <w:r>
        <w:t xml:space="preserve">Only</w:t>
      </w:r>
      <w:r>
        <w:t xml:space="preserve"> </w:t>
      </w:r>
      <w:r>
        <w:rPr>
          <w:bCs/>
          <w:b/>
        </w:rPr>
        <w:t xml:space="preserve">Willendorf</w:t>
      </w:r>
      <w:r>
        <w:t xml:space="preserve"> </w:t>
      </w:r>
      <w:r>
        <w:t xml:space="preserve">and</w:t>
      </w:r>
      <w:r>
        <w:t xml:space="preserve"> </w:t>
      </w:r>
      <w:r>
        <w:rPr>
          <w:bCs/>
          <w:b/>
        </w:rPr>
        <w:t xml:space="preserve">Spy</w:t>
      </w:r>
      <w:r>
        <w:t xml:space="preserve"> </w:t>
      </w:r>
      <w:r>
        <w:t xml:space="preserve">drop out entirely; the remaining</w:t>
      </w:r>
      <w:r>
        <w:t xml:space="preserve"> </w:t>
      </w:r>
      <w:r>
        <w:t xml:space="preserve">“</w:t>
      </w:r>
      <w:r>
        <w:t xml:space="preserve">No</w:t>
      </w:r>
      <w:r>
        <w:t xml:space="preserve">”</w:t>
      </w:r>
      <w:r>
        <w:t xml:space="preserve"> </w:t>
      </w:r>
      <w:r>
        <w:t xml:space="preserve">sites are lost at the date-parsing/calibration step rather than because of the zero-sign filter.</w:t>
      </w:r>
    </w:p>
    <w:bookmarkEnd w:id="45"/>
    <w:bookmarkEnd w:id="46"/>
    <w:bookmarkStart w:id="85" w:name="references-cited"/>
    <w:p>
      <w:pPr>
        <w:pStyle w:val="Heading2"/>
      </w:pPr>
      <w:r>
        <w:t xml:space="preserve">References cited</w:t>
      </w:r>
    </w:p>
    <w:bookmarkStart w:id="84" w:name="refs"/>
    <w:bookmarkStart w:id="48" w:name="ref-Chiotti_2005"/>
    <w:p>
      <w:pPr>
        <w:pStyle w:val="Bibliography"/>
      </w:pPr>
      <w:r>
        <w:t xml:space="preserve">[1]</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47">
        <w:r>
          <w:rPr>
            <w:rStyle w:val="Hyperlink"/>
          </w:rPr>
          <w:t xml:space="preserve">https://doi.org/10.30861/9781841718309</w:t>
        </w:r>
      </w:hyperlink>
      <w:r>
        <w:t xml:space="preserve">.</w:t>
      </w:r>
    </w:p>
    <w:bookmarkEnd w:id="48"/>
    <w:bookmarkStart w:id="50" w:name="ref-Higham_Abri_Pataud_2011"/>
    <w:p>
      <w:pPr>
        <w:pStyle w:val="Bibliography"/>
      </w:pPr>
      <w:r>
        <w:t xml:space="preserve">[2]</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49">
        <w:r>
          <w:rPr>
            <w:rStyle w:val="Hyperlink"/>
          </w:rPr>
          <w:t xml:space="preserve">https://doi.org/10.1016/j.jhevol.2011.06.005</w:t>
        </w:r>
      </w:hyperlink>
      <w:r>
        <w:t xml:space="preserve">.</w:t>
      </w:r>
    </w:p>
    <w:bookmarkEnd w:id="50"/>
    <w:bookmarkStart w:id="52" w:name="ref-Falcucci_Peresani_2017"/>
    <w:p>
      <w:pPr>
        <w:pStyle w:val="Bibliography"/>
      </w:pPr>
      <w:r>
        <w:t xml:space="preserve">[3]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51">
        <w:r>
          <w:rPr>
            <w:rStyle w:val="Hyperlink"/>
          </w:rPr>
          <w:t xml:space="preserve">https://doi.org/10.1371/journal.pone.0189241</w:t>
        </w:r>
      </w:hyperlink>
      <w:r>
        <w:t xml:space="preserve">.</w:t>
      </w:r>
    </w:p>
    <w:bookmarkEnd w:id="52"/>
    <w:bookmarkStart w:id="54" w:name="ref-falcucci2020breaking"/>
    <w:p>
      <w:pPr>
        <w:pStyle w:val="Bibliography"/>
      </w:pPr>
      <w:r>
        <w:t xml:space="preserve">[4]</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53">
        <w:r>
          <w:rPr>
            <w:rStyle w:val="Hyperlink"/>
          </w:rPr>
          <w:t xml:space="preserve">https://doi.org/10.4436/JASS.98021</w:t>
        </w:r>
      </w:hyperlink>
      <w:r>
        <w:t xml:space="preserve">.</w:t>
      </w:r>
    </w:p>
    <w:bookmarkEnd w:id="54"/>
    <w:bookmarkStart w:id="56" w:name="ref-Barshay_Szmidt_2012"/>
    <w:p>
      <w:pPr>
        <w:pStyle w:val="Bibliography"/>
      </w:pPr>
      <w:r>
        <w:t xml:space="preserve">[5]</w:t>
      </w:r>
      <w:r>
        <w:t xml:space="preserve"> </w:t>
      </w:r>
      <w:r>
        <w:t xml:space="preserve">	</w:t>
      </w:r>
      <w:r>
        <w:t xml:space="preserve">Barshay-Szmidt CC, Eizenberg L, Deschamps M. Radiocarbon (</w:t>
      </w:r>
      <w:r>
        <w:t xml:space="preserve">AMS</w:t>
      </w:r>
      <w:r>
        <w:t xml:space="preserve">) dating the</w:t>
      </w:r>
      <w:r>
        <w:t xml:space="preserve"> </w:t>
      </w:r>
      <w:r>
        <w:t xml:space="preserve">Classic</w:t>
      </w:r>
      <w:r>
        <w:t xml:space="preserve"> </w:t>
      </w:r>
      <w:r>
        <w:t xml:space="preserve">Aurignacian</w:t>
      </w:r>
      <w:r>
        <w:t xml:space="preserve">,</w:t>
      </w:r>
      <w:r>
        <w:t xml:space="preserve"> </w:t>
      </w:r>
      <w:r>
        <w:t xml:space="preserve">Proto</w:t>
      </w:r>
      <w:r>
        <w:t xml:space="preserve">-</w:t>
      </w:r>
      <w:r>
        <w:t xml:space="preserve">Aurignacian</w:t>
      </w:r>
      <w:r>
        <w:t xml:space="preserve"> </w:t>
      </w:r>
      <w:r>
        <w:t xml:space="preserve">and</w:t>
      </w:r>
      <w:r>
        <w:t xml:space="preserve"> </w:t>
      </w:r>
      <w:r>
        <w:t xml:space="preserve">Vasconian</w:t>
      </w:r>
      <w:r>
        <w:t xml:space="preserve"> </w:t>
      </w:r>
      <w:r>
        <w:t xml:space="preserve">Mousterian</w:t>
      </w:r>
      <w:r>
        <w:t xml:space="preserve"> </w:t>
      </w:r>
      <w:r>
        <w:t xml:space="preserve">at</w:t>
      </w:r>
      <w:r>
        <w:t xml:space="preserve"> </w:t>
      </w:r>
      <w:r>
        <w:t xml:space="preserve">Gatzarria</w:t>
      </w:r>
      <w:r>
        <w:t xml:space="preserve"> </w:t>
      </w:r>
      <w:r>
        <w:t xml:space="preserve">Cave</w:t>
      </w:r>
      <w:r>
        <w:t xml:space="preserve"> </w:t>
      </w:r>
      <w:r>
        <w:t xml:space="preserve">(</w:t>
      </w:r>
      <w:r>
        <w:t xml:space="preserve">Pyr</w:t>
      </w:r>
      <w:r>
        <w:t xml:space="preserve">é</w:t>
      </w:r>
      <w:r>
        <w:t xml:space="preserve">n</w:t>
      </w:r>
      <w:r>
        <w:t xml:space="preserve">é</w:t>
      </w:r>
      <w:r>
        <w:t xml:space="preserve">es-Atlantiques</w:t>
      </w:r>
      <w:r>
        <w:t xml:space="preserve">,</w:t>
      </w:r>
      <w:r>
        <w:t xml:space="preserve"> </w:t>
      </w:r>
      <w:r>
        <w:t xml:space="preserve">France</w:t>
      </w:r>
      <w:r>
        <w:t xml:space="preserve">). Pal</w:t>
      </w:r>
      <w:r>
        <w:t xml:space="preserve">é</w:t>
      </w:r>
      <w:r>
        <w:t xml:space="preserve">o 2012;23:11–38.</w:t>
      </w:r>
      <w:r>
        <w:t xml:space="preserve"> </w:t>
      </w:r>
      <w:hyperlink r:id="rId55">
        <w:r>
          <w:rPr>
            <w:rStyle w:val="Hyperlink"/>
          </w:rPr>
          <w:t xml:space="preserve">https://doi.org/10.4000/paleo.2250</w:t>
        </w:r>
      </w:hyperlink>
      <w:r>
        <w:t xml:space="preserve">.</w:t>
      </w:r>
    </w:p>
    <w:bookmarkEnd w:id="56"/>
    <w:bookmarkStart w:id="58" w:name="ref-Bataille_Conard_2018"/>
    <w:p>
      <w:pPr>
        <w:pStyle w:val="Bibliography"/>
      </w:pPr>
      <w:r>
        <w:t xml:space="preserve">[6]</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57">
        <w:r>
          <w:rPr>
            <w:rStyle w:val="Hyperlink"/>
          </w:rPr>
          <w:t xml:space="preserve">https://doi.org/10.1371/journal.pone.0194097</w:t>
        </w:r>
      </w:hyperlink>
      <w:r>
        <w:t xml:space="preserve">.</w:t>
      </w:r>
    </w:p>
    <w:bookmarkEnd w:id="58"/>
    <w:bookmarkStart w:id="60" w:name="ref-Bataille_Conard_2019"/>
    <w:p>
      <w:pPr>
        <w:pStyle w:val="Bibliography"/>
      </w:pPr>
      <w:r>
        <w:t xml:space="preserve">[7]</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59">
        <w:r>
          <w:rPr>
            <w:rStyle w:val="Hyperlink"/>
          </w:rPr>
          <w:t xml:space="preserve">https://doi.org/10.7485/QU65_1</w:t>
        </w:r>
      </w:hyperlink>
      <w:r>
        <w:t xml:space="preserve">.</w:t>
      </w:r>
    </w:p>
    <w:bookmarkEnd w:id="60"/>
    <w:bookmarkStart w:id="62" w:name="ref-Dinnis_et_al_2019"/>
    <w:p>
      <w:pPr>
        <w:pStyle w:val="Bibliography"/>
      </w:pPr>
      <w:r>
        <w:t xml:space="preserve">[8]</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61">
        <w:r>
          <w:rPr>
            <w:rStyle w:val="Hyperlink"/>
          </w:rPr>
          <w:t xml:space="preserve">https://doi.org/10.1017/ppr.2019.11</w:t>
        </w:r>
      </w:hyperlink>
      <w:r>
        <w:t xml:space="preserve">.</w:t>
      </w:r>
    </w:p>
    <w:bookmarkEnd w:id="62"/>
    <w:bookmarkStart w:id="64" w:name="ref-Talamo_La_Ferrassie_2020"/>
    <w:p>
      <w:pPr>
        <w:pStyle w:val="Bibliography"/>
      </w:pPr>
      <w:r>
        <w:t xml:space="preserve">[9]</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63">
        <w:r>
          <w:rPr>
            <w:rStyle w:val="Hyperlink"/>
          </w:rPr>
          <w:t xml:space="preserve">https://doi.org/10.1002/jqs.3236</w:t>
        </w:r>
      </w:hyperlink>
      <w:r>
        <w:t xml:space="preserve">.</w:t>
      </w:r>
    </w:p>
    <w:bookmarkEnd w:id="64"/>
    <w:bookmarkStart w:id="66" w:name="ref-Oliva_2006"/>
    <w:p>
      <w:pPr>
        <w:pStyle w:val="Bibliography"/>
      </w:pPr>
      <w:r>
        <w:t xml:space="preserve">[10]</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65">
        <w:r>
          <w:rPr>
            <w:rStyle w:val="Hyperlink"/>
          </w:rPr>
          <w:t xml:space="preserve">https://doi.org/10.1007/978-3-211-49294-9_4</w:t>
        </w:r>
      </w:hyperlink>
      <w:r>
        <w:t xml:space="preserve">.</w:t>
      </w:r>
    </w:p>
    <w:bookmarkEnd w:id="66"/>
    <w:bookmarkStart w:id="68"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67">
        <w:r>
          <w:rPr>
            <w:rStyle w:val="Hyperlink"/>
          </w:rPr>
          <w:t xml:space="preserve">https://doi.org/10.1007/s41982-025-00246-x</w:t>
        </w:r>
      </w:hyperlink>
      <w:r>
        <w:t xml:space="preserve">.</w:t>
      </w:r>
    </w:p>
    <w:bookmarkEnd w:id="68"/>
    <w:bookmarkStart w:id="70" w:name="ref-Higham_2012"/>
    <w:p>
      <w:pPr>
        <w:pStyle w:val="Bibliography"/>
      </w:pPr>
      <w:r>
        <w:t xml:space="preserve">[12]</w:t>
      </w:r>
      <w:r>
        <w:t xml:space="preserve"> </w:t>
      </w:r>
      <w:r>
        <w:t xml:space="preserve">	</w:t>
      </w:r>
      <w:r>
        <w:t xml:space="preserve">Higham T, Basell L, Jacobi R, Wood R, Ramsey CB, Conard NJ. Testing models for the beginnings of the aurignacian and the advent of figurative art and music: The radiocarbon chronology of geißenklösterle. Journal of Human Evolution 2012;62:664–76.</w:t>
      </w:r>
      <w:r>
        <w:t xml:space="preserve"> </w:t>
      </w:r>
      <w:hyperlink r:id="rId69">
        <w:r>
          <w:rPr>
            <w:rStyle w:val="Hyperlink"/>
          </w:rPr>
          <w:t xml:space="preserve">https://doi.org/10.1016/j.jhevol.2012.03.003</w:t>
        </w:r>
      </w:hyperlink>
      <w:r>
        <w:t xml:space="preserve">.</w:t>
      </w:r>
    </w:p>
    <w:bookmarkEnd w:id="70"/>
    <w:bookmarkStart w:id="72" w:name="ref-zilhao2003aurignacian"/>
    <w:p>
      <w:pPr>
        <w:pStyle w:val="Bibliography"/>
      </w:pPr>
      <w:r>
        <w:t xml:space="preserve">[13]</w:t>
      </w:r>
      <w:r>
        <w:t xml:space="preserve"> </w:t>
      </w:r>
      <w:r>
        <w:t xml:space="preserve">	</w:t>
      </w:r>
      <w:r>
        <w:t xml:space="preserve">Zilhão J, d’Errico F. An</w:t>
      </w:r>
      <w:r>
        <w:t xml:space="preserve"> </w:t>
      </w:r>
      <w:r>
        <w:t xml:space="preserve">Aurignacian</w:t>
      </w:r>
      <w:r>
        <w:t xml:space="preserve"> </w:t>
      </w:r>
      <w:r>
        <w:t xml:space="preserve">Garden</w:t>
      </w:r>
      <w:r>
        <w:t xml:space="preserve"> </w:t>
      </w:r>
      <w:r>
        <w:t xml:space="preserve">of</w:t>
      </w:r>
      <w:r>
        <w:t xml:space="preserve"> </w:t>
      </w:r>
      <w:r>
        <w:t xml:space="preserve">Eden</w:t>
      </w:r>
      <w:r>
        <w:t xml:space="preserve"> </w:t>
      </w:r>
      <w:r>
        <w:t xml:space="preserve">in southern</w:t>
      </w:r>
      <w:r>
        <w:t xml:space="preserve"> </w:t>
      </w:r>
      <w:r>
        <w:t xml:space="preserve">Germany</w:t>
      </w:r>
      <w:r>
        <w:t xml:space="preserve">? An alternative interpretation of the</w:t>
      </w:r>
      <w:r>
        <w:t xml:space="preserve"> </w:t>
      </w:r>
      <w:r>
        <w:t xml:space="preserve">Geissenkl</w:t>
      </w:r>
      <w:r>
        <w:t xml:space="preserve">ö</w:t>
      </w:r>
      <w:r>
        <w:t xml:space="preserve">sterle</w:t>
      </w:r>
      <w:r>
        <w:t xml:space="preserve"> </w:t>
      </w:r>
      <w:r>
        <w:t xml:space="preserve">sequence and a critique of the</w:t>
      </w:r>
      <w:r>
        <w:t xml:space="preserve"> </w:t>
      </w:r>
      <w:r>
        <w:t xml:space="preserve">Kulturpumpe</w:t>
      </w:r>
      <w:r>
        <w:t xml:space="preserve"> </w:t>
      </w:r>
      <w:r>
        <w:t xml:space="preserve">model. PALEO Revue d’arch</w:t>
      </w:r>
      <w:r>
        <w:t xml:space="preserve">é</w:t>
      </w:r>
      <w:r>
        <w:t xml:space="preserve">ologie Pr</w:t>
      </w:r>
      <w:r>
        <w:t xml:space="preserve">é</w:t>
      </w:r>
      <w:r>
        <w:t xml:space="preserve">historique 2003:69–86.</w:t>
      </w:r>
      <w:r>
        <w:t xml:space="preserve"> </w:t>
      </w:r>
      <w:hyperlink r:id="rId71">
        <w:r>
          <w:rPr>
            <w:rStyle w:val="Hyperlink"/>
          </w:rPr>
          <w:t xml:space="preserve">https://doi.org/10.4000/paleo.1231</w:t>
        </w:r>
      </w:hyperlink>
      <w:r>
        <w:t xml:space="preserve">.</w:t>
      </w:r>
    </w:p>
    <w:bookmarkEnd w:id="72"/>
    <w:bookmarkStart w:id="74" w:name="ref-Schurch_et_al_2025_bladelet"/>
    <w:p>
      <w:pPr>
        <w:pStyle w:val="Bibliography"/>
      </w:pPr>
      <w:r>
        <w:t xml:space="preserve">[14]</w:t>
      </w:r>
      <w:r>
        <w:t xml:space="preserve"> </w:t>
      </w:r>
      <w:r>
        <w:t xml:space="preserve">	</w:t>
      </w:r>
      <w:r>
        <w:t xml:space="preserve">Schürch B, Schray S, Conard NJ. Reconstructing flexible pathways of</w:t>
      </w:r>
      <w:r>
        <w:t xml:space="preserve"> </w:t>
      </w:r>
      <w:r>
        <w:t xml:space="preserve">Aurignacian</w:t>
      </w:r>
      <w:r>
        <w:t xml:space="preserve"> </w:t>
      </w:r>
      <w:r>
        <w:t xml:space="preserve">blade and bladelet production at</w:t>
      </w:r>
      <w:r>
        <w:t xml:space="preserve"> </w:t>
      </w:r>
      <w:r>
        <w:t xml:space="preserve">Vogelherd</w:t>
      </w:r>
      <w:r>
        <w:t xml:space="preserve">. PLOS ONE 2025;20:e0331921.</w:t>
      </w:r>
      <w:r>
        <w:t xml:space="preserve"> </w:t>
      </w:r>
      <w:hyperlink r:id="rId73">
        <w:r>
          <w:rPr>
            <w:rStyle w:val="Hyperlink"/>
          </w:rPr>
          <w:t xml:space="preserve">https://doi.org/10.1371/journal.pone.0331921</w:t>
        </w:r>
      </w:hyperlink>
      <w:r>
        <w:t xml:space="preserve">.</w:t>
      </w:r>
    </w:p>
    <w:bookmarkEnd w:id="74"/>
    <w:bookmarkStart w:id="76" w:name="ref-Wild_et_al_2005"/>
    <w:p>
      <w:pPr>
        <w:pStyle w:val="Bibliography"/>
      </w:pPr>
      <w:r>
        <w:t xml:space="preserve">[15]</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75">
        <w:r>
          <w:rPr>
            <w:rStyle w:val="Hyperlink"/>
          </w:rPr>
          <w:t xml:space="preserve">https://doi.org/10.1038/nature03585</w:t>
        </w:r>
      </w:hyperlink>
      <w:r>
        <w:t xml:space="preserve">.</w:t>
      </w:r>
    </w:p>
    <w:bookmarkEnd w:id="76"/>
    <w:bookmarkStart w:id="77" w:name="ref-Flas_et_al_2013"/>
    <w:p>
      <w:pPr>
        <w:pStyle w:val="Bibliography"/>
      </w:pPr>
      <w:r>
        <w:t xml:space="preserve">[16]</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77"/>
    <w:bookmarkStart w:id="79" w:name="ref-Flas_2015"/>
    <w:p>
      <w:pPr>
        <w:pStyle w:val="Bibliography"/>
      </w:pPr>
      <w:r>
        <w:t xml:space="preserve">[17]</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78">
        <w:r>
          <w:rPr>
            <w:rStyle w:val="Hyperlink"/>
          </w:rPr>
          <w:t xml:space="preserve">https://doi.org/10.4000/palethnologie.736</w:t>
        </w:r>
      </w:hyperlink>
      <w:r>
        <w:t xml:space="preserve">.</w:t>
      </w:r>
    </w:p>
    <w:bookmarkEnd w:id="79"/>
    <w:bookmarkStart w:id="81" w:name="ref-Semal_2009"/>
    <w:p>
      <w:pPr>
        <w:pStyle w:val="Bibliography"/>
      </w:pPr>
      <w:r>
        <w:t xml:space="preserve">[18]</w:t>
      </w:r>
      <w:r>
        <w:t xml:space="preserve"> </w:t>
      </w:r>
      <w:r>
        <w:t xml:space="preserve">	</w:t>
      </w:r>
      <w:r>
        <w:t xml:space="preserve">Semal P, Rougier H, Crevecoeur I, Jungels C, Flas D, Hauzeur A, et al. New data on the late</w:t>
      </w:r>
      <w:r>
        <w:t xml:space="preserve"> </w:t>
      </w:r>
      <w:r>
        <w:t xml:space="preserve">Neandertals</w:t>
      </w:r>
      <w:r>
        <w:t xml:space="preserve">: Direct dating of the</w:t>
      </w:r>
      <w:r>
        <w:t xml:space="preserve"> </w:t>
      </w:r>
      <w:r>
        <w:t xml:space="preserve">Belgian</w:t>
      </w:r>
      <w:r>
        <w:t xml:space="preserve"> </w:t>
      </w:r>
      <w:r>
        <w:t xml:space="preserve">Spy</w:t>
      </w:r>
      <w:r>
        <w:t xml:space="preserve"> </w:t>
      </w:r>
      <w:r>
        <w:t xml:space="preserve">fossils. American Journal of Physical Anthropology 2009;138:421–8.</w:t>
      </w:r>
      <w:r>
        <w:t xml:space="preserve"> </w:t>
      </w:r>
      <w:hyperlink r:id="rId80">
        <w:r>
          <w:rPr>
            <w:rStyle w:val="Hyperlink"/>
          </w:rPr>
          <w:t xml:space="preserve">https://doi.org/10.1002/ajpa.20954</w:t>
        </w:r>
      </w:hyperlink>
      <w:r>
        <w:t xml:space="preserve">.</w:t>
      </w:r>
    </w:p>
    <w:bookmarkEnd w:id="81"/>
    <w:bookmarkStart w:id="83" w:name="ref-Deschamps_2019"/>
    <w:p>
      <w:pPr>
        <w:pStyle w:val="Bibliography"/>
      </w:pPr>
      <w:r>
        <w:t xml:space="preserve">[19]</w:t>
      </w:r>
      <w:r>
        <w:t xml:space="preserve"> </w:t>
      </w:r>
      <w:r>
        <w:t xml:space="preserve">	</w:t>
      </w:r>
      <w:r>
        <w:t xml:space="preserve">Deschamps M. Identification of</w:t>
      </w:r>
      <w:r>
        <w:t xml:space="preserve"> </w:t>
      </w:r>
      <w:r>
        <w:t xml:space="preserve">Quina</w:t>
      </w:r>
      <w:r>
        <w:t xml:space="preserve"> </w:t>
      </w:r>
      <w:r>
        <w:t xml:space="preserve">and</w:t>
      </w:r>
      <w:r>
        <w:t xml:space="preserve"> </w:t>
      </w:r>
      <w:r>
        <w:t xml:space="preserve">Vasconian</w:t>
      </w:r>
      <w:r>
        <w:t xml:space="preserve"> </w:t>
      </w:r>
      <w:r>
        <w:t xml:space="preserve">technocomplexes in</w:t>
      </w:r>
      <w:r>
        <w:t xml:space="preserve"> </w:t>
      </w:r>
      <w:r>
        <w:t xml:space="preserve">Gatzarria</w:t>
      </w:r>
      <w:r>
        <w:t xml:space="preserve"> </w:t>
      </w:r>
      <w:r>
        <w:t xml:space="preserve">Cave</w:t>
      </w:r>
      <w:r>
        <w:t xml:space="preserve"> </w:t>
      </w:r>
      <w:r>
        <w:t xml:space="preserve">(north-western</w:t>
      </w:r>
      <w:r>
        <w:t xml:space="preserve"> </w:t>
      </w:r>
      <w:r>
        <w:t xml:space="preserve">Pyrenees</w:t>
      </w:r>
      <w:r>
        <w:t xml:space="preserve">), based on the stratigraphic, taphonomic and technological revision of the</w:t>
      </w:r>
      <w:r>
        <w:t xml:space="preserve"> </w:t>
      </w:r>
      <w:r>
        <w:t xml:space="preserve">Georges Laplace</w:t>
      </w:r>
      <w:r>
        <w:t xml:space="preserve"> </w:t>
      </w:r>
      <w:r>
        <w:t xml:space="preserve">collections. Comptes Rendus Palevol 2019;18:569–86.</w:t>
      </w:r>
      <w:r>
        <w:t xml:space="preserve"> </w:t>
      </w:r>
      <w:hyperlink r:id="rId82">
        <w:r>
          <w:rPr>
            <w:rStyle w:val="Hyperlink"/>
          </w:rPr>
          <w:t xml:space="preserve">https://doi.org/10.1016/j.crpv.2019.04.001</w:t>
        </w:r>
      </w:hyperlink>
      <w:r>
        <w:t xml:space="preserve">.</w:t>
      </w:r>
    </w:p>
    <w:bookmarkEnd w:id="83"/>
    <w:bookmarkEnd w:id="84"/>
    <w:bookmarkEnd w:id="85"/>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0" Target="https://doi.org/10.1002/ajpa.20954" TargetMode="External" /><Relationship Type="http://schemas.openxmlformats.org/officeDocument/2006/relationships/hyperlink" Id="rId63" Target="https://doi.org/10.1002/jqs.3236" TargetMode="External" /><Relationship Type="http://schemas.openxmlformats.org/officeDocument/2006/relationships/hyperlink" Id="rId6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82" Target="https://doi.org/10.1016/j.crpv.2019.04.001" TargetMode="External" /><Relationship Type="http://schemas.openxmlformats.org/officeDocument/2006/relationships/hyperlink" Id="rId49" Target="https://doi.org/10.1016/j.jhevol.2011.06.005" TargetMode="External" /><Relationship Type="http://schemas.openxmlformats.org/officeDocument/2006/relationships/hyperlink" Id="rId69" Target="https://doi.org/10.1016/j.jhevol.2012.03.003" TargetMode="External" /><Relationship Type="http://schemas.openxmlformats.org/officeDocument/2006/relationships/hyperlink" Id="rId61" Target="https://doi.org/10.1017/ppr.2019.11" TargetMode="External" /><Relationship Type="http://schemas.openxmlformats.org/officeDocument/2006/relationships/hyperlink" Id="rId75" Target="https://doi.org/10.1038/nature03585" TargetMode="External" /><Relationship Type="http://schemas.openxmlformats.org/officeDocument/2006/relationships/hyperlink" Id="rId51" Target="https://doi.org/10.1371/journal.pone.0189241" TargetMode="External" /><Relationship Type="http://schemas.openxmlformats.org/officeDocument/2006/relationships/hyperlink" Id="rId57" Target="https://doi.org/10.1371/journal.pone.0194097" TargetMode="External" /><Relationship Type="http://schemas.openxmlformats.org/officeDocument/2006/relationships/hyperlink" Id="rId73" Target="https://doi.org/10.1371/journal.pone.0331921" TargetMode="External" /><Relationship Type="http://schemas.openxmlformats.org/officeDocument/2006/relationships/hyperlink" Id="rId47" Target="https://doi.org/10.30861/9781841718309" TargetMode="External" /><Relationship Type="http://schemas.openxmlformats.org/officeDocument/2006/relationships/hyperlink" Id="rId71" Target="https://doi.org/10.4000/paleo.1231" TargetMode="External" /><Relationship Type="http://schemas.openxmlformats.org/officeDocument/2006/relationships/hyperlink" Id="rId55" Target="https://doi.org/10.4000/paleo.2250" TargetMode="External" /><Relationship Type="http://schemas.openxmlformats.org/officeDocument/2006/relationships/hyperlink" Id="rId78" Target="https://doi.org/10.4000/palethnologie.736" TargetMode="External" /><Relationship Type="http://schemas.openxmlformats.org/officeDocument/2006/relationships/hyperlink" Id="rId53" Target="https://doi.org/10.4436/JASS.98021" TargetMode="External" /><Relationship Type="http://schemas.openxmlformats.org/officeDocument/2006/relationships/hyperlink" Id="rId59" Target="https://doi.org/10.7485/QU65_1"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80" Target="https://doi.org/10.1002/ajpa.20954" TargetMode="External" /><Relationship Type="http://schemas.openxmlformats.org/officeDocument/2006/relationships/hyperlink" Id="rId63" Target="https://doi.org/10.1002/jqs.3236" TargetMode="External" /><Relationship Type="http://schemas.openxmlformats.org/officeDocument/2006/relationships/hyperlink" Id="rId6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82" Target="https://doi.org/10.1016/j.crpv.2019.04.001" TargetMode="External" /><Relationship Type="http://schemas.openxmlformats.org/officeDocument/2006/relationships/hyperlink" Id="rId49" Target="https://doi.org/10.1016/j.jhevol.2011.06.005" TargetMode="External" /><Relationship Type="http://schemas.openxmlformats.org/officeDocument/2006/relationships/hyperlink" Id="rId69" Target="https://doi.org/10.1016/j.jhevol.2012.03.003" TargetMode="External" /><Relationship Type="http://schemas.openxmlformats.org/officeDocument/2006/relationships/hyperlink" Id="rId61" Target="https://doi.org/10.1017/ppr.2019.11" TargetMode="External" /><Relationship Type="http://schemas.openxmlformats.org/officeDocument/2006/relationships/hyperlink" Id="rId75" Target="https://doi.org/10.1038/nature03585" TargetMode="External" /><Relationship Type="http://schemas.openxmlformats.org/officeDocument/2006/relationships/hyperlink" Id="rId51" Target="https://doi.org/10.1371/journal.pone.0189241" TargetMode="External" /><Relationship Type="http://schemas.openxmlformats.org/officeDocument/2006/relationships/hyperlink" Id="rId57" Target="https://doi.org/10.1371/journal.pone.0194097" TargetMode="External" /><Relationship Type="http://schemas.openxmlformats.org/officeDocument/2006/relationships/hyperlink" Id="rId73" Target="https://doi.org/10.1371/journal.pone.0331921" TargetMode="External" /><Relationship Type="http://schemas.openxmlformats.org/officeDocument/2006/relationships/hyperlink" Id="rId47" Target="https://doi.org/10.30861/9781841718309" TargetMode="External" /><Relationship Type="http://schemas.openxmlformats.org/officeDocument/2006/relationships/hyperlink" Id="rId71" Target="https://doi.org/10.4000/paleo.1231" TargetMode="External" /><Relationship Type="http://schemas.openxmlformats.org/officeDocument/2006/relationships/hyperlink" Id="rId55" Target="https://doi.org/10.4000/paleo.2250" TargetMode="External" /><Relationship Type="http://schemas.openxmlformats.org/officeDocument/2006/relationships/hyperlink" Id="rId78" Target="https://doi.org/10.4000/palethnologie.736" TargetMode="External" /><Relationship Type="http://schemas.openxmlformats.org/officeDocument/2006/relationships/hyperlink" Id="rId53" Target="https://doi.org/10.4436/JASS.98021" TargetMode="External" /><Relationship Type="http://schemas.openxmlformats.org/officeDocument/2006/relationships/hyperlink" Id="rId59" Target="https://doi.org/10.7485/QU65_1"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Site Phase Assignments</dc:title>
  <dc:creator>Sophie Cooper1, Aleah Rosner1, Eva Oryn1, Kenneth B. Vernon2, and Ben Marwick1,✉</dc:creator>
  <cp:keywords/>
  <dcterms:created xsi:type="dcterms:W3CDTF">2026-09-03T03:59:16Z</dcterms:created>
  <dcterms:modified xsi:type="dcterms:W3CDTF">2026-09-03T03:59:16Z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2,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