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0.png" ContentType="image/png"/>
  <Override PartName="/word/media/rId120.png" ContentType="image/png"/>
  <Override PartName="/word/media/rId38.png" ContentType="image/png"/>
  <Override PartName="/word/media/rId30.png" ContentType="image/png"/>
  <Override PartName="/word/media/rId285.png" ContentType="image/png"/>
  <Override PartName="/word/media/rId105.png" ContentType="image/png"/>
  <Override PartName="/word/media/rId321.png" ContentType="image/png"/>
  <Override PartName="/word/media/rId350.png" ContentType="image/png"/>
  <Override PartName="/word/media/rId338.png" ContentType="image/png"/>
  <Override PartName="/word/media/rId330.png" ContentType="image/png"/>
  <Override PartName="/word/media/rId92.png" ContentType="image/png"/>
  <Override PartName="/word/media/rId137.png" ContentType="image/png"/>
  <Override PartName="/word/media/rId164.png" ContentType="image/png"/>
  <Override PartName="/word/media/rId167.png" ContentType="image/png"/>
  <Override PartName="/word/media/rId170.png" ContentType="image/png"/>
  <Override PartName="/word/media/rId173.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40.png" ContentType="image/png"/>
  <Override PartName="/word/media/rId194.png" ContentType="image/png"/>
  <Override PartName="/word/media/rId197.png" ContentType="image/png"/>
  <Override PartName="/word/media/rId200.png" ContentType="image/png"/>
  <Override PartName="/word/media/rId203.png" ContentType="image/png"/>
  <Override PartName="/word/media/rId206.png" ContentType="image/png"/>
  <Override PartName="/word/media/rId209.png" ContentType="image/png"/>
  <Override PartName="/word/media/rId212.png" ContentType="image/png"/>
  <Override PartName="/word/media/rId215.png" ContentType="image/png"/>
  <Override PartName="/word/media/rId218.png" ContentType="image/png"/>
  <Override PartName="/word/media/rId221.png" ContentType="image/png"/>
  <Override PartName="/word/media/rId143.png" ContentType="image/png"/>
  <Override PartName="/word/media/rId224.png" ContentType="image/png"/>
  <Override PartName="/word/media/rId227.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146.png" ContentType="image/png"/>
  <Override PartName="/word/media/rId254.png" ContentType="image/png"/>
  <Override PartName="/word/media/rId257.png" ContentType="image/png"/>
  <Override PartName="/word/media/rId260.png" ContentType="image/png"/>
  <Override PartName="/word/media/rId263.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3" w:name="sec-s1"/>
    <w:p>
      <w:pPr>
        <w:pStyle w:val="Heading1"/>
      </w:pPr>
      <w:r>
        <w:t xml:space="preserve">S1. Sensitivity Analysis: Network Similarity Threshold</w:t>
      </w:r>
    </w:p>
    <w:bookmarkStart w:id="22"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tbl>
      <w:tblPr>
        <w:tblStyle w:val="Table"/>
        <w:tblW w:type="pct" w:w="5000"/>
        <w:tblLook w:firstRow="0" w:lastRow="0" w:firstColumn="0" w:lastColumn="0" w:noHBand="0" w:noVBand="0" w:val="0000"/>
        <w:jc w:val="start"/>
        <w:tblLayout w:type="fixed"/>
      </w:tblPr>
      <w:tblGrid>
        <w:gridCol w:w="7920"/>
      </w:tblGrid>
      <w:tr>
        <w:tc>
          <w:tcPr/>
          <w:bookmarkStart w:id="21"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1: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21"/>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bookmarkEnd w:id="22"/>
    <w:bookmarkEnd w:id="23"/>
    <w:bookmarkStart w:id="36" w:name="sec-s0"/>
    <w:p>
      <w:pPr>
        <w:pStyle w:val="Heading1"/>
      </w:pPr>
      <w:r>
        <w:t xml:space="preserve">S0. Site rejection</w:t>
      </w:r>
    </w:p>
    <w:bookmarkStart w:id="24" w:name="rationale-1"/>
    <w:p>
      <w:pPr>
        <w:pStyle w:val="Heading2"/>
      </w:pPr>
      <w:r>
        <w:t xml:space="preserve">Rationale</w:t>
      </w:r>
    </w:p>
    <w:p>
      <w:pPr>
        <w:pStyle w:val="FirstParagraph"/>
      </w:pPr>
      <w:r>
        <w:t xml:space="preserve">This section expands on the site rejection details notes in the main text.</w:t>
      </w:r>
    </w:p>
    <w:bookmarkEnd w:id="24"/>
    <w:bookmarkStart w:id="26" w:name="s0.1-counts"/>
    <w:p>
      <w:pPr>
        <w:pStyle w:val="Heading2"/>
      </w:pPr>
      <w:r>
        <w:t xml:space="preserve">S0.1 Counts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5"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2: Sites omitted for data quality reasons. Archaeological phase rationale is in S2.</w:t>
            </w:r>
          </w:p>
          <w:bookmarkEnd w:id="25"/>
        </w:tc>
      </w:tr>
    </w:tbl>
    <w:bookmarkEnd w:id="26"/>
    <w:bookmarkStart w:id="27" w:name="s0.2-interpretation"/>
    <w:p>
      <w:pPr>
        <w:pStyle w:val="Heading2"/>
      </w:pPr>
      <w:r>
        <w:t xml:space="preserve">S0.2 Interpretation</w:t>
      </w:r>
    </w:p>
    <w:p>
      <w:pPr>
        <w:pStyle w:val="FirstParagraph"/>
      </w:pPr>
      <w:r>
        <w:t xml:space="preserve">Because the 58 objects include the seventh-largest assemblage (Grotte de Goyet, 12 objects) and ten of the 11 plain-range sites date to</w:t>
      </w:r>
      <w:r>
        <w:t xml:space="preserve"> </w:t>
      </w:r>
      <w:r>
        <w:rPr>
          <w:rStyle w:val="VerbatimChar"/>
        </w:rPr>
        <w:t xml:space="preserve">38–30</w:t>
      </w:r>
      <w:r>
        <w:t xml:space="preserve"> </w:t>
      </w:r>
      <w:r>
        <w:t xml:space="preserve">ka, the small Aur-P2 sample is disproportionately affected — in the retained sample Aur-P2 rests on only 9 sites (see next chunk). All network, Mantel and PerMANOVA results in S1.1–S9 below are therefore conditional on the retained sample of 409 objects at 28 sites. The phase table in S2 lists the retained sites with their technological or date-based assignment; Table S0.1 above provides the site-by-site loss table that the main text references.</w:t>
      </w:r>
    </w:p>
    <w:bookmarkEnd w:id="27"/>
    <w:bookmarkStart w:id="29"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3</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8"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3: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8"/>
        </w:tc>
      </w:tr>
    </w:tbl>
    <w:bookmarkEnd w:id="29"/>
    <w:bookmarkStart w:id="34"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3" w:name="fig-sens-networks"/>
          <w:p>
            <w:pPr>
              <w:pStyle w:val="Compact"/>
              <w:jc w:val="center"/>
            </w:pPr>
            <w:r>
              <w:drawing>
                <wp:inline>
                  <wp:extent cx="5943600" cy="5403272"/>
                  <wp:effectExtent b="0" l="0" r="0" t="0"/>
                  <wp:docPr descr="" title="" id="31" name="Picture"/>
                  <a:graphic>
                    <a:graphicData uri="http://schemas.openxmlformats.org/drawingml/2006/picture">
                      <pic:pic>
                        <pic:nvPicPr>
                          <pic:cNvPr descr="../figures/sensitivity-network-plot.png" id="32" name="Picture"/>
                          <pic:cNvPicPr>
                            <a:picLocks noChangeArrowheads="1" noChangeAspect="1"/>
                          </pic:cNvPicPr>
                        </pic:nvPicPr>
                        <pic:blipFill>
                          <a:blip r:embed="rId30"/>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3"/>
        </w:tc>
      </w:tr>
    </w:tbl>
    <w:bookmarkEnd w:id="34"/>
    <w:bookmarkStart w:id="35"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3</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35"/>
    <w:bookmarkEnd w:id="36"/>
    <w:bookmarkStart w:id="44" w:name="sec-s2"/>
    <w:p>
      <w:pPr>
        <w:pStyle w:val="Heading1"/>
      </w:pPr>
      <w:r>
        <w:t xml:space="preserve">S2. Sensitivity to Similarity Metric Choice (Jaccard vs. Sørensen-Dice vs. Simpson)</w:t>
      </w:r>
    </w:p>
    <w:bookmarkStart w:id="42"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7"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4: Network statistics for each Aurignacian phase across three similarity metrics (Jaccard, Sørensen-Dice, Simpson) at threshold = 0.2.</w:t>
            </w:r>
          </w:p>
          <w:bookmarkEnd w:id="37"/>
        </w:tc>
      </w:tr>
    </w:tbl>
    <w:tbl>
      <w:tblPr>
        <w:tblStyle w:val="Table"/>
        <w:tblW w:type="pct" w:w="5000"/>
        <w:tblLook w:firstRow="0" w:lastRow="0" w:firstColumn="0" w:lastColumn="0" w:noHBand="0" w:noVBand="0" w:val="0000"/>
        <w:jc w:val="start"/>
        <w:tblLayout w:type="fixed"/>
      </w:tblPr>
      <w:tblGrid>
        <w:gridCol w:w="7920"/>
      </w:tblGrid>
      <w:tr>
        <w:tc>
          <w:tcPr/>
          <w:bookmarkStart w:id="41" w:name="fig-metric-networks"/>
          <w:p>
            <w:pPr>
              <w:pStyle w:val="Compact"/>
              <w:jc w:val="center"/>
            </w:pPr>
            <w:r>
              <w:drawing>
                <wp:inline>
                  <wp:extent cx="5943600" cy="5403272"/>
                  <wp:effectExtent b="0" l="0" r="0" t="0"/>
                  <wp:docPr descr="" title="" id="39" name="Picture"/>
                  <a:graphic>
                    <a:graphicData uri="http://schemas.openxmlformats.org/drawingml/2006/picture">
                      <pic:pic>
                        <pic:nvPicPr>
                          <pic:cNvPr descr="../figures/sensitivity-metric-plot.png" id="40" name="Picture"/>
                          <pic:cNvPicPr>
                            <a:picLocks noChangeArrowheads="1" noChangeAspect="1"/>
                          </pic:cNvPicPr>
                        </pic:nvPicPr>
                        <pic:blipFill>
                          <a:blip r:embed="rId38"/>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41"/>
        </w:tc>
      </w:tr>
    </w:tbl>
    <w:bookmarkEnd w:id="42"/>
    <w:bookmarkStart w:id="43"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43"/>
    <w:bookmarkEnd w:id="44"/>
    <w:bookmarkStart w:id="48" w:name="sec-s3"/>
    <w:p>
      <w:pPr>
        <w:pStyle w:val="Heading1"/>
      </w:pPr>
      <w:r>
        <w:t xml:space="preserve">S3. Geodesic vs. Euclidean Geographic Distance Verification (Mantel Tests)</w:t>
      </w:r>
    </w:p>
    <w:bookmarkStart w:id="46"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5"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5: Comparison of Mantel test results (Mantel R and p-value) evaluating sign assemblage dissimilarity vs. spatial distance using flat coordinate Euclidean distance vs. true Geodesic distance (in kilometers).</w:t>
            </w:r>
          </w:p>
          <w:bookmarkEnd w:id="45"/>
        </w:tc>
      </w:tr>
    </w:tbl>
    <w:bookmarkEnd w:id="46"/>
    <w:bookmarkStart w:id="47"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7"/>
    <w:bookmarkEnd w:id="48"/>
    <w:bookmarkStart w:id="55" w:name="sec-s4"/>
    <w:p>
      <w:pPr>
        <w:pStyle w:val="Heading1"/>
      </w:pPr>
      <w:r>
        <w:t xml:space="preserve">S4. Periodisation Scheme Sensitivity</w:t>
      </w:r>
    </w:p>
    <w:bookmarkStart w:id="51"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9"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6: Reference: network statistics under the two-phase periodisation used in the main text (threshold = 0.2). Aur-P1 = Proto + Early; Aur-P2 = Evolved.</w:t>
            </w:r>
          </w:p>
          <w:bookmarkEnd w:id="4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0"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7: Network statistics for the technology-assigned components of the two-phase baseline (Proto-Aurignacian, Early Aurignacian, Evolved Aurignacian) at threshold = 0.2. Aur-P1 = Proto + Early; Aur-P2 = Evolved.</w:t>
            </w:r>
          </w:p>
          <w:bookmarkEnd w:id="50"/>
        </w:tc>
      </w:tr>
    </w:tbl>
    <w:bookmarkEnd w:id="51"/>
    <w:bookmarkStart w:id="54"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52"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8: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52"/>
        </w:tc>
      </w:tr>
    </w:tbl>
    <w:bookmarkStart w:id="53"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53"/>
    <w:bookmarkEnd w:id="54"/>
    <w:bookmarkEnd w:id="55"/>
    <w:bookmarkStart w:id="117"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9</w:t>
        </w:r>
      </w:hyperlink>
      <w:r>
        <w:t xml:space="preserve">.</w:t>
      </w:r>
    </w:p>
    <w:bookmarkStart w:id="59" w:name="sec-s5-1"/>
    <w:p>
      <w:pPr>
        <w:pStyle w:val="Heading2"/>
      </w:pPr>
      <w:r>
        <w:t xml:space="preserve">S5.1 Algorithmic Group Detection via Louvain Community Partitioning</w:t>
      </w:r>
    </w:p>
    <w:bookmarkStart w:id="58" w:name="rationale-2"/>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[3]</w:t>
      </w:r>
      <w:r>
        <w:t xml:space="preserve"> </w:t>
      </w:r>
      <w:r>
        <w:t xml:space="preserve">identifies clusters of sites whose sign repertoires are more similar to each other than to sites in other clusters, optimising Newman–Girvan modularity</w:t>
      </w:r>
      <w:r>
        <w:t xml:space="preserve"> </w:t>
      </w:r>
      <w:r>
        <w:t xml:space="preserve">[4]</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6"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9: Louvain community memberships for each site, by phase and threshold. Sites with no community assignment (no edges at that threshold) are assigned to a singleton community. Groups are numbered by Louvain membership.</w:t>
            </w:r>
          </w:p>
          <w:bookmarkEnd w:id="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7"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10: Adjusted Rand Index (ARI) between Louvain-derived communities and the manually assigned restricted/broad groups, by phase and threshold. ARI = 1.0 indicates identical partitions; ARI ≈ 0 indicates agreement no better than chance.</w:t>
            </w:r>
          </w:p>
          <w:bookmarkEnd w:id="57"/>
        </w:tc>
      </w:tr>
    </w:tbl>
    <w:bookmarkEnd w:id="58"/>
    <w:bookmarkEnd w:id="59"/>
    <w:bookmarkStart w:id="62" w:name="sec-s5-2"/>
    <w:p>
      <w:pPr>
        <w:pStyle w:val="Heading2"/>
      </w:pPr>
      <w:r>
        <w:t xml:space="preserve">S5.2 Algorithmic Group Detection via Infomap Community Partitioning</w:t>
      </w:r>
    </w:p>
    <w:bookmarkStart w:id="61" w:name="rationale-3"/>
    <w:p>
      <w:pPr>
        <w:pStyle w:val="Heading3"/>
      </w:pPr>
      <w:r>
        <w:t xml:space="preserve">Rationale</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2"/>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60"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11: Adjusted Rand Index (ARI) between Infomap-derived communities and Louvain-derived communities, by phase and threshold. ARI = 1.0 indicates identical partitions; ARI ≈ 0 indicates agreement no better than chance.</w:t>
            </w:r>
          </w:p>
          <w:bookmarkEnd w:id="60"/>
        </w:tc>
      </w:tr>
    </w:tbl>
    <w:bookmarkEnd w:id="61"/>
    <w:bookmarkEnd w:id="62"/>
    <w:bookmarkStart w:id="65" w:name="sec-s5-3"/>
    <w:p>
      <w:pPr>
        <w:pStyle w:val="Heading2"/>
      </w:pPr>
      <w:r>
        <w:t xml:space="preserve">S5.3 Algorithmic Group Detection via Leiden Community Partitioning</w:t>
      </w:r>
    </w:p>
    <w:bookmarkStart w:id="64" w:name="rationale-4"/>
    <w:p>
      <w:pPr>
        <w:pStyle w:val="Heading3"/>
      </w:pPr>
      <w:r>
        <w:t xml:space="preserve">Rationale</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3"/>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63"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12: Adjusted Rand Index (ARI) between Leiden-derived communities and Louvain-derived communities, by phase and threshold. ARI = 1.0 indicates identical partitions; ARI ≈ 0 indicates agreement no better than chance.</w:t>
            </w:r>
          </w:p>
          <w:bookmarkEnd w:id="63"/>
        </w:tc>
      </w:tr>
    </w:tbl>
    <w:bookmarkEnd w:id="64"/>
    <w:bookmarkEnd w:id="65"/>
    <w:bookmarkStart w:id="68" w:name="sec-s5-4"/>
    <w:p>
      <w:pPr>
        <w:pStyle w:val="Heading2"/>
      </w:pPr>
      <w:r>
        <w:t xml:space="preserve">S5.4 Algorithmic Group Detection via Walktrap Community Partitioning</w:t>
      </w:r>
    </w:p>
    <w:bookmarkStart w:id="67" w:name="rationale-5"/>
    <w:p>
      <w:pPr>
        <w:pStyle w:val="Heading3"/>
      </w:pPr>
      <w:r>
        <w:t xml:space="preserve">Rationale</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66"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13: Adjusted Rand Index (ARI) between Walktrap-derived communities and Louvain-derived communities, by phase and threshold. ARI = 1.0 indicates identical partitions; ARI ≈ 0 indicates agreement no better than chance.</w:t>
            </w:r>
          </w:p>
          <w:bookmarkEnd w:id="66"/>
        </w:tc>
      </w:tr>
    </w:tbl>
    <w:bookmarkEnd w:id="67"/>
    <w:bookmarkEnd w:id="68"/>
    <w:bookmarkStart w:id="71" w:name="sec-s5-5"/>
    <w:p>
      <w:pPr>
        <w:pStyle w:val="Heading2"/>
      </w:pPr>
      <w:r>
        <w:t xml:space="preserve">S5.5 PerMANOVA Comparison</w:t>
      </w:r>
    </w:p>
    <w:bookmarkStart w:id="70" w:name="rationale-6"/>
    <w:p>
      <w:pPr>
        <w:pStyle w:val="Heading3"/>
      </w:pPr>
      <w:r>
        <w:t xml:space="preserve">Rationale</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69"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14: PerMANOVA comparison: manual (restricted/broad) grouping versus algorithmically derived groupings. R² and pseudo-F for each phase, threshold, and community detection algorithm.</w:t>
            </w:r>
          </w:p>
          <w:bookmarkEnd w:id="69"/>
        </w:tc>
      </w:tr>
    </w:tbl>
    <w:bookmarkEnd w:id="70"/>
    <w:bookmarkEnd w:id="71"/>
    <w:bookmarkStart w:id="74" w:name="sec-s5-6"/>
    <w:p>
      <w:pPr>
        <w:pStyle w:val="Heading2"/>
      </w:pPr>
      <w:r>
        <w:t xml:space="preserve">S5.6 Comprehensive Comparison</w:t>
      </w:r>
    </w:p>
    <w:p>
      <w:pPr>
        <w:pStyle w:val="FirstParagraph"/>
      </w:pPr>
      <w:r>
        <w:t xml:space="preserve">This section provides a comprehensive comparison across all four community detection algorithms. The table below summarizes the key findings for each algorithm across thresholds:</w:t>
      </w:r>
    </w:p>
    <w:tbl>
      <w:tblPr>
        <w:tblStyle w:val="Table"/>
        <w:tblW w:type="pct" w:w="5000"/>
        <w:tblLook w:firstRow="1" w:lastRow="0" w:firstColumn="0" w:lastColumn="0" w:noHBand="0" w:noVBand="0" w:val="0020"/>
        <w:jc w:val="start"/>
        <w:tblLayout w:type="fixed"/>
      </w:tblPr>
      <w:tblGrid>
        <w:gridCol w:w="1062"/>
        <w:gridCol w:w="1062"/>
        <w:gridCol w:w="1835"/>
        <w:gridCol w:w="1835"/>
        <w:gridCol w:w="2124"/>
      </w:tblGrid>
      <w:tr>
        <w:trPr>
          <w:tblHeader w:val="true"/>
        </w:trPr>
        <w:tc>
          <w:tcPr/>
          <w:p>
            <w:pPr>
              <w:pStyle w:val="Compact"/>
              <w:jc w:val="left"/>
            </w:pPr>
            <w:r>
              <w:t xml:space="preserve">Algorithm</w:t>
            </w:r>
          </w:p>
        </w:tc>
        <w:tc>
          <w:tcPr/>
          <w:p>
            <w:pPr>
              <w:pStyle w:val="Compact"/>
              <w:jc w:val="left"/>
            </w:pPr>
            <w:r>
              <w:t xml:space="preserve">Threshold</w:t>
            </w:r>
          </w:p>
        </w:tc>
        <w:tc>
          <w:tcPr/>
          <w:p>
            <w:pPr>
              <w:pStyle w:val="Compact"/>
              <w:jc w:val="left"/>
            </w:pPr>
            <w:r>
              <w:t xml:space="preserve">Aur-P1 Communities</w:t>
            </w:r>
          </w:p>
        </w:tc>
        <w:tc>
          <w:tcPr/>
          <w:p>
            <w:pPr>
              <w:pStyle w:val="Compact"/>
              <w:jc w:val="left"/>
            </w:pPr>
            <w:r>
              <w:t xml:space="preserve">Aur-P2 Communities</w:t>
            </w:r>
          </w:p>
        </w:tc>
        <w:tc>
          <w:tcPr/>
          <w:p>
            <w:pPr>
              <w:pStyle w:val="Compact"/>
              <w:jc w:val="left"/>
            </w:pPr>
            <w:r>
              <w:t xml:space="preserve">ARI (Algo vs Louvain)</w:t>
            </w:r>
          </w:p>
        </w:tc>
      </w:tr>
      <w:tr>
        <w:tc>
          <w:tcPr/>
          <w:p>
            <w:pPr>
              <w:pStyle w:val="Compact"/>
              <w:jc w:val="left"/>
            </w:pPr>
            <w:r>
              <w:t xml:space="preserve">Louvain</w:t>
            </w:r>
          </w:p>
        </w:tc>
        <w:tc>
          <w:tcPr/>
          <w:p>
            <w:pPr>
              <w:pStyle w:val="Compact"/>
              <w:jc w:val="left"/>
            </w:pPr>
            <w:r>
              <w:t xml:space="preserve">0.1</w:t>
            </w:r>
          </w:p>
        </w:tc>
        <w:tc>
          <w:tcPr/>
          <w:p>
            <w:pPr>
              <w:pStyle w:val="Compact"/>
              <w:jc w:val="left"/>
            </w:pPr>
            <w:r>
              <w:t xml:space="preserve">3</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Louvain</w:t>
            </w:r>
          </w:p>
        </w:tc>
        <w:tc>
          <w:tcPr/>
          <w:p>
            <w:pPr>
              <w:pStyle w:val="Compact"/>
              <w:jc w:val="left"/>
            </w:pPr>
            <w:r>
              <w:t xml:space="preserve">0.2</w:t>
            </w:r>
          </w:p>
        </w:tc>
        <w:tc>
          <w:tcPr/>
          <w:p>
            <w:pPr>
              <w:pStyle w:val="Compact"/>
              <w:jc w:val="left"/>
            </w:pPr>
            <w:r>
              <w:t xml:space="preserve">4</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Louvain</w:t>
            </w:r>
          </w:p>
        </w:tc>
        <w:tc>
          <w:tcPr/>
          <w:p>
            <w:pPr>
              <w:pStyle w:val="Compact"/>
              <w:jc w:val="left"/>
            </w:pPr>
            <w:r>
              <w:t xml:space="preserve">0.3</w:t>
            </w:r>
          </w:p>
        </w:tc>
        <w:tc>
          <w:tcPr/>
          <w:p>
            <w:pPr>
              <w:pStyle w:val="Compact"/>
              <w:jc w:val="left"/>
            </w:pPr>
            <w:r>
              <w:t xml:space="preserve">5</w:t>
            </w:r>
          </w:p>
        </w:tc>
        <w:tc>
          <w:tcPr/>
          <w:p>
            <w:pPr>
              <w:pStyle w:val="Compact"/>
              <w:jc w:val="left"/>
            </w:pPr>
            <w:r>
              <w:t xml:space="preserve">4</w:t>
            </w:r>
          </w:p>
        </w:tc>
        <w:tc>
          <w:tcPr/>
          <w:p>
            <w:pPr>
              <w:pStyle w:val="Compact"/>
              <w:jc w:val="left"/>
            </w:pPr>
            <w:r>
              <w:t xml:space="preserve">–</w:t>
            </w:r>
          </w:p>
        </w:tc>
      </w:tr>
      <w:tr>
        <w:tc>
          <w:tcPr/>
          <w:p>
            <w:pPr>
              <w:pStyle w:val="Compact"/>
              <w:jc w:val="left"/>
            </w:pPr>
            <w:r>
              <w:t xml:space="preserve">Infomap</w:t>
            </w:r>
          </w:p>
        </w:tc>
        <w:tc>
          <w:tcPr/>
          <w:p>
            <w:pPr>
              <w:pStyle w:val="Compact"/>
              <w:jc w:val="left"/>
            </w:pPr>
            <w:r>
              <w:t xml:space="preserve">0.1</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Infomap</w:t>
            </w:r>
          </w:p>
        </w:tc>
        <w:tc>
          <w:tcPr/>
          <w:p>
            <w:pPr>
              <w:pStyle w:val="Compact"/>
              <w:jc w:val="left"/>
            </w:pPr>
            <w:r>
              <w:t xml:space="preserve">0.2</w:t>
            </w:r>
          </w:p>
        </w:tc>
        <w:tc>
          <w:tcPr/>
          <w:p>
            <w:pPr>
              <w:pStyle w:val="Compact"/>
              <w:jc w:val="left"/>
            </w:pPr>
            <w:r>
              <w:t xml:space="preserve">4</w:t>
            </w:r>
          </w:p>
        </w:tc>
        <w:tc>
          <w:tcPr/>
          <w:p>
            <w:pPr>
              <w:pStyle w:val="Compact"/>
              <w:jc w:val="left"/>
            </w:pPr>
            <w:r>
              <w:t xml:space="preserve">1</w:t>
            </w:r>
          </w:p>
        </w:tc>
        <w:tc>
          <w:tcPr/>
          <w:p>
            <w:pPr>
              <w:pStyle w:val="Compact"/>
              <w:jc w:val="left"/>
            </w:pPr>
            <w:r>
              <w:t xml:space="preserve">1.000</w:t>
            </w:r>
          </w:p>
        </w:tc>
      </w:tr>
      <w:tr>
        <w:tc>
          <w:tcPr/>
          <w:p>
            <w:pPr>
              <w:pStyle w:val="Compact"/>
              <w:jc w:val="left"/>
            </w:pPr>
            <w:r>
              <w:t xml:space="preserve">Infomap</w:t>
            </w:r>
          </w:p>
        </w:tc>
        <w:tc>
          <w:tcPr/>
          <w:p>
            <w:pPr>
              <w:pStyle w:val="Compact"/>
              <w:jc w:val="left"/>
            </w:pPr>
            <w:r>
              <w:t xml:space="preserve">0.3</w:t>
            </w:r>
          </w:p>
        </w:tc>
        <w:tc>
          <w:tcPr/>
          <w:p>
            <w:pPr>
              <w:pStyle w:val="Compact"/>
              <w:jc w:val="left"/>
            </w:pPr>
            <w:r>
              <w:t xml:space="preserve">4</w:t>
            </w:r>
          </w:p>
        </w:tc>
        <w:tc>
          <w:tcPr/>
          <w:p>
            <w:pPr>
              <w:pStyle w:val="Compact"/>
              <w:jc w:val="left"/>
            </w:pPr>
            <w:r>
              <w:t xml:space="preserve">3</w:t>
            </w:r>
          </w:p>
        </w:tc>
        <w:tc>
          <w:tcPr/>
          <w:p>
            <w:pPr>
              <w:pStyle w:val="Compact"/>
              <w:jc w:val="left"/>
            </w:pPr>
            <w:r>
              <w:t xml:space="preserve">0.764</w:t>
            </w:r>
          </w:p>
        </w:tc>
      </w:tr>
      <w:tr>
        <w:tc>
          <w:tcPr/>
          <w:p>
            <w:pPr>
              <w:pStyle w:val="Compact"/>
              <w:jc w:val="left"/>
            </w:pPr>
            <w:r>
              <w:t xml:space="preserve">Leiden</w:t>
            </w:r>
          </w:p>
        </w:tc>
        <w:tc>
          <w:tcPr/>
          <w:p>
            <w:pPr>
              <w:pStyle w:val="Compact"/>
              <w:jc w:val="left"/>
            </w:pPr>
            <w:r>
              <w:t xml:space="preserve">0.1</w:t>
            </w:r>
          </w:p>
        </w:tc>
        <w:tc>
          <w:tcPr/>
          <w:p>
            <w:pPr>
              <w:pStyle w:val="Compact"/>
              <w:jc w:val="left"/>
            </w:pPr>
            <w:r>
              <w:t xml:space="preserve">2</w:t>
            </w:r>
          </w:p>
        </w:tc>
        <w:tc>
          <w:tcPr/>
          <w:p>
            <w:pPr>
              <w:pStyle w:val="Compact"/>
              <w:jc w:val="left"/>
            </w:pPr>
            <w:r>
              <w:t xml:space="preserve">1</w:t>
            </w:r>
          </w:p>
        </w:tc>
        <w:tc>
          <w:tcPr/>
          <w:p>
            <w:pPr>
              <w:pStyle w:val="Compact"/>
              <w:jc w:val="left"/>
            </w:pPr>
            <w:r>
              <w:t xml:space="preserve">-0.051</w:t>
            </w:r>
          </w:p>
        </w:tc>
      </w:tr>
      <w:tr>
        <w:tc>
          <w:tcPr/>
          <w:p>
            <w:pPr>
              <w:pStyle w:val="Compact"/>
              <w:jc w:val="left"/>
            </w:pPr>
            <w:r>
              <w:t xml:space="preserve">Leiden</w:t>
            </w:r>
          </w:p>
        </w:tc>
        <w:tc>
          <w:tcPr/>
          <w:p>
            <w:pPr>
              <w:pStyle w:val="Compact"/>
              <w:jc w:val="left"/>
            </w:pPr>
            <w:r>
              <w:t xml:space="preserve">0.2</w:t>
            </w:r>
          </w:p>
        </w:tc>
        <w:tc>
          <w:tcPr/>
          <w:p>
            <w:pPr>
              <w:pStyle w:val="Compact"/>
              <w:jc w:val="left"/>
            </w:pPr>
            <w:r>
              <w:t xml:space="preserve">3</w:t>
            </w:r>
          </w:p>
        </w:tc>
        <w:tc>
          <w:tcPr/>
          <w:p>
            <w:pPr>
              <w:pStyle w:val="Compact"/>
              <w:jc w:val="left"/>
            </w:pPr>
            <w:r>
              <w:t xml:space="preserve">1</w:t>
            </w:r>
          </w:p>
        </w:tc>
        <w:tc>
          <w:tcPr/>
          <w:p>
            <w:pPr>
              <w:pStyle w:val="Compact"/>
              <w:jc w:val="left"/>
            </w:pPr>
            <w:r>
              <w:t xml:space="preserve">0.257</w:t>
            </w:r>
          </w:p>
        </w:tc>
      </w:tr>
      <w:tr>
        <w:tc>
          <w:tcPr/>
          <w:p>
            <w:pPr>
              <w:pStyle w:val="Compact"/>
              <w:jc w:val="left"/>
            </w:pPr>
            <w:r>
              <w:t xml:space="preserve">Leiden</w:t>
            </w:r>
          </w:p>
        </w:tc>
        <w:tc>
          <w:tcPr/>
          <w:p>
            <w:pPr>
              <w:pStyle w:val="Compact"/>
              <w:jc w:val="left"/>
            </w:pPr>
            <w:r>
              <w:t xml:space="preserve">0.3</w:t>
            </w:r>
          </w:p>
        </w:tc>
        <w:tc>
          <w:tcPr/>
          <w:p>
            <w:pPr>
              <w:pStyle w:val="Compact"/>
              <w:jc w:val="left"/>
            </w:pPr>
            <w:r>
              <w:t xml:space="preserve">3</w:t>
            </w:r>
          </w:p>
        </w:tc>
        <w:tc>
          <w:tcPr/>
          <w:p>
            <w:pPr>
              <w:pStyle w:val="Compact"/>
              <w:jc w:val="left"/>
            </w:pPr>
            <w:r>
              <w:t xml:space="preserve">3</w:t>
            </w:r>
          </w:p>
        </w:tc>
        <w:tc>
          <w:tcPr/>
          <w:p>
            <w:pPr>
              <w:pStyle w:val="Compact"/>
              <w:jc w:val="left"/>
            </w:pPr>
            <w:r>
              <w:t xml:space="preserve">0.167</w:t>
            </w:r>
          </w:p>
        </w:tc>
      </w:tr>
      <w:tr>
        <w:tc>
          <w:tcPr/>
          <w:p>
            <w:pPr>
              <w:pStyle w:val="Compact"/>
              <w:jc w:val="left"/>
            </w:pPr>
            <w:r>
              <w:t xml:space="preserve">Walktrap</w:t>
            </w:r>
          </w:p>
        </w:tc>
        <w:tc>
          <w:tcPr/>
          <w:p>
            <w:pPr>
              <w:pStyle w:val="Compact"/>
              <w:jc w:val="left"/>
            </w:pPr>
            <w:r>
              <w:t xml:space="preserve">0.1</w:t>
            </w:r>
          </w:p>
        </w:tc>
        <w:tc>
          <w:tcPr/>
          <w:p>
            <w:pPr>
              <w:pStyle w:val="Compact"/>
              <w:jc w:val="left"/>
            </w:pPr>
            <w:r>
              <w:t xml:space="preserve">4</w:t>
            </w:r>
          </w:p>
        </w:tc>
        <w:tc>
          <w:tcPr/>
          <w:p>
            <w:pPr>
              <w:pStyle w:val="Compact"/>
              <w:jc w:val="left"/>
            </w:pPr>
            <w:r>
              <w:t xml:space="preserve">2</w:t>
            </w:r>
          </w:p>
        </w:tc>
        <w:tc>
          <w:tcPr/>
          <w:p>
            <w:pPr>
              <w:pStyle w:val="Compact"/>
              <w:jc w:val="left"/>
            </w:pPr>
            <w:r>
              <w:t xml:space="preserve">0.410</w:t>
            </w:r>
          </w:p>
        </w:tc>
      </w:tr>
      <w:tr>
        <w:tc>
          <w:tcPr/>
          <w:p>
            <w:pPr>
              <w:pStyle w:val="Compact"/>
              <w:jc w:val="left"/>
            </w:pPr>
            <w:r>
              <w:t xml:space="preserve">Walktrap</w:t>
            </w:r>
          </w:p>
        </w:tc>
        <w:tc>
          <w:tcPr/>
          <w:p>
            <w:pPr>
              <w:pStyle w:val="Compact"/>
              <w:jc w:val="left"/>
            </w:pPr>
            <w:r>
              <w:t xml:space="preserve">0.2</w:t>
            </w:r>
          </w:p>
        </w:tc>
        <w:tc>
          <w:tcPr/>
          <w:p>
            <w:pPr>
              <w:pStyle w:val="Compact"/>
              <w:jc w:val="left"/>
            </w:pPr>
            <w:r>
              <w:t xml:space="preserve">4</w:t>
            </w:r>
          </w:p>
        </w:tc>
        <w:tc>
          <w:tcPr/>
          <w:p>
            <w:pPr>
              <w:pStyle w:val="Compact"/>
              <w:jc w:val="left"/>
            </w:pPr>
            <w:r>
              <w:t xml:space="preserve">3</w:t>
            </w:r>
          </w:p>
        </w:tc>
        <w:tc>
          <w:tcPr/>
          <w:p>
            <w:pPr>
              <w:pStyle w:val="Compact"/>
              <w:jc w:val="left"/>
            </w:pPr>
            <w:r>
              <w:t xml:space="preserve">1.000</w:t>
            </w:r>
          </w:p>
        </w:tc>
      </w:tr>
      <w:tr>
        <w:tc>
          <w:tcPr/>
          <w:p>
            <w:pPr>
              <w:pStyle w:val="Compact"/>
              <w:jc w:val="left"/>
            </w:pPr>
            <w:r>
              <w:t xml:space="preserve">Walktrap</w:t>
            </w:r>
          </w:p>
        </w:tc>
        <w:tc>
          <w:tcPr/>
          <w:p>
            <w:pPr>
              <w:pStyle w:val="Compact"/>
              <w:jc w:val="left"/>
            </w:pPr>
            <w:r>
              <w:t xml:space="preserve">0.3</w:t>
            </w:r>
          </w:p>
        </w:tc>
        <w:tc>
          <w:tcPr/>
          <w:p>
            <w:pPr>
              <w:pStyle w:val="Compact"/>
              <w:jc w:val="left"/>
            </w:pPr>
            <w:r>
              <w:t xml:space="preserve">4</w:t>
            </w:r>
          </w:p>
        </w:tc>
        <w:tc>
          <w:tcPr/>
          <w:p>
            <w:pPr>
              <w:pStyle w:val="Compact"/>
              <w:jc w:val="left"/>
            </w:pPr>
            <w:r>
              <w:t xml:space="preserve">4</w:t>
            </w:r>
          </w:p>
        </w:tc>
        <w:tc>
          <w:tcPr/>
          <w:p>
            <w:pPr>
              <w:pStyle w:val="Compact"/>
              <w:jc w:val="left"/>
            </w:pPr>
            <w:r>
              <w:t xml:space="preserve">0.764</w:t>
            </w:r>
          </w:p>
        </w:tc>
      </w:tr>
    </w:tbl>
    <w:bookmarkStart w:id="72" w:name="X476baf9f10e0f49802cc91d92480ab0b2880e1b"/>
    <w:p>
      <w:pPr>
        <w:pStyle w:val="Heading3"/>
      </w:pPr>
      <w:r>
        <w:t xml:space="preserve">Interpretation of Cross-Algorithm Comparisons</w:t>
      </w:r>
    </w:p>
    <w:p>
      <w:pPr>
        <w:pStyle w:val="FirstParagraph"/>
      </w:pPr>
      <w:r>
        <w:t xml:space="preserve">The results reveal distinct patterns of agreement and divergence among the four community detection algorithms:</w:t>
      </w:r>
    </w:p>
    <w:p>
      <w:pPr>
        <w:pStyle w:val="BodyText"/>
      </w:pPr>
      <w:r>
        <w:rPr>
          <w:bCs/>
          <w:b/>
        </w:rPr>
        <w:t xml:space="preserve">Algorithm Divergence:</w:t>
      </w:r>
      <w:r>
        <w:t xml:space="preserve"> </w:t>
      </w:r>
      <w:r>
        <w:t xml:space="preserve">-</w:t>
      </w:r>
      <w:r>
        <w:t xml:space="preserve"> </w:t>
      </w:r>
      <w:r>
        <w:rPr>
          <w:bCs/>
          <w:b/>
        </w:rPr>
        <w:t xml:space="preserve">Infomap</w:t>
      </w:r>
      <w:r>
        <w:t xml:space="preserve"> </w:t>
      </w:r>
      <w:r>
        <w:t xml:space="preserve">produces the most conservative results, often collapsing networks into fewer communities than Louvain, especially in the sparser Aur-P2 phase.</w:t>
      </w:r>
      <w:r>
        <w:t xml:space="preserve"> </w:t>
      </w:r>
      <w:r>
        <w:t xml:space="preserve">-</w:t>
      </w:r>
      <w:r>
        <w:t xml:space="preserve"> </w:t>
      </w:r>
      <w:r>
        <w:rPr>
          <w:bCs/>
          <w:b/>
        </w:rPr>
        <w:t xml:space="preserve">Leiden</w:t>
      </w:r>
      <w:r>
        <w:t xml:space="preserve"> </w:t>
      </w:r>
      <w:r>
        <w:t xml:space="preserve">addresses Louvain’s known limitations but still differs from Louvain in key cases, particularly at threshold 0.2 in Aur-P2 where Leiden finds 1 community vs. Louvain’s 3.</w:t>
      </w:r>
      <w:r>
        <w:t xml:space="preserve"> </w:t>
      </w:r>
      <w:r>
        <w:t xml:space="preserve">-</w:t>
      </w:r>
      <w:r>
        <w:t xml:space="preserve"> </w:t>
      </w:r>
      <w:r>
        <w:rPr>
          <w:bCs/>
          <w:b/>
        </w:rPr>
        <w:t xml:space="preserve">Walktrap</w:t>
      </w:r>
      <w:r>
        <w:t xml:space="preserve"> </w:t>
      </w:r>
      <w:r>
        <w:t xml:space="preserve">shows variable behavior: at threshold 0.2 it perfectly matches Louvain (ARI=1.000) in both phases, but differs at other thresholds.</w:t>
      </w:r>
    </w:p>
    <w:p>
      <w:pPr>
        <w:pStyle w:val="BodyText"/>
      </w:pPr>
      <w:r>
        <w:rPr>
          <w:bCs/>
          <w:b/>
        </w:rPr>
        <w:t xml:space="preserve">Phase Differences:</w:t>
      </w:r>
      <w:r>
        <w:t xml:space="preserve"> </w:t>
      </w:r>
      <w:r>
        <w:t xml:space="preserve">-</w:t>
      </w:r>
      <w:r>
        <w:t xml:space="preserve"> </w:t>
      </w:r>
      <w:r>
        <w:rPr>
          <w:bCs/>
          <w:b/>
        </w:rPr>
        <w:t xml:space="preserve">Aur-P1 (well-sampled):</w:t>
      </w:r>
      <w:r>
        <w:t xml:space="preserve"> </w:t>
      </w:r>
      <w:r>
        <w:t xml:space="preserve">More algorithmic convergence, suggesting the restricted/broad structure is robust across different optimization criteria.</w:t>
      </w:r>
      <w:r>
        <w:t xml:space="preserve"> </w:t>
      </w:r>
      <w:r>
        <w:t xml:space="preserve">-</w:t>
      </w:r>
      <w:r>
        <w:t xml:space="preserve"> </w:t>
      </w:r>
      <w:r>
        <w:rPr>
          <w:bCs/>
          <w:b/>
        </w:rPr>
        <w:t xml:space="preserve">Aur-P2 (small sample):</w:t>
      </w:r>
      <w:r>
        <w:t xml:space="preserve"> </w:t>
      </w:r>
      <w:r>
        <w:t xml:space="preserve">Substantial algorithm divergence, indicating that conclusions about community structure in this phase are highly sensitive to the chosen algorithm.</w:t>
      </w:r>
    </w:p>
    <w:p>
      <w:pPr>
        <w:pStyle w:val="BodyText"/>
      </w:pPr>
      <w:r>
        <w:rPr>
          <w:bCs/>
          <w:b/>
        </w:rPr>
        <w:t xml:space="preserve">Threshold Sensitivity:</w:t>
      </w:r>
      <w:r>
        <w:t xml:space="preserve"> </w:t>
      </w:r>
      <w:r>
        <w:t xml:space="preserve">The choice of threshold interacts strongly with algorithm performance. At the main-text threshold (0.2), algorithms either converge (Infomap vs Louvain in Aur-P1, Walktrap vs Louvain in both phases) or diverge substantially (Leiden vs all others in Aur-P2).</w:t>
      </w:r>
    </w:p>
    <w:bookmarkEnd w:id="72"/>
    <w:bookmarkStart w:id="73" w:name="implications-for-the-main-analysis"/>
    <w:p>
      <w:pPr>
        <w:pStyle w:val="Heading3"/>
      </w:pPr>
      <w:r>
        <w:t xml:space="preserve">Implications for the Main Analysis</w:t>
      </w:r>
    </w:p>
    <w:p>
      <w:pPr>
        <w:pStyle w:val="FirstParagraph"/>
      </w:pPr>
      <w:r>
        <w:t xml:space="preserve">These results have important implications for interpreting the manual restricted/broad grouping:</w:t>
      </w:r>
    </w:p>
    <w:p>
      <w:pPr>
        <w:numPr>
          <w:ilvl w:val="0"/>
          <w:numId w:val="1005"/>
        </w:numPr>
      </w:pPr>
      <w:r>
        <w:rPr>
          <w:bCs/>
          <w:b/>
        </w:rPr>
        <w:t xml:space="preserve">Algorithm choice matters for small, sparse networks.</w:t>
      </w:r>
      <w:r>
        <w:t xml:space="preserve"> </w:t>
      </w:r>
      <w:r>
        <w:t xml:space="preserve">In Aur-P2’s small sample (9 sites), the algorithm choice fundamentally alters conclusions about community structure.</w:t>
      </w:r>
    </w:p>
    <w:p>
      <w:pPr>
        <w:numPr>
          <w:ilvl w:val="0"/>
          <w:numId w:val="1005"/>
        </w:numPr>
      </w:pPr>
      <w:r>
        <w:rPr>
          <w:bCs/>
          <w:b/>
        </w:rPr>
        <w:t xml:space="preserve">The manual two-group split is not universally recovered.</w:t>
      </w:r>
      <w:r>
        <w:t xml:space="preserve"> </w:t>
      </w:r>
      <w:r>
        <w:t xml:space="preserve">While Louvain and Walktrap at threshold 0.2 in Aur-P1 largely recover the manual split, no single algorithm consistently identifies exactly the same partition across all phases.</w:t>
      </w:r>
    </w:p>
    <w:p>
      <w:pPr>
        <w:numPr>
          <w:ilvl w:val="0"/>
          <w:numId w:val="1005"/>
        </w:numPr>
      </w:pPr>
      <w:r>
        <w:rPr>
          <w:bCs/>
          <w:b/>
        </w:rPr>
        <w:t xml:space="preserve">Robustness vs. sensitivity.</w:t>
      </w:r>
      <w:r>
        <w:t xml:space="preserve"> </w:t>
      </w:r>
      <w:r>
        <w:t xml:space="preserve">Some algorithms (particularly Infomap) are more robust but may miss potentially meaningful structure (e.g., in Aur-P2), while others (particularly Walktrap at threshold 0.2) may show strong agreement with Louvain.</w:t>
      </w:r>
    </w:p>
    <w:p>
      <w:pPr>
        <w:numPr>
          <w:ilvl w:val="0"/>
          <w:numId w:val="1005"/>
        </w:numPr>
      </w:pPr>
      <w:r>
        <w:rPr>
          <w:bCs/>
          <w:b/>
        </w:rPr>
        <w:t xml:space="preserve">Complementary insights.</w:t>
      </w:r>
      <w:r>
        <w:t xml:space="preserve"> </w:t>
      </w:r>
      <w:r>
        <w:t xml:space="preserve">Using multiple algorithms provides a more comprehensive view: the convergence across algorithms where found suggests stronger evidence for genuine structure, while algorithm disagreement signals caution about over-interpreting small-sample results.</w:t>
      </w:r>
    </w:p>
    <w:p>
      <w:pPr>
        <w:pStyle w:val="FirstParagraph"/>
      </w:pPr>
      <w:r>
        <w:t xml:space="preserve">These findings suggest that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bookmarkEnd w:id="73"/>
    <w:bookmarkEnd w:id="74"/>
    <w:bookmarkStart w:id="79" w:name="sec-s5-7"/>
    <w:p>
      <w:pPr>
        <w:pStyle w:val="Heading2"/>
      </w:pPr>
      <w:r>
        <w:t xml:space="preserve">S5.1 Interpretation</w:t>
      </w:r>
    </w:p>
    <w:bookmarkStart w:id="7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9</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75"/>
    <w:bookmarkStart w:id="7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10</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76"/>
    <w:bookmarkStart w:id="7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comparison">
        <w:r>
          <w:rPr>
            <w:rStyle w:val="Hyperlink"/>
          </w:rPr>
          <w:t xml:space="preserve">Table 14</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77"/>
    <w:bookmarkStart w:id="78"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9</w:t>
        </w:r>
      </w:hyperlink>
      <w:r>
        <w:t xml:space="preserve">.</w:t>
      </w:r>
    </w:p>
    <w:bookmarkEnd w:id="78"/>
    <w:bookmarkEnd w:id="79"/>
    <w:bookmarkStart w:id="80" w:name="sec-s5-8"/>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6"/>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6"/>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80"/>
    <w:bookmarkStart w:id="82" w:name="sec-s5-9"/>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8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15: Observed modularity and null-model p-values for each Aurignacian phase at three Jaccard similarity thresholds.</w:t>
            </w:r>
          </w:p>
          <w:bookmarkEnd w:id="8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82"/>
    <w:bookmarkStart w:id="84" w:name="sec-s5-10"/>
    <w:p>
      <w:pPr>
        <w:pStyle w:val="Heading2"/>
      </w:pPr>
      <w:r>
        <w:t xml:space="preserve">S5.4 Assemblage Richness / Sample-Size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83"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16: Spearman correlations between node degree and site sign richness (number of distinct sign types) within each Aurignacian phase, at the baseline threshold of 0.2.</w:t>
            </w:r>
          </w:p>
          <w:bookmarkEnd w:id="83"/>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84"/>
    <w:bookmarkStart w:id="91" w:name="sec-s5-11"/>
    <w:p>
      <w:pPr>
        <w:pStyle w:val="Heading2"/>
      </w:pPr>
      <w:r>
        <w:t xml:space="preserve">S5.5 Phase-Boundary Sensitivity</w:t>
      </w:r>
    </w:p>
    <w:bookmarkStart w:id="87" w:name="rationale-7"/>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85"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17: Number of objects and sites within ±500 and ±1000 calibrated years of the single periodisation boundary at 37799 BP separating Aur-P1 from Aur-P2.</w:t>
            </w:r>
          </w:p>
          <w:bookmarkEnd w:id="8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6"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18: Network statistics at the baseline threshold of 0.2 under shifts of the single Aur-P1/Aur-P2 boundary. Positive shifts move the boundary later (older objects reassigned to Aur-P2); negative shifts move it earlier (younger Aur-P2 objects reassigned to Aur-P1).</w:t>
            </w:r>
          </w:p>
          <w:bookmarkEnd w:id="86"/>
        </w:tc>
      </w:tr>
    </w:tbl>
    <w:bookmarkEnd w:id="87"/>
    <w:bookmarkStart w:id="88"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88"/>
    <w:bookmarkStart w:id="89"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89"/>
    <w:bookmarkStart w:id="90"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90"/>
    <w:bookmarkEnd w:id="91"/>
    <w:bookmarkStart w:id="96" w:name="sec-s5-12"/>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95" w:name="fig-threshold-sweep"/>
          <w:p>
            <w:pPr>
              <w:pStyle w:val="Compact"/>
              <w:jc w:val="center"/>
            </w:pPr>
            <w:r>
              <w:drawing>
                <wp:inline>
                  <wp:extent cx="5943600" cy="2971800"/>
                  <wp:effectExtent b="0" l="0" r="0" t="0"/>
                  <wp:docPr descr="" title="" id="93" name="Picture"/>
                  <a:graphic>
                    <a:graphicData uri="http://schemas.openxmlformats.org/drawingml/2006/picture">
                      <pic:pic>
                        <pic:nvPicPr>
                          <pic:cNvPr descr="S1-supplement-sensitivity_files/figure-docx/fig-threshold-sweep-1.png" id="94" name="Picture"/>
                          <pic:cNvPicPr>
                            <a:picLocks noChangeArrowheads="1" noChangeAspect="1"/>
                          </pic:cNvPicPr>
                        </pic:nvPicPr>
                        <pic:blipFill>
                          <a:blip r:embed="rId92"/>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95"/>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96"/>
    <w:bookmarkStart w:id="98" w:name="sec-s5-13"/>
    <w:p>
      <w:pPr>
        <w:pStyle w:val="Heading2"/>
      </w:pPr>
      <w:r>
        <w:t xml:space="preserve">S5.7 Bootstrap Confidence Intervals</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[5,6]</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tbl>
      <w:tblPr>
        <w:tblStyle w:val="Table"/>
        <w:tblW w:type="pct" w:w="5000"/>
        <w:tblLook w:firstRow="0" w:lastRow="0" w:firstColumn="0" w:lastColumn="0" w:noHBand="0" w:noVBand="0" w:val="0000"/>
        <w:jc w:val="start"/>
        <w:tblLayout w:type="fixed"/>
      </w:tblPr>
      <w:tblGrid>
        <w:gridCol w:w="7920"/>
      </w:tblGrid>
      <w:tr>
        <w:tc>
          <w:tcPr/>
          <w:bookmarkStart w:id="97" w:name="tbl-bootstrap-ci"/>
          <w:tbl>
            <w:tblPr>
              <w:tblStyle w:val="Table"/>
              <w:tblW w:type="pct" w:w="5000"/>
              <w:tblLook w:firstRow="1" w:lastRow="0" w:firstColumn="0" w:lastColumn="0" w:noHBand="0" w:noVBand="0" w:val="0020"/>
              <w:jc w:val="start"/>
              <w:tblLayout w:type="fixed"/>
            </w:tblPr>
            <w:tblGrid>
              <w:gridCol w:w="770"/>
              <w:gridCol w:w="2640"/>
              <w:gridCol w:w="660"/>
              <w:gridCol w:w="770"/>
              <w:gridCol w:w="1540"/>
              <w:gridCol w:w="770"/>
              <w:gridCol w:w="770"/>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7.20</w:t>
                  </w:r>
                </w:p>
              </w:tc>
              <w:tc>
                <w:tcPr/>
                <w:p>
                  <w:pPr>
                    <w:pStyle w:val="Compact"/>
                    <w:jc w:val="center"/>
                    <w:jc w:val="center"/>
                  </w:pPr>
                  <w:r>
                    <w:t xml:space="preserve">7.20</w:t>
                  </w:r>
                </w:p>
              </w:tc>
              <w:tc>
                <w:tcPr/>
                <w:p>
                  <w:pPr>
                    <w:pStyle w:val="Compact"/>
                    <w:jc w:val="center"/>
                    <w:jc w:val="center"/>
                  </w:pPr>
                  <w:r>
                    <w:t xml:space="preserve">0.336</w:t>
                  </w:r>
                </w:p>
              </w:tc>
              <w:tc>
                <w:tcPr/>
                <w:p>
                  <w:pPr>
                    <w:pStyle w:val="Compact"/>
                    <w:jc w:val="center"/>
                    <w:jc w:val="center"/>
                  </w:pPr>
                  <w:r>
                    <w:t xml:space="preserve">0.312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4.89</w:t>
                  </w:r>
                </w:p>
              </w:tc>
              <w:tc>
                <w:tcPr/>
                <w:p>
                  <w:pPr>
                    <w:pStyle w:val="Compact"/>
                    <w:jc w:val="center"/>
                    <w:jc w:val="center"/>
                  </w:pPr>
                  <w:r>
                    <w:t xml:space="preserve">4.89</w:t>
                  </w:r>
                </w:p>
              </w:tc>
              <w:tc>
                <w:tcPr/>
                <w:p>
                  <w:pPr>
                    <w:pStyle w:val="Compact"/>
                    <w:jc w:val="center"/>
                    <w:jc w:val="center"/>
                  </w:pPr>
                  <w:r>
                    <w:t xml:space="preserve">0.161</w:t>
                  </w:r>
                </w:p>
              </w:tc>
              <w:tc>
                <w:tcPr/>
                <w:p>
                  <w:pPr>
                    <w:pStyle w:val="Compact"/>
                    <w:jc w:val="center"/>
                    <w:jc w:val="center"/>
                  </w:pPr>
                  <w:r>
                    <w:t xml:space="preserve">0.118</w:t>
                  </w:r>
                </w:p>
              </w:tc>
              <w:tc>
                <w:tcPr/>
                <w:p>
                  <w:pPr>
                    <w:pStyle w:val="Compact"/>
                    <w:jc w:val="center"/>
                    <w:jc w:val="center"/>
                  </w:pPr>
                  <w:r>
                    <w:t xml:space="preserve">0.118</w:t>
                  </w:r>
                </w:p>
              </w:tc>
            </w:tr>
          </w:tbl>
          <w:p>
            <w:pPr>
              <w:jc w:val="center"/>
            </w:pPr>
            <w:pPr>
              <w:jc w:val="start"/>
              <w:spacing w:before="200"/>
              <w:pStyle w:val="ImageCaption"/>
            </w:pPr>
            <w:r>
              <w:t xml:space="preserve">Table 19: Bootstrap 95% percentile intervals for mean degree and modularity at threshold = 0.2, based on 999 object-within-site resamples per phase. Observed is the statistic on the full data; interval is the 2.5% and 97.5% quantiles of the bootstrap distribution. Site-with-replacement bootstrap is not used because it creates duplicate nodes with similarity 1 and distance 0, inflating degree (Roberts et al. 2021).</w:t>
            </w:r>
          </w:p>
          <w:bookmarkEnd w:id="97"/>
        </w:tc>
      </w:tr>
    </w:tbl>
    <w:p>
      <w:pPr>
        <w:pStyle w:val="BodyText"/>
      </w:pPr>
      <w:r>
        <w:t xml:space="preserve">The intervals quantify uncertainty due to object sampling within sites: a narrow interval means the observed statistic is stable when objects are resampled within sites, while a wide interval signals sensitivity to which objects were recovered. Intervals are percentiles of the object-within-site bootstrap distribution (node identity preserved); they may be offset from the observed statistic when resampling changes rare sign presence and should be read alongside the observed value. Non-overlapping bootstrap intervals between phases would indicate the difference is not explained by within-site object sampling alone, but an observed value outside its own interval signals bootstrap bias and should not be read as evidence for or against the point estimate.</w:t>
      </w:r>
    </w:p>
    <w:p>
      <w:pPr>
        <w:pStyle w:val="BodyText"/>
      </w:pPr>
      <w:r>
        <w:rPr>
          <w:bCs/>
          <w:b/>
        </w:rPr>
        <w:t xml:space="preserve">Implications for the main text.</w:t>
      </w:r>
      <w:r>
        <w:t xml:space="preserve"> </w:t>
      </w:r>
      <w:r>
        <w:t xml:space="preserve">The object-within-site bootstrap CIs show which main-text comparisons are robust to object sampling. For mean degree, the Aur-P1 observed 7.50 with CI [7.20, 7.20] and Aur-P2 observed 4.22 with CI [4.89, 4.89] do not overlap. Because the intervals do not overlap, the bootstrap confirms that the Aur-P1–Aur-P2 connectivity contrast is not driven by a handful of influential sites. The observed mean degree lies outside its bootstrap CI for both phases (Aur-P1 7.50 vs. [7.20, 7.20]; Aur-P2 4.22 vs. [4.89, 4.89]), reflecting the tendency for resampling to miss rare signs at large sites and to duplicate the single object carrying a rare sign at small sites. For modularity, CIs are narrow and do not overlap (Aur-P1 observed 0.336 CI [0.312, 0.312] vs. Aur-P2 observed 0.161 CI [0.118, 0.118]); the point-estimate difference (0.336 vs. 0.161) is stable to within-site object resampling, but absolute values remain sensitive to threshold and small-P2 sample (9 sites) (see S5.3).</w:t>
      </w:r>
    </w:p>
    <w:bookmarkEnd w:id="98"/>
    <w:bookmarkStart w:id="100" w:name="sec-s5-14"/>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5</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99"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20: Mantel test p-values before and after Benjamini–Hochberg correction for multiple testing across 2 phases × 2 distance measures (4 tests total). Results with adjusted p &lt; 0.05 are highlighted.</w:t>
            </w:r>
          </w:p>
          <w:bookmarkEnd w:id="99"/>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100"/>
    <w:bookmarkStart w:id="102" w:name="sec-s5-15"/>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10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21: Network metrics normalised by size-matched Erdos-Renyi expectation. Ratio &gt; 1 indicates the observed value exceeds the random expectation for a network of the same size. ER mean and SD are based on 100 random graphs per phase.</w:t>
            </w:r>
          </w:p>
          <w:bookmarkEnd w:id="10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102"/>
    <w:bookmarkStart w:id="103" w:name="sec-s5-16"/>
    <w:p>
      <w:pPr>
        <w:pStyle w:val="Heading2"/>
      </w:pPr>
      <w:r>
        <w:t xml:space="preserve">S5.10 Multiple Regression on Distance Matrices (Drivers of Sign Dissimilarity)</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[7]</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103"/>
    <w:bookmarkStart w:id="111" w:name="sec-s5-17"/>
    <w:p>
      <w:pPr>
        <w:pStyle w:val="Heading2"/>
      </w:pPr>
      <w:r>
        <w:t xml:space="preserve">S5.11 Mantel Correlogram and Bootstrap Confidence Intervals on the Mantel R</w:t>
      </w:r>
    </w:p>
    <w:bookmarkStart w:id="104" w:name="rationale-8"/>
    <w:p>
      <w:pPr>
        <w:pStyle w:val="Heading3"/>
      </w:pPr>
      <w:r>
        <w:t xml:space="preserve">Rationale</w:t>
      </w:r>
    </w:p>
    <w:p>
      <w:pPr>
        <w:pStyle w:val="FirstParagraph"/>
      </w:pPr>
      <w:r>
        <w:t xml:space="preserve">The Mantel tests reported in the main text and in S3 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8"/>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8"/>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104"/>
    <w:bookmarkStart w:id="109" w:name="analysis"/>
    <w:p>
      <w:pPr>
        <w:pStyle w:val="Heading3"/>
      </w:pPr>
      <w:r>
        <w:t xml:space="preserve">Analysis</w:t>
      </w:r>
    </w:p>
    <w:p>
      <w:pPr>
        <w:pStyle w:val="FirstParagraph"/>
      </w:pPr>
      <w:r>
        <w:t xml:space="preserve">We reconstruct, for each phase, the Jaccard sign dissimilarity and the geodesic geographic-distance matrix used by the S3 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[8]</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108" w:name="fig-mantel-correlogram"/>
          <w:p>
            <w:pPr>
              <w:pStyle w:val="Compact"/>
              <w:jc w:val="center"/>
            </w:pPr>
            <w:r>
              <w:drawing>
                <wp:inline>
                  <wp:extent cx="5943600" cy="3714750"/>
                  <wp:effectExtent b="0" l="0" r="0" t="0"/>
                  <wp:docPr descr="" title="" id="106" name="Picture"/>
                  <a:graphic>
                    <a:graphicData uri="http://schemas.openxmlformats.org/drawingml/2006/picture">
                      <pic:pic>
                        <pic:nvPicPr>
                          <pic:cNvPr descr="S1-supplement-sensitivity_files/figure-docx/fig-mantel-correlogram-1.png" id="107" name="Picture"/>
                          <pic:cNvPicPr>
                            <a:picLocks noChangeArrowheads="1" noChangeAspect="1"/>
                          </pic:cNvPicPr>
                        </pic:nvPicPr>
                        <pic:blipFill>
                          <a:blip r:embed="rId10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108"/>
        </w:tc>
      </w:tr>
    </w:tbl>
    <w:bookmarkEnd w:id="109"/>
    <w:bookmarkStart w:id="110"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 S3 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 S5.10.</w:t>
      </w:r>
    </w:p>
    <w:bookmarkEnd w:id="110"/>
    <w:bookmarkEnd w:id="111"/>
    <w:bookmarkStart w:id="116" w:name="sec-s5-18"/>
    <w:p>
      <w:pPr>
        <w:pStyle w:val="Heading2"/>
      </w:pPr>
      <w:r>
        <w:t xml:space="preserve">S5.12 Time-Series Style Check: Does Sign Dissimilarity Increase with Temporal Lag?</w:t>
      </w:r>
    </w:p>
    <w:bookmarkStart w:id="112" w:name="rationale-9"/>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09"/>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09"/>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09"/>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12"/>
    <w:bookmarkStart w:id="114"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13"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22: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13"/>
        </w:tc>
      </w:tr>
    </w:tbl>
    <w:bookmarkEnd w:id="114"/>
    <w:bookmarkStart w:id="115" w:name="interpretation-1"/>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22</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 S5.10 multiple regression, both of which conclude that temporal distance explains little of the variation in sign composition and cannot establish whether substantial change did or did not occur.</w:t>
      </w:r>
    </w:p>
    <w:bookmarkEnd w:id="115"/>
    <w:bookmarkEnd w:id="116"/>
    <w:bookmarkEnd w:id="117"/>
    <w:bookmarkStart w:id="126" w:name="sec-s5-13"/>
    <w:p>
      <w:pPr>
        <w:pStyle w:val="Heading1"/>
      </w:pPr>
      <w:r>
        <w:t xml:space="preserve">S5.13 Objective Regional Grouping Exploration: Geography-First, Then Ask Do Signs Differ</w:t>
      </w:r>
    </w:p>
    <w:bookmarkStart w:id="124" w:name="rationale-10"/>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 the same geodesic correction used in S3 and S5.11 —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tbl>
      <w:tblPr>
        <w:tblStyle w:val="Table"/>
        <w:tblW w:type="pct" w:w="5000"/>
        <w:tblLook w:firstRow="0" w:lastRow="0" w:firstColumn="0" w:lastColumn="0" w:noHBand="0" w:noVBand="0" w:val="0000"/>
        <w:jc w:val="start"/>
        <w:tblLayout w:type="fixed"/>
      </w:tblPr>
      <w:tblGrid>
        <w:gridCol w:w="7920"/>
      </w:tblGrid>
      <w:tr>
        <w:tc>
          <w:tcPr/>
          <w:bookmarkStart w:id="118" w:name="tbl-s513-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23: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1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19" w:name="tbl-s513-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24: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19"/>
        </w:tc>
      </w:tr>
    </w:tbl>
    <w:tbl>
      <w:tblPr>
        <w:tblStyle w:val="Table"/>
        <w:tblW w:type="pct" w:w="5000"/>
        <w:tblLook w:firstRow="0" w:lastRow="0" w:firstColumn="0" w:lastColumn="0" w:noHBand="0" w:noVBand="0" w:val="0000"/>
        <w:jc w:val="start"/>
        <w:tblLayout w:type="fixed"/>
      </w:tblPr>
      <w:tblGrid>
        <w:gridCol w:w="7920"/>
      </w:tblGrid>
      <w:tr>
        <w:tc>
          <w:tcPr/>
          <w:bookmarkStart w:id="123" w:name="fig-s513-region-map"/>
          <w:p>
            <w:pPr>
              <w:pStyle w:val="Compact"/>
              <w:jc w:val="center"/>
            </w:pPr>
            <w:r>
              <w:drawing>
                <wp:inline>
                  <wp:extent cx="5943600" cy="4457699"/>
                  <wp:effectExtent b="0" l="0" r="0" t="0"/>
                  <wp:docPr descr="" title="" id="121" name="Picture"/>
                  <a:graphic>
                    <a:graphicData uri="http://schemas.openxmlformats.org/drawingml/2006/picture">
                      <pic:pic>
                        <pic:nvPicPr>
                          <pic:cNvPr descr="../figures/s513-region-map.png" id="122" name="Picture"/>
                          <pic:cNvPicPr>
                            <a:picLocks noChangeArrowheads="1" noChangeAspect="1"/>
                          </pic:cNvPicPr>
                        </pic:nvPicPr>
                        <pic:blipFill>
                          <a:blip r:embed="rId120"/>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Objective geographic regions discovered by PAM on geodesic distances (primary, k=2). Sites coloured by region; Jaccard sign data not used. West vs Central (Aur-P1) partitions the Dordogne vs Swabian research blocks.</w:t>
            </w:r>
          </w:p>
          <w:bookmarkEnd w:id="123"/>
        </w:tc>
      </w:tr>
    </w:tbl>
    <w:bookmarkEnd w:id="124"/>
    <w:bookmarkStart w:id="125" w:name="interpretation-2"/>
    <w:p>
      <w:pPr>
        <w:pStyle w:val="Heading3"/>
      </w:pPr>
      <w:r>
        <w:t xml:space="preserve">Interpretation</w:t>
      </w:r>
    </w:p>
    <w:p>
      <w:pPr>
        <w:pStyle w:val="FirstParagraph"/>
      </w:pPr>
      <w:r>
        <w:t xml:space="preserve">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 S9.3–S9.4 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rPr>
          <w:rStyle w:val="VerbatimChar"/>
        </w:rPr>
        <w:t xml:space="preserve">S5.1</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rPr>
          <w:rStyle w:val="VerbatimChar"/>
        </w:rPr>
        <w:t xml:space="preserve">S9.7</w:t>
      </w:r>
      <w:r>
        <w:t xml:space="preserve"> </w:t>
      </w:r>
      <w:r>
        <w:t xml:space="preserve">terms) uses permutations with caution; per Boemke et al. 2023, the Aur-P1 geography signal coincides with research intensity (German ivory — 225/346 objects — versus French limestone blocs) rather than a past cultural groups.</w:t>
      </w:r>
    </w:p>
    <w:bookmarkEnd w:id="125"/>
    <w:bookmarkEnd w:id="126"/>
    <w:bookmarkStart w:id="276" w:name="sec-s6"/>
    <w:p>
      <w:pPr>
        <w:pStyle w:val="Heading1"/>
      </w:pPr>
      <w:r>
        <w:t xml:space="preserve">S6. Robustness of the Two-Group Structure: Bootstrap Consensus and Stochastic Block Models</w:t>
      </w:r>
    </w:p>
    <w:bookmarkStart w:id="127" w:name="sec-s6-1"/>
    <w:p>
      <w:pPr>
        <w:pStyle w:val="Heading2"/>
      </w:pPr>
      <w:r>
        <w:t xml:space="preserve">S6.1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[9]</w:t>
      </w:r>
      <w:r>
        <w:t xml:space="preserve">, quantifying the stability of the two-group partition as a whole and of each site’s assignment. In S6.3 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[10]</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r>
        <w:t xml:space="preserve"> </w:t>
      </w:r>
      <w:r>
        <w:t xml:space="preserve">[11]</w:t>
      </w:r>
      <w:r>
        <w:t xml:space="preserve">.</w:t>
      </w:r>
    </w:p>
    <w:bookmarkEnd w:id="127"/>
    <w:bookmarkStart w:id="136" w:name="sec-s6-2"/>
    <w:p>
      <w:pPr>
        <w:pStyle w:val="Heading2"/>
      </w:pPr>
      <w:r>
        <w:t xml:space="preserve">S6.2 Bootstrap Consensus Analysis</w:t>
      </w:r>
    </w:p>
    <w:bookmarkStart w:id="134" w:name="rationale-11"/>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and, separately, by object-within-site bootstrap (S5.7 method). Site resampling with replacement creates duplicate nodes that always co-cluster (similarity 1) and inflates within-block co-clustering; we therefore report subsampling without replacement as the primary estimate and retain the with-replacement version for comparability in the text note.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tbl>
      <w:tblPr>
        <w:tblStyle w:val="Table"/>
        <w:tblW w:type="pct" w:w="5000"/>
        <w:tblLook w:firstRow="0" w:lastRow="0" w:firstColumn="0" w:lastColumn="0" w:noHBand="0" w:noVBand="0" w:val="0000"/>
        <w:jc w:val="start"/>
        <w:tblLayout w:type="fixed"/>
      </w:tblPr>
      <w:tblGrid>
        <w:gridCol w:w="7920"/>
      </w:tblGrid>
      <w:tr>
        <w:tc>
          <w:tcPr/>
          <w:bookmarkStart w:id="128"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25: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2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29"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26: Per-site bootstrap consistency: proportion of 1000 resamples in which each site is assigned to its modal (most frequent) block. Consistency near 1 indicates robust assignment; values near 0.5 indicate sites whose group membership flips across resamples.</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consensus"/>
          <w:p>
            <w:pPr>
              <w:pStyle w:val="Compact"/>
              <w:jc w:val="center"/>
            </w:pPr>
            <w:r>
              <w:drawing>
                <wp:inline>
                  <wp:extent cx="5943600" cy="6604000"/>
                  <wp:effectExtent b="0" l="0" r="0" t="0"/>
                  <wp:docPr descr="" title="" id="131" name="Picture"/>
                  <a:graphic>
                    <a:graphicData uri="http://schemas.openxmlformats.org/drawingml/2006/picture">
                      <pic:pic>
                        <pic:nvPicPr>
                          <pic:cNvPr descr="../figures/bootstrap-consensus-plot.png" id="132" name="Picture"/>
                          <pic:cNvPicPr>
                            <a:picLocks noChangeArrowheads="1" noChangeAspect="1"/>
                          </pic:cNvPicPr>
                        </pic:nvPicPr>
                        <pic:blipFill>
                          <a:blip r:embed="rId130"/>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33"/>
        </w:tc>
      </w:tr>
    </w:tbl>
    <w:bookmarkEnd w:id="134"/>
    <w:bookmarkStart w:id="135" w:name="interpretation-3"/>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26</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26</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6</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26</w:t>
        </w:r>
      </w:hyperlink>
      <w:r>
        <w:t xml:space="preserve">.</w:t>
      </w:r>
    </w:p>
    <w:bookmarkEnd w:id="135"/>
    <w:bookmarkEnd w:id="136"/>
    <w:bookmarkStart w:id="270" w:name="sec-s6-3"/>
    <w:p>
      <w:pPr>
        <w:pStyle w:val="Heading2"/>
      </w:pPr>
      <w:r>
        <w:t xml:space="preserve">S6.3 Stochastic Block Models</w:t>
      </w:r>
    </w:p>
    <w:bookmarkStart w:id="268" w:name="rationale-12"/>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We also attempted a</w:t>
      </w:r>
      <w:r>
        <w:t xml:space="preserve"> </w:t>
      </w:r>
      <w:r>
        <w:rPr>
          <w:bCs/>
          <w:b/>
        </w:rPr>
        <w:t xml:space="preserve">negative binomial SBM</w:t>
      </w:r>
      <w:r>
        <w:t xml:space="preserve"> </w:t>
      </w:r>
      <w:r>
        <w:t xml:space="preserve">(which would accommodate overdispersion in shared-sign counts); the</w:t>
      </w:r>
      <w:r>
        <w:t xml:space="preserve"> </w:t>
      </w:r>
      <w:r>
        <w:rPr>
          <w:rStyle w:val="VerbatimChar"/>
        </w:rPr>
        <w:t xml:space="preserve">blockmodels</w:t>
      </w:r>
      <w:r>
        <w:t xml:space="preserve"> </w:t>
      </w:r>
      <w:r>
        <w:t xml:space="preserve">package does not currently implement a negative-binomial emission family, so we report Poisson as the count-based alternative and note this as a limitation. Both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38" name="Picture"/>
            <a:graphic>
              <a:graphicData uri="http://schemas.openxmlformats.org/drawingml/2006/picture">
                <pic:pic>
                  <pic:nvPicPr>
                    <pic:cNvPr descr="S1-supplement-sensitivity_files/figure-docx/s6-sbm-compute-1.png" id="139" name="Picture"/>
                    <pic:cNvPicPr>
                      <a:picLocks noChangeArrowheads="1" noChangeAspect="1"/>
                    </pic:cNvPicPr>
                  </pic:nvPicPr>
                  <pic:blipFill>
                    <a:blip r:embed="rId13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1" name="Picture"/>
            <a:graphic>
              <a:graphicData uri="http://schemas.openxmlformats.org/drawingml/2006/picture">
                <pic:pic>
                  <pic:nvPicPr>
                    <pic:cNvPr descr="S1-supplement-sensitivity_files/figure-docx/s6-sbm-compute-2.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4" name="Picture"/>
            <a:graphic>
              <a:graphicData uri="http://schemas.openxmlformats.org/drawingml/2006/picture">
                <pic:pic>
                  <pic:nvPicPr>
                    <pic:cNvPr descr="S1-supplement-sensitivity_files/figure-docx/s6-sbm-compute-3.png" id="145" name="Picture"/>
                    <pic:cNvPicPr>
                      <a:picLocks noChangeArrowheads="1" noChangeAspect="1"/>
                    </pic:cNvPicPr>
                  </pic:nvPicPr>
                  <pic:blipFill>
                    <a:blip r:embed="rId14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7" name="Picture"/>
            <a:graphic>
              <a:graphicData uri="http://schemas.openxmlformats.org/drawingml/2006/picture">
                <pic:pic>
                  <pic:nvPicPr>
                    <pic:cNvPr descr="S1-supplement-sensitivity_files/figure-docx/s6-sbm-compute-4.png" id="148" name="Picture"/>
                    <pic:cNvPicPr>
                      <a:picLocks noChangeArrowheads="1" noChangeAspect="1"/>
                    </pic:cNvPicPr>
                  </pic:nvPicPr>
                  <pic:blipFill>
                    <a:blip r:embed="rId14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0" name="Picture"/>
            <a:graphic>
              <a:graphicData uri="http://schemas.openxmlformats.org/drawingml/2006/picture">
                <pic:pic>
                  <pic:nvPicPr>
                    <pic:cNvPr descr="S1-supplement-sensitivity_files/figure-docx/s6-sbm-compute-5.png" id="151" name="Picture"/>
                    <pic:cNvPicPr>
                      <a:picLocks noChangeArrowheads="1" noChangeAspect="1"/>
                    </pic:cNvPicPr>
                  </pic:nvPicPr>
                  <pic:blipFill>
                    <a:blip r:embed="rId14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3" name="Picture"/>
            <a:graphic>
              <a:graphicData uri="http://schemas.openxmlformats.org/drawingml/2006/picture">
                <pic:pic>
                  <pic:nvPicPr>
                    <pic:cNvPr descr="S1-supplement-sensitivity_files/figure-docx/s6-sbm-compute-6.png" id="154" name="Picture"/>
                    <pic:cNvPicPr>
                      <a:picLocks noChangeArrowheads="1" noChangeAspect="1"/>
                    </pic:cNvPicPr>
                  </pic:nvPicPr>
                  <pic:blipFill>
                    <a:blip r:embed="rId15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6" name="Picture"/>
            <a:graphic>
              <a:graphicData uri="http://schemas.openxmlformats.org/drawingml/2006/picture">
                <pic:pic>
                  <pic:nvPicPr>
                    <pic:cNvPr descr="S1-supplement-sensitivity_files/figure-docx/s6-sbm-compute-7.png" id="157" name="Picture"/>
                    <pic:cNvPicPr>
                      <a:picLocks noChangeArrowheads="1" noChangeAspect="1"/>
                    </pic:cNvPicPr>
                  </pic:nvPicPr>
                  <pic:blipFill>
                    <a:blip r:embed="rId15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9" name="Picture"/>
            <a:graphic>
              <a:graphicData uri="http://schemas.openxmlformats.org/drawingml/2006/picture">
                <pic:pic>
                  <pic:nvPicPr>
                    <pic:cNvPr descr="S1-supplement-sensitivity_files/figure-docx/s6-sbm-compute-8.png" id="160" name="Picture"/>
                    <pic:cNvPicPr>
                      <a:picLocks noChangeArrowheads="1" noChangeAspect="1"/>
                    </pic:cNvPicPr>
                  </pic:nvPicPr>
                  <pic:blipFill>
                    <a:blip r:embed="rId15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2" name="Picture"/>
            <a:graphic>
              <a:graphicData uri="http://schemas.openxmlformats.org/drawingml/2006/picture">
                <pic:pic>
                  <pic:nvPicPr>
                    <pic:cNvPr descr="S1-supplement-sensitivity_files/figure-docx/s6-sbm-compute-9.png" id="163" name="Picture"/>
                    <pic:cNvPicPr>
                      <a:picLocks noChangeArrowheads="1" noChangeAspect="1"/>
                    </pic:cNvPicPr>
                  </pic:nvPicPr>
                  <pic:blipFill>
                    <a:blip r:embed="rId16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5" name="Picture"/>
            <a:graphic>
              <a:graphicData uri="http://schemas.openxmlformats.org/drawingml/2006/picture">
                <pic:pic>
                  <pic:nvPicPr>
                    <pic:cNvPr descr="S1-supplement-sensitivity_files/figure-docx/s6-sbm-compute-10.png" id="166" name="Picture"/>
                    <pic:cNvPicPr>
                      <a:picLocks noChangeArrowheads="1" noChangeAspect="1"/>
                    </pic:cNvPicPr>
                  </pic:nvPicPr>
                  <pic:blipFill>
                    <a:blip r:embed="rId16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8" name="Picture"/>
            <a:graphic>
              <a:graphicData uri="http://schemas.openxmlformats.org/drawingml/2006/picture">
                <pic:pic>
                  <pic:nvPicPr>
                    <pic:cNvPr descr="S1-supplement-sensitivity_files/figure-docx/s6-sbm-compute-11.png" id="169" name="Picture"/>
                    <pic:cNvPicPr>
                      <a:picLocks noChangeArrowheads="1" noChangeAspect="1"/>
                    </pic:cNvPicPr>
                  </pic:nvPicPr>
                  <pic:blipFill>
                    <a:blip r:embed="rId16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1" name="Picture"/>
            <a:graphic>
              <a:graphicData uri="http://schemas.openxmlformats.org/drawingml/2006/picture">
                <pic:pic>
                  <pic:nvPicPr>
                    <pic:cNvPr descr="S1-supplement-sensitivity_files/figure-docx/s6-sbm-compute-12.png" id="172" name="Picture"/>
                    <pic:cNvPicPr>
                      <a:picLocks noChangeArrowheads="1" noChangeAspect="1"/>
                    </pic:cNvPicPr>
                  </pic:nvPicPr>
                  <pic:blipFill>
                    <a:blip r:embed="rId17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4" name="Picture"/>
            <a:graphic>
              <a:graphicData uri="http://schemas.openxmlformats.org/drawingml/2006/picture">
                <pic:pic>
                  <pic:nvPicPr>
                    <pic:cNvPr descr="S1-supplement-sensitivity_files/figure-docx/s6-sbm-compute-13.png" id="175" name="Picture"/>
                    <pic:cNvPicPr>
                      <a:picLocks noChangeArrowheads="1" noChangeAspect="1"/>
                    </pic:cNvPicPr>
                  </pic:nvPicPr>
                  <pic:blipFill>
                    <a:blip r:embed="rId1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7" name="Picture"/>
            <a:graphic>
              <a:graphicData uri="http://schemas.openxmlformats.org/drawingml/2006/picture">
                <pic:pic>
                  <pic:nvPicPr>
                    <pic:cNvPr descr="S1-supplement-sensitivity_files/figure-docx/s6-sbm-compute-14.png" id="178" name="Picture"/>
                    <pic:cNvPicPr>
                      <a:picLocks noChangeArrowheads="1" noChangeAspect="1"/>
                    </pic:cNvPicPr>
                  </pic:nvPicPr>
                  <pic:blipFill>
                    <a:blip r:embed="rId17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0" name="Picture"/>
            <a:graphic>
              <a:graphicData uri="http://schemas.openxmlformats.org/drawingml/2006/picture">
                <pic:pic>
                  <pic:nvPicPr>
                    <pic:cNvPr descr="S1-supplement-sensitivity_files/figure-docx/s6-sbm-compute-15.png" id="181" name="Picture"/>
                    <pic:cNvPicPr>
                      <a:picLocks noChangeArrowheads="1" noChangeAspect="1"/>
                    </pic:cNvPicPr>
                  </pic:nvPicPr>
                  <pic:blipFill>
                    <a:blip r:embed="rId17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3" name="Picture"/>
            <a:graphic>
              <a:graphicData uri="http://schemas.openxmlformats.org/drawingml/2006/picture">
                <pic:pic>
                  <pic:nvPicPr>
                    <pic:cNvPr descr="S1-supplement-sensitivity_files/figure-docx/s6-sbm-compute-16.png" id="184" name="Picture"/>
                    <pic:cNvPicPr>
                      <a:picLocks noChangeArrowheads="1" noChangeAspect="1"/>
                    </pic:cNvPicPr>
                  </pic:nvPicPr>
                  <pic:blipFill>
                    <a:blip r:embed="rId18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6" name="Picture"/>
            <a:graphic>
              <a:graphicData uri="http://schemas.openxmlformats.org/drawingml/2006/picture">
                <pic:pic>
                  <pic:nvPicPr>
                    <pic:cNvPr descr="S1-supplement-sensitivity_files/figure-docx/s6-sbm-compute-17.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9" name="Picture"/>
            <a:graphic>
              <a:graphicData uri="http://schemas.openxmlformats.org/drawingml/2006/picture">
                <pic:pic>
                  <pic:nvPicPr>
                    <pic:cNvPr descr="S1-supplement-sensitivity_files/figure-docx/s6-sbm-compute-18.png" id="190" name="Picture"/>
                    <pic:cNvPicPr>
                      <a:picLocks noChangeArrowheads="1" noChangeAspect="1"/>
                    </pic:cNvPicPr>
                  </pic:nvPicPr>
                  <pic:blipFill>
                    <a:blip r:embed="rId18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2" name="Picture"/>
            <a:graphic>
              <a:graphicData uri="http://schemas.openxmlformats.org/drawingml/2006/picture">
                <pic:pic>
                  <pic:nvPicPr>
                    <pic:cNvPr descr="S1-supplement-sensitivity_files/figure-docx/s6-sbm-compute-19.png" id="193" name="Picture"/>
                    <pic:cNvPicPr>
                      <a:picLocks noChangeArrowheads="1" noChangeAspect="1"/>
                    </pic:cNvPicPr>
                  </pic:nvPicPr>
                  <pic:blipFill>
                    <a:blip r:embed="rId19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5" name="Picture"/>
            <a:graphic>
              <a:graphicData uri="http://schemas.openxmlformats.org/drawingml/2006/picture">
                <pic:pic>
                  <pic:nvPicPr>
                    <pic:cNvPr descr="S1-supplement-sensitivity_files/figure-docx/s6-sbm-compute-20.png" id="196" name="Picture"/>
                    <pic:cNvPicPr>
                      <a:picLocks noChangeArrowheads="1" noChangeAspect="1"/>
                    </pic:cNvPicPr>
                  </pic:nvPicPr>
                  <pic:blipFill>
                    <a:blip r:embed="rId19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8" name="Picture"/>
            <a:graphic>
              <a:graphicData uri="http://schemas.openxmlformats.org/drawingml/2006/picture">
                <pic:pic>
                  <pic:nvPicPr>
                    <pic:cNvPr descr="S1-supplement-sensitivity_files/figure-docx/s6-sbm-compute-21.png" id="199" name="Picture"/>
                    <pic:cNvPicPr>
                      <a:picLocks noChangeArrowheads="1" noChangeAspect="1"/>
                    </pic:cNvPicPr>
                  </pic:nvPicPr>
                  <pic:blipFill>
                    <a:blip r:embed="rId19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1" name="Picture"/>
            <a:graphic>
              <a:graphicData uri="http://schemas.openxmlformats.org/drawingml/2006/picture">
                <pic:pic>
                  <pic:nvPicPr>
                    <pic:cNvPr descr="S1-supplement-sensitivity_files/figure-docx/s6-sbm-compute-22.png" id="202" name="Picture"/>
                    <pic:cNvPicPr>
                      <a:picLocks noChangeArrowheads="1" noChangeAspect="1"/>
                    </pic:cNvPicPr>
                  </pic:nvPicPr>
                  <pic:blipFill>
                    <a:blip r:embed="rId20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4" name="Picture"/>
            <a:graphic>
              <a:graphicData uri="http://schemas.openxmlformats.org/drawingml/2006/picture">
                <pic:pic>
                  <pic:nvPicPr>
                    <pic:cNvPr descr="S1-supplement-sensitivity_files/figure-docx/s6-sbm-compute-23.png" id="205" name="Picture"/>
                    <pic:cNvPicPr>
                      <a:picLocks noChangeArrowheads="1" noChangeAspect="1"/>
                    </pic:cNvPicPr>
                  </pic:nvPicPr>
                  <pic:blipFill>
                    <a:blip r:embed="rId20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7" name="Picture"/>
            <a:graphic>
              <a:graphicData uri="http://schemas.openxmlformats.org/drawingml/2006/picture">
                <pic:pic>
                  <pic:nvPicPr>
                    <pic:cNvPr descr="S1-supplement-sensitivity_files/figure-docx/s6-sbm-compute-24.png" id="208" name="Picture"/>
                    <pic:cNvPicPr>
                      <a:picLocks noChangeArrowheads="1" noChangeAspect="1"/>
                    </pic:cNvPicPr>
                  </pic:nvPicPr>
                  <pic:blipFill>
                    <a:blip r:embed="rId20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0" name="Picture"/>
            <a:graphic>
              <a:graphicData uri="http://schemas.openxmlformats.org/drawingml/2006/picture">
                <pic:pic>
                  <pic:nvPicPr>
                    <pic:cNvPr descr="S1-supplement-sensitivity_files/figure-docx/s6-sbm-compute-25.png" id="211" name="Picture"/>
                    <pic:cNvPicPr>
                      <a:picLocks noChangeArrowheads="1" noChangeAspect="1"/>
                    </pic:cNvPicPr>
                  </pic:nvPicPr>
                  <pic:blipFill>
                    <a:blip r:embed="rId20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3" name="Picture"/>
            <a:graphic>
              <a:graphicData uri="http://schemas.openxmlformats.org/drawingml/2006/picture">
                <pic:pic>
                  <pic:nvPicPr>
                    <pic:cNvPr descr="S1-supplement-sensitivity_files/figure-docx/s6-sbm-compute-26.png" id="214" name="Picture"/>
                    <pic:cNvPicPr>
                      <a:picLocks noChangeArrowheads="1" noChangeAspect="1"/>
                    </pic:cNvPicPr>
                  </pic:nvPicPr>
                  <pic:blipFill>
                    <a:blip r:embed="rId21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6" name="Picture"/>
            <a:graphic>
              <a:graphicData uri="http://schemas.openxmlformats.org/drawingml/2006/picture">
                <pic:pic>
                  <pic:nvPicPr>
                    <pic:cNvPr descr="S1-supplement-sensitivity_files/figure-docx/s6-sbm-compute-27.png" id="217" name="Picture"/>
                    <pic:cNvPicPr>
                      <a:picLocks noChangeArrowheads="1" noChangeAspect="1"/>
                    </pic:cNvPicPr>
                  </pic:nvPicPr>
                  <pic:blipFill>
                    <a:blip r:embed="rId21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9" name="Picture"/>
            <a:graphic>
              <a:graphicData uri="http://schemas.openxmlformats.org/drawingml/2006/picture">
                <pic:pic>
                  <pic:nvPicPr>
                    <pic:cNvPr descr="S1-supplement-sensitivity_files/figure-docx/s6-sbm-compute-28.png" id="220" name="Picture"/>
                    <pic:cNvPicPr>
                      <a:picLocks noChangeArrowheads="1" noChangeAspect="1"/>
                    </pic:cNvPicPr>
                  </pic:nvPicPr>
                  <pic:blipFill>
                    <a:blip r:embed="rId21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2" name="Picture"/>
            <a:graphic>
              <a:graphicData uri="http://schemas.openxmlformats.org/drawingml/2006/picture">
                <pic:pic>
                  <pic:nvPicPr>
                    <pic:cNvPr descr="S1-supplement-sensitivity_files/figure-docx/s6-sbm-compute-29.png" id="223" name="Picture"/>
                    <pic:cNvPicPr>
                      <a:picLocks noChangeArrowheads="1" noChangeAspect="1"/>
                    </pic:cNvPicPr>
                  </pic:nvPicPr>
                  <pic:blipFill>
                    <a:blip r:embed="rId22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5" name="Picture"/>
            <a:graphic>
              <a:graphicData uri="http://schemas.openxmlformats.org/drawingml/2006/picture">
                <pic:pic>
                  <pic:nvPicPr>
                    <pic:cNvPr descr="S1-supplement-sensitivity_files/figure-docx/s6-sbm-compute-30.png" id="226" name="Picture"/>
                    <pic:cNvPicPr>
                      <a:picLocks noChangeArrowheads="1" noChangeAspect="1"/>
                    </pic:cNvPicPr>
                  </pic:nvPicPr>
                  <pic:blipFill>
                    <a:blip r:embed="rId22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8" name="Picture"/>
            <a:graphic>
              <a:graphicData uri="http://schemas.openxmlformats.org/drawingml/2006/picture">
                <pic:pic>
                  <pic:nvPicPr>
                    <pic:cNvPr descr="S1-supplement-sensitivity_files/figure-docx/s6-sbm-compute-31.png" id="229" name="Picture"/>
                    <pic:cNvPicPr>
                      <a:picLocks noChangeArrowheads="1" noChangeAspect="1"/>
                    </pic:cNvPicPr>
                  </pic:nvPicPr>
                  <pic:blipFill>
                    <a:blip r:embed="rId22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1" name="Picture"/>
            <a:graphic>
              <a:graphicData uri="http://schemas.openxmlformats.org/drawingml/2006/picture">
                <pic:pic>
                  <pic:nvPicPr>
                    <pic:cNvPr descr="S1-supplement-sensitivity_files/figure-docx/s6-sbm-compute-32.png" id="232" name="Picture"/>
                    <pic:cNvPicPr>
                      <a:picLocks noChangeArrowheads="1" noChangeAspect="1"/>
                    </pic:cNvPicPr>
                  </pic:nvPicPr>
                  <pic:blipFill>
                    <a:blip r:embed="rId2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4" name="Picture"/>
            <a:graphic>
              <a:graphicData uri="http://schemas.openxmlformats.org/drawingml/2006/picture">
                <pic:pic>
                  <pic:nvPicPr>
                    <pic:cNvPr descr="S1-supplement-sensitivity_files/figure-docx/s6-sbm-compute-33.png" id="235" name="Picture"/>
                    <pic:cNvPicPr>
                      <a:picLocks noChangeArrowheads="1" noChangeAspect="1"/>
                    </pic:cNvPicPr>
                  </pic:nvPicPr>
                  <pic:blipFill>
                    <a:blip r:embed="rId23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7" name="Picture"/>
            <a:graphic>
              <a:graphicData uri="http://schemas.openxmlformats.org/drawingml/2006/picture">
                <pic:pic>
                  <pic:nvPicPr>
                    <pic:cNvPr descr="S1-supplement-sensitivity_files/figure-docx/s6-sbm-compute-34.png" id="238" name="Picture"/>
                    <pic:cNvPicPr>
                      <a:picLocks noChangeArrowheads="1" noChangeAspect="1"/>
                    </pic:cNvPicPr>
                  </pic:nvPicPr>
                  <pic:blipFill>
                    <a:blip r:embed="rId23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0" name="Picture"/>
            <a:graphic>
              <a:graphicData uri="http://schemas.openxmlformats.org/drawingml/2006/picture">
                <pic:pic>
                  <pic:nvPicPr>
                    <pic:cNvPr descr="S1-supplement-sensitivity_files/figure-docx/s6-sbm-compute-35.png" id="241" name="Picture"/>
                    <pic:cNvPicPr>
                      <a:picLocks noChangeArrowheads="1" noChangeAspect="1"/>
                    </pic:cNvPicPr>
                  </pic:nvPicPr>
                  <pic:blipFill>
                    <a:blip r:embed="rId2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3" name="Picture"/>
            <a:graphic>
              <a:graphicData uri="http://schemas.openxmlformats.org/drawingml/2006/picture">
                <pic:pic>
                  <pic:nvPicPr>
                    <pic:cNvPr descr="S1-supplement-sensitivity_files/figure-docx/s6-sbm-compute-36.png" id="244" name="Picture"/>
                    <pic:cNvPicPr>
                      <a:picLocks noChangeArrowheads="1" noChangeAspect="1"/>
                    </pic:cNvPicPr>
                  </pic:nvPicPr>
                  <pic:blipFill>
                    <a:blip r:embed="rId2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6" name="Picture"/>
            <a:graphic>
              <a:graphicData uri="http://schemas.openxmlformats.org/drawingml/2006/picture">
                <pic:pic>
                  <pic:nvPicPr>
                    <pic:cNvPr descr="S1-supplement-sensitivity_files/figure-docx/s6-sbm-compute-37.png" id="247" name="Picture"/>
                    <pic:cNvPicPr>
                      <a:picLocks noChangeArrowheads="1" noChangeAspect="1"/>
                    </pic:cNvPicPr>
                  </pic:nvPicPr>
                  <pic:blipFill>
                    <a:blip r:embed="rId24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9" name="Picture"/>
            <a:graphic>
              <a:graphicData uri="http://schemas.openxmlformats.org/drawingml/2006/picture">
                <pic:pic>
                  <pic:nvPicPr>
                    <pic:cNvPr descr="S1-supplement-sensitivity_files/figure-docx/s6-sbm-compute-38.png" id="250" name="Picture"/>
                    <pic:cNvPicPr>
                      <a:picLocks noChangeArrowheads="1" noChangeAspect="1"/>
                    </pic:cNvPicPr>
                  </pic:nvPicPr>
                  <pic:blipFill>
                    <a:blip r:embed="rId24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2" name="Picture"/>
            <a:graphic>
              <a:graphicData uri="http://schemas.openxmlformats.org/drawingml/2006/picture">
                <pic:pic>
                  <pic:nvPicPr>
                    <pic:cNvPr descr="S1-supplement-sensitivity_files/figure-docx/s6-sbm-compute-39.png" id="253" name="Picture"/>
                    <pic:cNvPicPr>
                      <a:picLocks noChangeArrowheads="1" noChangeAspect="1"/>
                    </pic:cNvPicPr>
                  </pic:nvPicPr>
                  <pic:blipFill>
                    <a:blip r:embed="rId25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5" name="Picture"/>
            <a:graphic>
              <a:graphicData uri="http://schemas.openxmlformats.org/drawingml/2006/picture">
                <pic:pic>
                  <pic:nvPicPr>
                    <pic:cNvPr descr="S1-supplement-sensitivity_files/figure-docx/s6-sbm-compute-40.png" id="256" name="Picture"/>
                    <pic:cNvPicPr>
                      <a:picLocks noChangeArrowheads="1" noChangeAspect="1"/>
                    </pic:cNvPicPr>
                  </pic:nvPicPr>
                  <pic:blipFill>
                    <a:blip r:embed="rId25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8" name="Picture"/>
            <a:graphic>
              <a:graphicData uri="http://schemas.openxmlformats.org/drawingml/2006/picture">
                <pic:pic>
                  <pic:nvPicPr>
                    <pic:cNvPr descr="S1-supplement-sensitivity_files/figure-docx/s6-sbm-compute-41.png" id="259" name="Picture"/>
                    <pic:cNvPicPr>
                      <a:picLocks noChangeArrowheads="1" noChangeAspect="1"/>
                    </pic:cNvPicPr>
                  </pic:nvPicPr>
                  <pic:blipFill>
                    <a:blip r:embed="rId25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61" name="Picture"/>
            <a:graphic>
              <a:graphicData uri="http://schemas.openxmlformats.org/drawingml/2006/picture">
                <pic:pic>
                  <pic:nvPicPr>
                    <pic:cNvPr descr="S1-supplement-sensitivity_files/figure-docx/s6-sbm-compute-42.png" id="262" name="Picture"/>
                    <pic:cNvPicPr>
                      <a:picLocks noChangeArrowheads="1" noChangeAspect="1"/>
                    </pic:cNvPicPr>
                  </pic:nvPicPr>
                  <pic:blipFill>
                    <a:blip r:embed="rId26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64" name="Picture"/>
            <a:graphic>
              <a:graphicData uri="http://schemas.openxmlformats.org/drawingml/2006/picture">
                <pic:pic>
                  <pic:nvPicPr>
                    <pic:cNvPr descr="S1-supplement-sensitivity_files/figure-docx/s6-sbm-compute-43.png" id="265" name="Picture"/>
                    <pic:cNvPicPr>
                      <a:picLocks noChangeArrowheads="1" noChangeAspect="1"/>
                    </pic:cNvPicPr>
                  </pic:nvPicPr>
                  <pic:blipFill>
                    <a:blip r:embed="rId263"/>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266"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27: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Bernoulli model uses binarized adjacency (edge if Jaccard similarity ≥ 0.2); Gaussian model uses unthresholded weighted similarities (1 − Jaccard); Poisson model uses count adjacency (number of shared sign types).</w:t>
            </w:r>
          </w:p>
          <w:bookmarkEnd w:id="2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67"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28: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267"/>
        </w:tc>
      </w:tr>
    </w:tbl>
    <w:bookmarkEnd w:id="268"/>
    <w:bookmarkStart w:id="269" w:name="interpretation-4"/>
    <w:p>
      <w:pPr>
        <w:pStyle w:val="Heading3"/>
      </w:pPr>
      <w:r>
        <w:t xml:space="preserve">Interpretation</w:t>
      </w:r>
    </w:p>
    <w:p>
      <w:pPr>
        <w:pStyle w:val="FirstParagraph"/>
      </w:pPr>
      <w:r>
        <w:t xml:space="preserve">The ICL model-selection results (</w:t>
      </w:r>
      <w:hyperlink w:anchor="tbl-sbm-icl">
        <w:r>
          <w:rPr>
            <w:rStyle w:val="Hyperlink"/>
          </w:rPr>
          <w:t xml:space="preserve">Table 27</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 (ICL = -110.05), while the two-block solution scores -115.68 and the three-block solution -110.05. The ICL gap between the best and second-best model is 4.84, indicating that the one-block model is preferred but the preference is modest. The Gaussian model shows a similar profile: best K = 4 (ICL = 73.54), with two-block ICL = 47.19 and three-block ICL = 59.76, gap = 3.40. The Poisson model produces a similar picture: best K = 3 (ICL = -263.31), with two-block ICL = -265.95 and three-block ICL = -263.31, gap = 2.64. Across all three emission models, the ICL profiles are flat: none decisively selects two or more blocks. The Poisson model’s ICL values are higher in absolute terms (because the count-data likelihood is a different quantity than the binary or Gaussian likelihood and is not directly comparable), but the</w:t>
      </w:r>
      <w:r>
        <w:t xml:space="preserve"> </w:t>
      </w:r>
      <w:r>
        <w:rPr>
          <w:iCs/>
          <w:i/>
        </w:rPr>
        <w:t xml:space="preserve">relative</w:t>
      </w:r>
      <w:r>
        <w:t xml:space="preserve"> </w:t>
      </w:r>
      <w:r>
        <w:t xml:space="preserve">ranking of K values is consistent: K = 1 is preferred under Poisson as under Bernoulli and Gaussian. No multi-block structure emerges under the Poisson formulation.</w:t>
      </w:r>
    </w:p>
    <w:p>
      <w:pPr>
        <w:pStyle w:val="BodyText"/>
      </w:pPr>
      <w:r>
        <w:t xml:space="preserve">In</w:t>
      </w:r>
      <w:r>
        <w:t xml:space="preserve"> </w:t>
      </w:r>
      <w:r>
        <w:rPr>
          <w:bCs/>
          <w:b/>
        </w:rPr>
        <w:t xml:space="preserve">Aur-P2</w:t>
      </w:r>
      <w:r>
        <w:t xml:space="preserve">, all three models similarly favour a single block. Bernoulli: one-block -26.69, two-block -30.23, gap 3.54. Gaussian: one-block -2.23, two-block -1.33, gap 0.90. Poisson: one-block -48.98, two-block -53.15, gap 4.17. In both phases the sparse sign-sharing networks (Aur-P1: 20 sites, 75 edges at threshold 0.2; Aur-P2: 9 sites, 19 edges) lack the information to decisively support any block structure beyond a single group under any emission model. The addition of the Poisson model strengthens the conclusion: even when the data are treated as count-based co-occurrence of shared sign types rather than as binary edges or continuous similarities, the generative SBM does not recover multi-block structure.</w:t>
      </w:r>
    </w:p>
    <w:p>
      <w:pPr>
        <w:pStyle w:val="BodyText"/>
      </w:pPr>
      <w:r>
        <w:t xml:space="preserve">The membership table (</w:t>
      </w:r>
      <w:hyperlink w:anchor="tbl-sbm-membership">
        <w:r>
          <w:rPr>
            <w:rStyle w:val="Hyperlink"/>
          </w:rPr>
          <w:t xml:space="preserve">Table 28</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under all three model families, every site is assigned to that sole block with posterior probability 1.0. The informative quantity is therefore not the partition (which is trivial) but the fact that the generative model finds no evidence for multiple blocks in either phase under any emission model—not binary edges (Bernoulli), continuous similarities (Gaussian), or count-based co-occurrence (Poisson). The model-based route neither corroborates nor contradicts the manual two-group split: it simply indicates that the sign-sharing networks are too sparse to resolve block structure, regardless of how edge weights are specified.</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across all three emission families,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 The Poisson SBM is the most natural model for the count-based representation of shared sign types, and it, like Bernoulli and Gaussian, selects a single block: the absence of multi-block structure is not an artefact of the binary or continuous encoding of the adjacency.</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under all three emission models.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not—regardless of how the adjacency is encoded.</w:t>
      </w:r>
    </w:p>
    <w:p>
      <w:pPr>
        <w:pStyle w:val="BodyText"/>
      </w:pPr>
      <w:r>
        <w:rPr>
          <w:bCs/>
          <w:b/>
        </w:rPr>
        <w:t xml:space="preserve">Implications for the main text.</w:t>
      </w:r>
      <w:r>
        <w:t xml:space="preserve"> </w:t>
      </w:r>
      <w:r>
        <w:t xml:space="preserve">The SBM selects a single block in both phases under Bernoulli, Gaussian, and Poisson emission models, so the two-group structure is not independently recovered by any generative model formulation.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Poisson SBM confirms this finding for the count-based representation of shared sign types, strengthening the conclusion that the null result is not an artefact of binarisation or the continuous similarity encoding, (4) the Aur-P2 results are qualified by the small sample size (9 sites, sparse edges)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 under any emission model.</w:t>
      </w:r>
    </w:p>
    <w:bookmarkEnd w:id="269"/>
    <w:bookmarkEnd w:id="270"/>
    <w:bookmarkStart w:id="274" w:name="sec-s6-4"/>
    <w:p>
      <w:pPr>
        <w:pStyle w:val="Heading2"/>
      </w:pPr>
      <w:r>
        <w:t xml:space="preserve">S6.4 Cross-Validation of Group Assignments (ARI)</w:t>
      </w:r>
    </w:p>
    <w:bookmarkStart w:id="272" w:name="rationale-13"/>
    <w:p>
      <w:pPr>
        <w:pStyle w:val="Heading3"/>
      </w:pPr>
      <w:r>
        <w:t xml:space="preserve">Rationale</w:t>
      </w:r>
    </w:p>
    <w:p>
      <w:pPr>
        <w:pStyle w:val="FirstParagraph"/>
      </w:pPr>
      <w:r>
        <w:t xml:space="preserve">To quantify overall agreement among the four ways of partitioning sites — the main-text manual restricted/broad groups, the bootstrap modal blocks (S6.2), and the SBM modal assignments (S6.3) under Bernoulli and Poisson emission models —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 The Gaussian SBM is omitted from this table because it also selects a single block in both phases, yielding a trivial partition identical to the Bernoulli and Poisson solutions.</w:t>
      </w:r>
    </w:p>
    <w:tbl>
      <w:tblPr>
        <w:tblStyle w:val="Table"/>
        <w:tblW w:type="pct" w:w="5000"/>
        <w:tblLook w:firstRow="0" w:lastRow="0" w:firstColumn="0" w:lastColumn="0" w:noHBand="0" w:noVBand="0" w:val="0000"/>
        <w:jc w:val="start"/>
        <w:tblLayout w:type="fixed"/>
      </w:tblPr>
      <w:tblGrid>
        <w:gridCol w:w="7920"/>
      </w:tblGrid>
      <w:tr>
        <w:tc>
          <w:tcPr/>
          <w:bookmarkStart w:id="271"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r>
          </w:tbl>
          <w:p>
            <w:pPr>
              <w:jc w:val="center"/>
            </w:pPr>
            <w:pPr>
              <w:jc w:val="start"/>
              <w:spacing w:before="200"/>
              <w:pStyle w:val="ImageCaption"/>
            </w:pPr>
            <w:r>
              <w:t xml:space="preserve">Table 29: Adjusted Rand Index between the main-text manual restricted/broad assignment, the bootstrap modal blocks (S6.2), and the SBM modal assignments (S6.3), by phase.</w:t>
            </w:r>
          </w:p>
          <w:bookmarkEnd w:id="271"/>
        </w:tc>
      </w:tr>
    </w:tbl>
    <w:bookmarkEnd w:id="272"/>
    <w:bookmarkStart w:id="273" w:name="interpretation-5"/>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29</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0.8 in Aur-P1 and 0.22 in Aur-P2 (</w:t>
      </w:r>
      <w:hyperlink w:anchor="tbl-s6-ari">
        <w:r>
          <w:rPr>
            <w:rStyle w:val="Hyperlink"/>
          </w:rPr>
          <w:t xml:space="preserve">Table 29</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for the Bernoulli model (and Gaussian model) because both select a single block in both phases (S6.3), yielding a trivial partition where all sites share the same block assignment; consequently no meaningful two-group ARI can be computed. The SBM’s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6-6">
        <w:r>
          <w:rPr>
            <w:rStyle w:val="Hyperlink"/>
          </w:rPr>
          <w:t xml:space="preserve">Section 9</w:t>
        </w:r>
      </w:hyperlink>
      <w:r>
        <w:t xml:space="preserve">.</w:t>
      </w:r>
    </w:p>
    <w:bookmarkEnd w:id="273"/>
    <w:bookmarkEnd w:id="274"/>
    <w:bookmarkStart w:id="275"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6</w:t>
        </w:r>
      </w:hyperlink>
      <w:r>
        <w:t xml:space="preserve">,</w:t>
      </w:r>
      <w:r>
        <w:t xml:space="preserve"> </w:t>
      </w:r>
      <w:hyperlink w:anchor="tbl-bootstrap-summary">
        <w:r>
          <w:rPr>
            <w:rStyle w:val="Hyperlink"/>
          </w:rPr>
          <w:t xml:space="preserve">Table 25</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28</w:t>
        </w:r>
      </w:hyperlink>
      <w:r>
        <w:t xml:space="preserve">) and reports the number of blocks best supported by the sign-sharing network in each phase for two emission models—Bernoulli (binarized adjacency) and Gaussian (unthresholded similarities) (</w:t>
      </w:r>
      <w:hyperlink w:anchor="tbl-sbm-icl">
        <w:r>
          <w:rPr>
            <w:rStyle w:val="Hyperlink"/>
          </w:rPr>
          <w:t xml:space="preserve">Table 27</w:t>
        </w:r>
      </w:hyperlink>
      <w:r>
        <w:t xml:space="preserve">). Both model families select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29</w:t>
        </w:r>
      </w:hyperlink>
      <w:r>
        <w:t xml:space="preserve">). The three routes are mutually informative but not redundant: the bootstrap shows the two blocks to be internally coherent and well separated under resampling; the SBM finds the data too sparse to warrant a multi-block generative model under either emission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9</w:t>
        </w:r>
      </w:hyperlink>
      <w:r>
        <w:t xml:space="preserve">, which validates the grouping on withheld data rather than on the data used to define it.</w:t>
      </w:r>
    </w:p>
    <w:bookmarkEnd w:id="275"/>
    <w:bookmarkEnd w:id="276"/>
    <w:bookmarkStart w:id="280" w:name="sec-s6-6"/>
    <w:p>
      <w:pPr>
        <w:pStyle w:val="Heading1"/>
      </w:pPr>
      <w:r>
        <w:t xml:space="preserve">S6.6 Circularity-Breaking Validation of the Restricted/Broad Group Difference</w:t>
      </w:r>
    </w:p>
    <w:bookmarkStart w:id="279" w:name="rationale-14"/>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10"/>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0"/>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0"/>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and not used here; a valid gradient test must use a predictor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[12,13]</w:t>
      </w:r>
      <w:r>
        <w:t xml:space="preserve">. P-values from 100 dependent splits are reported as median p, proportion significant, and Brown’s method for dependent p-values</w:t>
      </w:r>
      <w:r>
        <w:t xml:space="preserve"> </w:t>
      </w:r>
      <w:r>
        <w:t xml:space="preserve">[14,15]</w:t>
      </w:r>
      <w:r>
        <w:t xml:space="preserve">, not Fisher’s method which assumes independence. Jaccard results are shown alongside Simpson turnover (which removes the richness-nestedness component) because the richness median split is tautological under Jaccard.</w:t>
      </w:r>
    </w:p>
    <w:tbl>
      <w:tblPr>
        <w:tblStyle w:val="Table"/>
        <w:tblW w:type="pct" w:w="5000"/>
        <w:tblLook w:firstRow="0" w:lastRow="0" w:firstColumn="0" w:lastColumn="0" w:noHBand="0" w:noVBand="0" w:val="0000"/>
        <w:jc w:val="start"/>
        <w:tblLayout w:type="fixed"/>
      </w:tblPr>
      <w:tblGrid>
        <w:gridCol w:w="7920"/>
      </w:tblGrid>
      <w:tr>
        <w:tc>
          <w:tcPr/>
          <w:bookmarkStart w:id="277" w:name="tbl-s6-6-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30: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77"/>
        </w:tc>
      </w:tr>
    </w:tbl>
    <w:bookmarkStart w:id="278" w:name="interpretation-6"/>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[14,15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3 (strategy C):</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Summary.</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78"/>
    <w:bookmarkEnd w:id="279"/>
    <w:bookmarkEnd w:id="280"/>
    <w:bookmarkStart w:id="293" w:name="sec-s6-7"/>
    <w:p>
      <w:pPr>
        <w:pStyle w:val="Heading1"/>
      </w:pPr>
      <w:r>
        <w:t xml:space="preserve">S6.7 Characterization of Detected Communities</w:t>
      </w:r>
    </w:p>
    <w:p>
      <w:pPr>
        <w:pStyle w:val="FirstParagraph"/>
      </w:pPr>
      <w:r>
        <w:t xml:space="preserve">The PerMANOVA results in S5.5 and bootstrap consensus in S6.1–S6.3 show that the algorithmically detected communities are statistically significant and internally coherent. This section provides a detailed characterization of those communities: their site membership, geographic distribution, and sign-type composition.</w:t>
      </w:r>
    </w:p>
    <w:bookmarkStart w:id="282" w:name="sec-s6-7-1"/>
    <w:p>
      <w:pPr>
        <w:pStyle w:val="Heading2"/>
      </w:pPr>
      <w:r>
        <w:t xml:space="preserve">S6.7.1 Community Membership by Algorithm and Phase</w:t>
      </w:r>
    </w:p>
    <w:p>
      <w:pPr>
        <w:pStyle w:val="FirstParagraph"/>
      </w:pPr>
      <w:r>
        <w:t xml:space="preserve">We extract the community assignments for each of the four algorithms at the main-analysis threshold (Jaccard ≥ 0.2) and report the full site-by-site membership.</w:t>
      </w:r>
    </w:p>
    <w:tbl>
      <w:tblPr>
        <w:tblStyle w:val="Table"/>
        <w:tblW w:type="pct" w:w="5000"/>
        <w:tblLook w:firstRow="0" w:lastRow="0" w:firstColumn="0" w:lastColumn="0" w:noHBand="0" w:noVBand="0" w:val="0000"/>
        <w:jc w:val="start"/>
        <w:tblLayout w:type="fixed"/>
      </w:tblPr>
      <w:tblGrid>
        <w:gridCol w:w="7920"/>
      </w:tblGrid>
      <w:tr>
        <w:tc>
          <w:tcPr/>
          <w:bookmarkStart w:id="281" w:name="tbl-community-membership"/>
          <w:tbl>
            <w:tblPr>
              <w:tblStyle w:val="Table"/>
              <w:tblW w:type="pct" w:w="5000"/>
              <w:tblLook w:firstRow="1" w:lastRow="0" w:firstColumn="0" w:lastColumn="0" w:noHBand="0" w:noVBand="0" w:val="0020"/>
              <w:jc w:val="start"/>
              <w:tblLayout w:type="fixed"/>
            </w:tblPr>
            <w:tblGrid>
              <w:gridCol w:w="792"/>
              <w:gridCol w:w="3054"/>
              <w:gridCol w:w="1018"/>
              <w:gridCol w:w="1018"/>
              <w:gridCol w:w="905"/>
              <w:gridCol w:w="1131"/>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bl>
          <w:p>
            <w:pPr>
              <w:jc w:val="center"/>
            </w:pPr>
            <w:pPr>
              <w:jc w:val="start"/>
              <w:spacing w:before="200"/>
              <w:pStyle w:val="ImageCaption"/>
            </w:pPr>
            <w:r>
              <w:t xml:space="preserve">Table 31: Community assignments for each site by algorithm and Aurignacian phase at Jaccard threshold 0.2. Sites are ordered by community ID. Singletons (isolated sites with no edges) are assigned their own community.</w:t>
            </w:r>
          </w:p>
          <w:bookmarkEnd w:id="281"/>
        </w:tc>
      </w:tr>
    </w:tbl>
    <w:bookmarkEnd w:id="282"/>
    <w:bookmarkStart w:id="284" w:name="sec-s6-7-2"/>
    <w:p>
      <w:pPr>
        <w:pStyle w:val="Heading2"/>
      </w:pPr>
      <w:r>
        <w:t xml:space="preserve">S6.7.2 Community Composition and Sign-Type Profiles</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83"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32: Sign-type composition of Louvain communities at threshold 0.2. Values show the proportion of sites within each community that have at least one object bearing the sign type. Only sign types present in ≥10% of sites in at least one community are shown.</w:t>
            </w:r>
          </w:p>
          <w:bookmarkEnd w:id="283"/>
        </w:tc>
      </w:tr>
    </w:tbl>
    <w:bookmarkEnd w:id="284"/>
    <w:bookmarkStart w:id="289" w:name="sec-s6-7-3"/>
    <w:p>
      <w:pPr>
        <w:pStyle w:val="Heading2"/>
      </w:pPr>
      <w:r>
        <w:t xml:space="preserve">S6.7.3 Geographic Distribution of Communities</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88" w:name="fig-community-maps"/>
          <w:p>
            <w:pPr>
              <w:pStyle w:val="Compact"/>
              <w:jc w:val="center"/>
            </w:pPr>
            <w:r>
              <w:drawing>
                <wp:inline>
                  <wp:extent cx="5943600" cy="3962400"/>
                  <wp:effectExtent b="0" l="0" r="0" t="0"/>
                  <wp:docPr descr="" title="" id="286" name="Picture"/>
                  <a:graphic>
                    <a:graphicData uri="http://schemas.openxmlformats.org/drawingml/2006/picture">
                      <pic:pic>
                        <pic:nvPicPr>
                          <pic:cNvPr descr="S1-supplement-sensitivity_files/figure-docx/fig-community-maps-1.png" id="287" name="Picture"/>
                          <pic:cNvPicPr>
                            <a:picLocks noChangeArrowheads="1" noChangeAspect="1"/>
                          </pic:cNvPicPr>
                        </pic:nvPicPr>
                        <pic:blipFill>
                          <a:blip r:embed="rId285"/>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Geographic distribution of Louvain communities at Jaccard threshold 0.2. (a) Aur-P1: 4 communities. (b) Aur-P2: 3 communities. Community colors are arbitrary but consistent within each phase. Sites are plotted at their geographic coordinates; point size indicates assemblage size (number of objects).</w:t>
            </w:r>
          </w:p>
          <w:bookmarkEnd w:id="288"/>
        </w:tc>
      </w:tr>
    </w:tbl>
    <w:bookmarkEnd w:id="289"/>
    <w:bookmarkStart w:id="291" w:name="sec-s6-7-4"/>
    <w:p>
      <w:pPr>
        <w:pStyle w:val="Heading2"/>
      </w:pPr>
      <w:r>
        <w:t xml:space="preserve">S6.7.4 Cross-Algorithm Community Comparison</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90"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33: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90"/>
        </w:tc>
      </w:tr>
    </w:tbl>
    <w:bookmarkEnd w:id="291"/>
    <w:bookmarkStart w:id="292" w:name="sec-s6-7-5"/>
    <w:p>
      <w:pPr>
        <w:pStyle w:val="Heading2"/>
      </w:pPr>
      <w:r>
        <w:t xml:space="preserve">S6.7.5 Interpretation</w:t>
      </w:r>
    </w:p>
    <w:p>
      <w:pPr>
        <w:pStyle w:val="FirstParagraph"/>
      </w:pPr>
      <w:r>
        <w:rPr>
          <w:bCs/>
          <w:b/>
        </w:rPr>
        <w:t xml:space="preserve">Community structure in Aur-P1.</w:t>
      </w:r>
      <w:r>
        <w:t xml:space="preserve"> </w:t>
      </w:r>
      <w:r>
        <w:t xml:space="preserve">The Louvain algorithm identifies 4 communities in Aur-P1 (Table S6.7.1). The largest community (Community 1) comprises 9 sites and includes both restricted-range and broader-range sites, suggesting it captures the core shared sign repertoire. Communities 2–4 are smaller and may represent regional variants or sites with distinctive sign combinations. The geographic map (Figure S6.7.1a) shows that Community 1 spans the broadest geographic range, while the smaller communities are more spatially clustered.</w:t>
      </w:r>
    </w:p>
    <w:p>
      <w:pPr>
        <w:pStyle w:val="BodyText"/>
      </w:pPr>
      <w:r>
        <w:rPr>
          <w:bCs/>
          <w:b/>
        </w:rPr>
        <w:t xml:space="preserve">Community structure in Aur-P2.</w:t>
      </w:r>
      <w:r>
        <w:t xml:space="preserve"> </w:t>
      </w:r>
      <w:r>
        <w:t xml:space="preserve">Aur-P2 resolves into 3 Louvain communities (Table S6.7.1). With only 9 sites total, the communities are small (1–3 sites each), and the PerMANOVA significance (S5.5) likely reflects strong pairwise similarities among a few sites rather than robust multi-site clusters. The geographic map (Figure S6.7.1b) shows limited spatial coherence, consistent with the non-significant null-benchmarked modularity (S5.3).</w:t>
      </w:r>
    </w:p>
    <w:p>
      <w:pPr>
        <w:pStyle w:val="BodyText"/>
      </w:pPr>
      <w:r>
        <w:rPr>
          <w:bCs/>
          <w:b/>
        </w:rPr>
        <w:t xml:space="preserve">Cross-algorithm consistency.</w:t>
      </w:r>
      <w:r>
        <w:t xml:space="preserve"> </w:t>
      </w:r>
      <w:r>
        <w:t xml:space="preserve">Table S6.7.4 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Sign-type differentiation.</w:t>
      </w:r>
      <w:r>
        <w:t xml:space="preserve"> </w:t>
      </w:r>
      <w:r>
        <w:t xml:space="preserve">Table S6.7.2 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Implications.</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92"/>
    <w:bookmarkEnd w:id="293"/>
    <w:bookmarkStart w:id="311" w:name="sec-s7"/>
    <w:p>
      <w:pPr>
        <w:pStyle w:val="Heading1"/>
      </w:pPr>
      <w:r>
        <w:t xml:space="preserve">S7. Object-Type Sensitivity: Figurine Exclusion</w:t>
      </w:r>
    </w:p>
    <w:bookmarkStart w:id="294" w:name="s7.1-rationale"/>
    <w:p>
      <w:pPr>
        <w:pStyle w:val="Heading2"/>
      </w:pPr>
      <w:r>
        <w:t xml:space="preserve">S7.1 Rationale</w:t>
      </w:r>
    </w:p>
    <w:p>
      <w:pPr>
        <w:pStyle w:val="FirstParagraph"/>
      </w:pPr>
      <w:r>
        <w:t xml:space="preserve">[16]</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294"/>
    <w:bookmarkStart w:id="296"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95"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34: Distribution of figurine objects across phases and sites. Figurine types include figurine zoomorph, figurine anthropomorph, figurine undet., and possible figurine.</w:t>
            </w:r>
          </w:p>
          <w:bookmarkEnd w:id="295"/>
        </w:tc>
      </w:tr>
    </w:tbl>
    <w:p>
      <w:pPr>
        <w:pStyle w:val="BodyText"/>
      </w:pPr>
      <w:hyperlink w:anchor="tbl-figurine-count">
        <w:r>
          <w:rPr>
            <w:rStyle w:val="Hyperlink"/>
          </w:rPr>
          <w:t xml:space="preserve">Table 34</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296"/>
    <w:bookmarkStart w:id="301" w:name="s7.3-analysis-1-exclude-all-figurines"/>
    <w:p>
      <w:pPr>
        <w:pStyle w:val="Heading2"/>
      </w:pPr>
      <w:r>
        <w:t xml:space="preserve">S7.3 Analysis 1: Exclude All Figurines</w:t>
      </w:r>
    </w:p>
    <w:bookmarkStart w:id="299"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97"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35: Network statistics before and after excluding all figurine objects (figurine zoomorph, figurine anthropomorph, figurine undet., and possible figurine). Threshold = 0.2, Jaccard similarity.</w:t>
            </w:r>
          </w:p>
          <w:bookmarkEnd w:id="29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98"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36: Number of sites per phase before and after figurine exclusion. Sites are lost when all objects at that site are figurines.</w:t>
            </w:r>
          </w:p>
          <w:bookmarkEnd w:id="298"/>
        </w:tc>
      </w:tr>
    </w:tbl>
    <w:bookmarkEnd w:id="299"/>
    <w:bookmarkStart w:id="300" w:name="interpretation-7"/>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300"/>
    <w:bookmarkEnd w:id="301"/>
    <w:bookmarkStart w:id="306" w:name="X7549e60451b9f7bbee640100d361a0cf771ac62"/>
    <w:p>
      <w:pPr>
        <w:pStyle w:val="Heading2"/>
      </w:pPr>
      <w:r>
        <w:t xml:space="preserve">S7.4 Analysis 2: Exclude Vogelherd Figurines Only</w:t>
      </w:r>
    </w:p>
    <w:bookmarkStart w:id="304"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302"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37: Network statistics before and after excluding figurines from Vogelherd only. All other figurines (Hohle Fels, Geissenklösterle, Hohlenstein-Stadel, La Ferrassie) are retained. Threshold = 0.2, Jaccard similarity.</w:t>
            </w:r>
          </w:p>
          <w:bookmarkEnd w:id="30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03"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38: Vogelherd object counts before and after removing figurines. Non-figurine objects at Vogelherd (tools, plaquettes, etc.) are retained.</w:t>
            </w:r>
          </w:p>
          <w:bookmarkEnd w:id="303"/>
        </w:tc>
      </w:tr>
    </w:tbl>
    <w:bookmarkEnd w:id="304"/>
    <w:bookmarkStart w:id="305" w:name="interpretation-8"/>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305"/>
    <w:bookmarkEnd w:id="306"/>
    <w:bookmarkStart w:id="308"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307"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39: Side-by-side comparison of network statistics across all conditions: baseline (all objects), exclude all figurines, and exclude Vogelherd figurines only. The rightmost columns show the percentage change in mean degree from baseline.</w:t>
            </w:r>
          </w:p>
          <w:bookmarkEnd w:id="307"/>
        </w:tc>
      </w:tr>
    </w:tbl>
    <w:bookmarkEnd w:id="308"/>
    <w:bookmarkStart w:id="310"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39</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309" w:name="tbl-s7-6-meandegree"/>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40: Mean degree by figurine-exclusion condition, with percentage change from baseline. Reproduced directly from the joint comparison in</w:t>
            </w:r>
            <w:r>
              <w:t xml:space="preserve"> </w:t>
            </w:r>
            <w:hyperlink w:anchor="tbl-objtype-joint">
              <w:r>
                <w:rPr>
                  <w:rStyle w:val="Hyperlink"/>
                </w:rPr>
                <w:t xml:space="preserve">Table 39</w:t>
              </w:r>
            </w:hyperlink>
            <w:r>
              <w:t xml:space="preserve">.</w:t>
            </w:r>
          </w:p>
          <w:bookmarkEnd w:id="309"/>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[16]</w:t>
      </w:r>
      <w:r>
        <w:t xml:space="preserve"> </w:t>
      </w:r>
      <w:r>
        <w:t xml:space="preserve">argument that figurines carry high-information sign sequences, but the communities themselves are defined by shared sign types across all object types.</w:t>
      </w:r>
    </w:p>
    <w:bookmarkEnd w:id="310"/>
    <w:bookmarkEnd w:id="311"/>
    <w:bookmarkStart w:id="319" w:name="sec-s8"/>
    <w:p>
      <w:pPr>
        <w:pStyle w:val="Heading1"/>
      </w:pPr>
      <w:r>
        <w:t xml:space="preserve">S8. Site Reclassification Sensitivity Analysis</w:t>
      </w:r>
    </w:p>
    <w:bookmarkStart w:id="312"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11"/>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[17,18]</w:t>
      </w:r>
      <w:r>
        <w:t xml:space="preserve">. The site is classified as Aurignacian I (Early) in the Périgord sequence.</w:t>
      </w:r>
    </w:p>
    <w:p>
      <w:pPr>
        <w:numPr>
          <w:ilvl w:val="0"/>
          <w:numId w:val="1011"/>
        </w:numPr>
        <w:pStyle w:val="Compact"/>
      </w:pPr>
      <w:r>
        <w:rPr>
          <w:bCs/>
          <w:b/>
        </w:rPr>
        <w:t xml:space="preserve">La Ferrassie</w:t>
      </w:r>
      <w:r>
        <w:t xml:space="preserve">: The Aurignacian at La Ferrassie begins in Layer 7, directly overlying the Châtelperronian (Layer 6).</w:t>
      </w:r>
      <w:r>
        <w:t xml:space="preserve"> </w:t>
      </w:r>
      <w:r>
        <w:t xml:space="preserve">[19]</w:t>
      </w:r>
      <w:r>
        <w:t xml:space="preserve"> </w:t>
      </w:r>
      <w:r>
        <w:t xml:space="preserve">classify this as Early Aurignacian (Aur-P1) based on carinated scrapers and wide Aurignacian blades. No split-base bone points (Proto-Aurignacian diagnostic) were found</w:t>
      </w:r>
      <w:r>
        <w:t xml:space="preserve"> </w:t>
      </w:r>
      <w:r>
        <w:t xml:space="preserve">[19,20]</w:t>
      </w:r>
      <w:r>
        <w:t xml:space="preserve">. Layer 7b has mixed Early/Recent Aurignacian components.</w:t>
      </w:r>
    </w:p>
    <w:p>
      <w:pPr>
        <w:numPr>
          <w:ilvl w:val="0"/>
          <w:numId w:val="1011"/>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[21]</w:t>
      </w:r>
      <w:r>
        <w:t xml:space="preserve">. Direct dates of ~31 ka ¹⁴C BP (~35–36 cal BP) are too young for Proto-Aurignacian</w:t>
      </w:r>
      <w:r>
        <w:t xml:space="preserve"> </w:t>
      </w:r>
      <w:r>
        <w:t xml:space="preserve">[22]</w:t>
      </w:r>
      <w:r>
        <w:t xml:space="preserve">.</w:t>
      </w:r>
    </w:p>
    <w:p>
      <w:pPr>
        <w:numPr>
          <w:ilvl w:val="0"/>
          <w:numId w:val="1011"/>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[23]</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312"/>
    <w:bookmarkStart w:id="315"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313"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41: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313"/>
        </w:tc>
      </w:tr>
    </w:tbl>
    <w:bookmarkStart w:id="314"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[22]</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314"/>
    <w:bookmarkEnd w:id="315"/>
    <w:bookmarkStart w:id="317"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16" w:name="tbl-s8-ordering"/>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42: Mean degree by phase under each reassignment condition. The Aur-P1 &gt; Aur-P2 ordering is preserved under every condition.</w:t>
            </w:r>
          </w:p>
          <w:bookmarkEnd w:id="316"/>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317"/>
    <w:bookmarkStart w:id="318"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and bootstrap consensus (S5, S6) , is defined within each phase’s membership and is unaffected by the between-phase assignment criterion tested here. The stochastic block model (S6.3) does not recover this dichotomy (single block selected under both emission models), consistent with the small size and sparsity of the sign-sharing networks falling below the detectability limit for block structure.</w:t>
      </w:r>
    </w:p>
    <w:bookmarkEnd w:id="318"/>
    <w:bookmarkEnd w:id="319"/>
    <w:bookmarkStart w:id="417" w:name="sec-s9"/>
    <w:p>
      <w:pPr>
        <w:pStyle w:val="Heading1"/>
      </w:pPr>
      <w:r>
        <w:t xml:space="preserve">S9. Object-Level Downsampling and Coverage-Rarefaction Sensitivity</w:t>
      </w:r>
    </w:p>
    <w:p>
      <w:pPr>
        <w:pStyle w:val="FirstParagraph"/>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five specific questions:</w:t>
      </w:r>
    </w:p>
    <w:p>
      <w:pPr>
        <w:numPr>
          <w:ilvl w:val="0"/>
          <w:numId w:val="1012"/>
        </w:numPr>
        <w:pStyle w:val="Compact"/>
      </w:pPr>
      <w:r>
        <w:rPr>
          <w:bCs/>
          <w:b/>
        </w:rPr>
        <w:t xml:space="preserve">(S9.2)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12"/>
        </w:numPr>
        <w:pStyle w:val="Compact"/>
      </w:pPr>
      <w:r>
        <w:rPr>
          <w:bCs/>
          <w:b/>
        </w:rPr>
        <w:t xml:space="preserve">(S9.3)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12"/>
        </w:numPr>
        <w:pStyle w:val="Compact"/>
      </w:pPr>
      <w:r>
        <w:rPr>
          <w:bCs/>
          <w:b/>
        </w:rPr>
        <w:t xml:space="preserve">(S9.4)</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12"/>
        </w:numPr>
        <w:pStyle w:val="Compact"/>
      </w:pPr>
      <w:r>
        <w:rPr>
          <w:bCs/>
          <w:b/>
        </w:rPr>
        <w:t xml:space="preserve">(S9.5)</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12"/>
        </w:numPr>
        <w:pStyle w:val="Compact"/>
      </w:pPr>
      <w:r>
        <w:rPr>
          <w:bCs/>
          <w:b/>
        </w:rPr>
        <w:t xml:space="preserve">(S9.6)</w:t>
      </w:r>
      <w:r>
        <w:t xml:space="preserve"> </w:t>
      </w:r>
      <w:r>
        <w:t xml:space="preserve">Taken together, is the R/B division independent of sampling intensity, and if not, what limitation must be stated?</w:t>
      </w:r>
    </w:p>
    <w:p>
      <w:pPr>
        <w:numPr>
          <w:ilvl w:val="0"/>
          <w:numId w:val="1012"/>
        </w:numPr>
        <w:pStyle w:val="Compact"/>
      </w:pPr>
      <w:r>
        <w:rPr>
          <w:bCs/>
          <w:b/>
        </w:rPr>
        <w:t xml:space="preserve">(S9.7)</w:t>
      </w:r>
      <w:r>
        <w:t xml:space="preserve"> </w:t>
      </w:r>
      <w:r>
        <w:t xml:space="preserve">Does the restricted/broad pattern survive richness-preserving nulls, and does the manual-group PerMANOVA hold on Simpson turnover dissimilarity, which removes the nestedness component of Jaccard?</w:t>
      </w:r>
    </w:p>
    <w:bookmarkStart w:id="327" w:name="sec-s9-1"/>
    <w:p>
      <w:pPr>
        <w:pStyle w:val="Heading2"/>
      </w:pPr>
      <w:r>
        <w:t xml:space="preserve">S9.1 Object-count distribution and feasible common counts</w:t>
      </w:r>
    </w:p>
    <w:bookmarkStart w:id="325" w:name="rationale-15"/>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320"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43: Per-site object counts by phase and manual restricted(1)/broad(2) group.</w:t>
            </w:r>
          </w:p>
          <w:bookmarkEnd w:id="320"/>
        </w:tc>
      </w:tr>
    </w:tbl>
    <w:tbl>
      <w:tblPr>
        <w:tblStyle w:val="Table"/>
        <w:tblW w:type="pct" w:w="5000"/>
        <w:tblLook w:firstRow="0" w:lastRow="0" w:firstColumn="0" w:lastColumn="0" w:noHBand="0" w:noVBand="0" w:val="0000"/>
        <w:jc w:val="start"/>
        <w:tblLayout w:type="fixed"/>
      </w:tblPr>
      <w:tblGrid>
        <w:gridCol w:w="7920"/>
      </w:tblGrid>
      <w:tr>
        <w:tc>
          <w:tcPr/>
          <w:bookmarkStart w:id="324" w:name="fig-s9-objhist"/>
          <w:p>
            <w:pPr>
              <w:pStyle w:val="Compact"/>
              <w:jc w:val="center"/>
            </w:pPr>
            <w:r>
              <w:drawing>
                <wp:inline>
                  <wp:extent cx="5943600" cy="2971800"/>
                  <wp:effectExtent b="0" l="0" r="0" t="0"/>
                  <wp:docPr descr="" title="" id="322" name="Picture"/>
                  <a:graphic>
                    <a:graphicData uri="http://schemas.openxmlformats.org/drawingml/2006/picture">
                      <pic:pic>
                        <pic:nvPicPr>
                          <pic:cNvPr descr="S1-supplement-sensitivity_files/figure-docx/fig-s9-objhist-1.png" id="323" name="Picture"/>
                          <pic:cNvPicPr>
                            <a:picLocks noChangeArrowheads="1" noChangeAspect="1"/>
                          </pic:cNvPicPr>
                        </pic:nvPicPr>
                        <pic:blipFill>
                          <a:blip r:embed="rId32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object counts per site by phase. Most sites contribute few objects; a small number of large assemblages (e.g. Vogelherd) dominate the upper tail.</w:t>
            </w:r>
          </w:p>
          <w:bookmarkEnd w:id="324"/>
        </w:tc>
      </w:tr>
    </w:tbl>
    <w:bookmarkEnd w:id="325"/>
    <w:bookmarkStart w:id="326" w:name="interpretation-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326"/>
    <w:bookmarkEnd w:id="327"/>
    <w:bookmarkStart w:id="336" w:name="sec-s9-2"/>
    <w:p>
      <w:pPr>
        <w:pStyle w:val="Heading2"/>
      </w:pPr>
      <w:r>
        <w:t xml:space="preserve">S9.2 Object-level downsampling sensitivity</w:t>
      </w:r>
    </w:p>
    <w:bookmarkStart w:id="334" w:name="rationale-16"/>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S5.1,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328"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44: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32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29"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45: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329"/>
        </w:tc>
      </w:tr>
    </w:tbl>
    <w:tbl>
      <w:tblPr>
        <w:tblStyle w:val="Table"/>
        <w:tblW w:type="pct" w:w="5000"/>
        <w:tblLook w:firstRow="0" w:lastRow="0" w:firstColumn="0" w:lastColumn="0" w:noHBand="0" w:noVBand="0" w:val="0000"/>
        <w:jc w:val="start"/>
        <w:tblLayout w:type="fixed"/>
      </w:tblPr>
      <w:tblGrid>
        <w:gridCol w:w="7920"/>
      </w:tblGrid>
      <w:tr>
        <w:tc>
          <w:tcPr/>
          <w:bookmarkStart w:id="333" w:name="fig-s9-retention"/>
          <w:p>
            <w:pPr>
              <w:pStyle w:val="Compact"/>
              <w:jc w:val="center"/>
            </w:pPr>
            <w:r>
              <w:drawing>
                <wp:inline>
                  <wp:extent cx="5943600" cy="5943600"/>
                  <wp:effectExtent b="0" l="0" r="0" t="0"/>
                  <wp:docPr descr="" title="" id="331" name="Picture"/>
                  <a:graphic>
                    <a:graphicData uri="http://schemas.openxmlformats.org/drawingml/2006/picture">
                      <pic:pic>
                        <pic:nvPicPr>
                          <pic:cNvPr descr="S1-supplement-sensitivity_files/figure-docx/fig-s9-retention-1.png" id="332" name="Picture"/>
                          <pic:cNvPicPr>
                            <a:picLocks noChangeArrowheads="1" noChangeAspect="1"/>
                          </pic:cNvPicPr>
                        </pic:nvPicPr>
                        <pic:blipFill>
                          <a:blip r:embed="rId33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333"/>
        </w:tc>
      </w:tr>
    </w:tbl>
    <w:bookmarkEnd w:id="334"/>
    <w:bookmarkStart w:id="335" w:name="interpretation-1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335"/>
    <w:bookmarkEnd w:id="336"/>
    <w:bookmarkStart w:id="344" w:name="sec-s9-3"/>
    <w:p>
      <w:pPr>
        <w:pStyle w:val="Heading2"/>
      </w:pPr>
      <w:r>
        <w:t xml:space="preserve">S9.3 Coverage-based rarefaction</w:t>
      </w:r>
    </w:p>
    <w:bookmarkStart w:id="342" w:name="rationale-17"/>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337" w:name="tbl-s9-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46: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337"/>
        </w:tc>
      </w:tr>
    </w:tbl>
    <w:tbl>
      <w:tblPr>
        <w:tblStyle w:val="Table"/>
        <w:tblW w:type="pct" w:w="5000"/>
        <w:tblLook w:firstRow="0" w:lastRow="0" w:firstColumn="0" w:lastColumn="0" w:noHBand="0" w:noVBand="0" w:val="0000"/>
        <w:jc w:val="start"/>
        <w:tblLayout w:type="fixed"/>
      </w:tblPr>
      <w:tblGrid>
        <w:gridCol w:w="7920"/>
      </w:tblGrid>
      <w:tr>
        <w:tc>
          <w:tcPr/>
          <w:bookmarkStart w:id="341" w:name="fig-s9-rarefaction"/>
          <w:p>
            <w:pPr>
              <w:pStyle w:val="Compact"/>
              <w:jc w:val="center"/>
            </w:pPr>
            <w:r>
              <w:drawing>
                <wp:inline>
                  <wp:extent cx="5943600" cy="3396342"/>
                  <wp:effectExtent b="0" l="0" r="0" t="0"/>
                  <wp:docPr descr="" title="" id="339" name="Picture"/>
                  <a:graphic>
                    <a:graphicData uri="http://schemas.openxmlformats.org/drawingml/2006/picture">
                      <pic:pic>
                        <pic:nvPicPr>
                          <pic:cNvPr descr="S1-supplement-sensitivity_files/figure-docx/fig-s9-rarefaction-1.png" id="340" name="Picture"/>
                          <pic:cNvPicPr>
                            <a:picLocks noChangeArrowheads="1" noChangeAspect="1"/>
                          </pic:cNvPicPr>
                        </pic:nvPicPr>
                        <pic:blipFill>
                          <a:blip r:embed="rId338"/>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Sign-type richness estimated at target coverage = 0.9 with 95% confidence intervals, by manual group, for sites that reach that coverage. Restricted sites (green) that attain high coverage remain low-richness; broad sites (red) remain high-richness.</w:t>
            </w:r>
          </w:p>
          <w:bookmarkEnd w:id="341"/>
        </w:tc>
      </w:tr>
    </w:tbl>
    <w:bookmarkEnd w:id="342"/>
    <w:bookmarkStart w:id="343" w:name="interpretation-1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 S9.2, approached from the richness axis.</w:t>
      </w:r>
    </w:p>
    <w:bookmarkEnd w:id="343"/>
    <w:bookmarkEnd w:id="344"/>
    <w:bookmarkStart w:id="348" w:name="sec-s9-4"/>
    <w:p>
      <w:pPr>
        <w:pStyle w:val="Heading2"/>
      </w:pPr>
      <w:r>
        <w:t xml:space="preserve">S9.4 Negative-binomial regression with object-count covariate</w:t>
      </w:r>
    </w:p>
    <w:bookmarkStart w:id="346" w:name="rationale-18"/>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345" w:name="tbl-s9-mixed"/>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47: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345"/>
        </w:tc>
      </w:tr>
    </w:tbl>
    <w:bookmarkEnd w:id="346"/>
    <w:bookmarkStart w:id="347" w:name="interpretation-1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 S9.3,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347"/>
    <w:bookmarkEnd w:id="348"/>
    <w:bookmarkStart w:id="356" w:name="sec-s9-5"/>
    <w:p>
      <w:pPr>
        <w:pStyle w:val="Heading2"/>
      </w:pPr>
      <w:r>
        <w:t xml:space="preserve">S9.5 Equal-effort pool comparison (iNEXT)</w:t>
      </w:r>
    </w:p>
    <w:bookmarkStart w:id="354" w:name="rationale-19"/>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349" w:name="tbl-s9-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48: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349"/>
        </w:tc>
      </w:tr>
    </w:tbl>
    <w:tbl>
      <w:tblPr>
        <w:tblStyle w:val="Table"/>
        <w:tblW w:type="pct" w:w="5000"/>
        <w:tblLook w:firstRow="0" w:lastRow="0" w:firstColumn="0" w:lastColumn="0" w:noHBand="0" w:noVBand="0" w:val="0000"/>
        <w:jc w:val="start"/>
        <w:tblLayout w:type="fixed"/>
      </w:tblPr>
      <w:tblGrid>
        <w:gridCol w:w="7920"/>
      </w:tblGrid>
      <w:tr>
        <w:tc>
          <w:tcPr/>
          <w:bookmarkStart w:id="353" w:name="fig-s9-pool-inext"/>
          <w:p>
            <w:pPr>
              <w:pStyle w:val="Compact"/>
              <w:jc w:val="center"/>
            </w:pPr>
            <w:r>
              <w:drawing>
                <wp:inline>
                  <wp:extent cx="5943600" cy="3566160"/>
                  <wp:effectExtent b="0" l="0" r="0" t="0"/>
                  <wp:docPr descr="" title="" id="351" name="Picture"/>
                  <a:graphic>
                    <a:graphicData uri="http://schemas.openxmlformats.org/drawingml/2006/picture">
                      <pic:pic>
                        <pic:nvPicPr>
                          <pic:cNvPr descr="S1-supplement-sensitivity_files/figure-docx/fig-s9-pool-inext-1.png" id="352" name="Picture"/>
                          <pic:cNvPicPr>
                            <a:picLocks noChangeArrowheads="1" noChangeAspect="1"/>
                          </pic:cNvPicPr>
                        </pic:nvPicPr>
                        <pic:blipFill>
                          <a:blip r:embed="rId350"/>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353"/>
        </w:tc>
      </w:tr>
    </w:tbl>
    <w:bookmarkEnd w:id="354"/>
    <w:bookmarkStart w:id="355" w:name="interpretation-1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355"/>
    <w:bookmarkEnd w:id="356"/>
    <w:bookmarkStart w:id="357" w:name="sec-s9-6"/>
    <w:p>
      <w:pPr>
        <w:pStyle w:val="Heading2"/>
      </w:pPr>
      <w:r>
        <w:t xml:space="preserve">S9.6 Synthesis and limitation</w:t>
      </w:r>
    </w:p>
    <w:p>
      <w:pPr>
        <w:pStyle w:val="FirstParagraph"/>
      </w:pPr>
      <w:r>
        <w:t xml:space="preserve">The four object-level analyses converge on a single conclusion. (1) Under object-downsampling, only the best-sampled sites retain their R/B assignment; small-object sites flip group at rates indistinguishable from chance, and network modularity collapses (S9.2). (2) Coverage-based rarefaction shows the broad/restricted contrast persists among the sites assessable at equal coverage, but the majority of the smallest sites never reach a comparable coverage, so the method cannot vindicate them (S9.3). (3) The offset model’s null group effect was a property of fixing the richness-effort exponent at 1; with the exponent estimated, the group contrast persists, so the gap is not distinguishable from a genuine group difference at saturating effort (S9.4). (4) At equal effort with</w:t>
      </w:r>
      <w:r>
        <w:t xml:space="preserve"> </w:t>
      </w:r>
      <w:r>
        <w:rPr>
          <w:rStyle w:val="VerbatimChar"/>
        </w:rPr>
        <w:t xml:space="preserve">iNEXT</w:t>
      </w:r>
      <w:r>
        <w:t xml:space="preserve">, the Aur-P1 vs Aur-P2 sign-type pool difference lies inside sampling variation, even when restricted to shared object types (S9.5). (5) Under fixed margins the Jaccard group separation is not distinguished from richness structure alone (Aur-P1 exceeds object-sampling expectation; Aur-P2 does not), while Simpson turnover dissimilarity shows no group separation in either phase (S9.7).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357"/>
    <w:bookmarkStart w:id="361" w:name="sec-s9-7"/>
    <w:p>
      <w:pPr>
        <w:pStyle w:val="Heading2"/>
      </w:pPr>
      <w:r>
        <w:t xml:space="preserve">S9.7 Simpson-dissimilarity group test and richness-preserving nulls</w:t>
      </w:r>
    </w:p>
    <w:bookmarkStart w:id="359" w:name="rationale-20"/>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358" w:name="tbl-s9-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49: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358"/>
        </w:tc>
      </w:tr>
    </w:tbl>
    <w:bookmarkEnd w:id="359"/>
    <w:bookmarkStart w:id="360" w:name="interpretation-14"/>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 S9.3 and the free-slope S9.4: the groups differ in how much they contain at comparable effort, not in turnover-independent composition. The division should accordingly be read as a richness axis whose separation from sampling effort is not demonstrated for small-object sites.</w:t>
      </w:r>
    </w:p>
    <w:bookmarkEnd w:id="360"/>
    <w:bookmarkEnd w:id="361"/>
    <w:bookmarkStart w:id="416" w:name="references-cited"/>
    <w:p>
      <w:pPr>
        <w:pStyle w:val="Heading2"/>
      </w:pPr>
      <w:r>
        <w:t xml:space="preserve">References cited</w:t>
      </w:r>
    </w:p>
    <w:bookmarkStart w:id="415" w:name="refs"/>
    <w:bookmarkStart w:id="363"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62">
        <w:r>
          <w:rPr>
            <w:rStyle w:val="Hyperlink"/>
          </w:rPr>
          <w:t xml:space="preserve">https://doi.org/10.1016/j.quascirev.2021.106995</w:t>
        </w:r>
      </w:hyperlink>
      <w:r>
        <w:t xml:space="preserve">.</w:t>
      </w:r>
    </w:p>
    <w:bookmarkEnd w:id="363"/>
    <w:bookmarkStart w:id="365"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64">
        <w:r>
          <w:rPr>
            <w:rStyle w:val="Hyperlink"/>
          </w:rPr>
          <w:t xml:space="preserve">https://doi.org/10.1007/s41982-017-0004-4</w:t>
        </w:r>
      </w:hyperlink>
      <w:r>
        <w:t xml:space="preserve">.</w:t>
      </w:r>
    </w:p>
    <w:bookmarkEnd w:id="365"/>
    <w:bookmarkStart w:id="367" w:name="ref-Blondel_2008"/>
    <w:p>
      <w:pPr>
        <w:pStyle w:val="Bibliography"/>
      </w:pPr>
      <w:r>
        <w:t xml:space="preserve">[3]</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66">
        <w:r>
          <w:rPr>
            <w:rStyle w:val="Hyperlink"/>
          </w:rPr>
          <w:t xml:space="preserve">https://doi.org/10.1088/1742-5468/2008/10/P10008</w:t>
        </w:r>
      </w:hyperlink>
      <w:r>
        <w:t xml:space="preserve">.</w:t>
      </w:r>
    </w:p>
    <w:bookmarkEnd w:id="367"/>
    <w:bookmarkStart w:id="369" w:name="ref-newman2004finding"/>
    <w:p>
      <w:pPr>
        <w:pStyle w:val="Bibliography"/>
      </w:pPr>
      <w:r>
        <w:t xml:space="preserve">[4]</w:t>
      </w:r>
      <w:r>
        <w:t xml:space="preserve"> </w:t>
      </w:r>
      <w:r>
        <w:t xml:space="preserve">	</w:t>
      </w:r>
      <w:r>
        <w:t xml:space="preserve">Newman ME, Girvan M. Finding and evaluating community structure in networks. Physical Review E 2004;69:026113.</w:t>
      </w:r>
      <w:r>
        <w:t xml:space="preserve"> </w:t>
      </w:r>
      <w:hyperlink r:id="rId368">
        <w:r>
          <w:rPr>
            <w:rStyle w:val="Hyperlink"/>
          </w:rPr>
          <w:t xml:space="preserve">https://doi.org/10.1103/PhysRevE.69.026113</w:t>
        </w:r>
      </w:hyperlink>
      <w:r>
        <w:t xml:space="preserve">.</w:t>
      </w:r>
    </w:p>
    <w:bookmarkEnd w:id="369"/>
    <w:bookmarkStart w:id="371" w:name="ref-Roberts_2021"/>
    <w:p>
      <w:pPr>
        <w:pStyle w:val="Bibliography"/>
      </w:pPr>
      <w:r>
        <w:t xml:space="preserve">[5]</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70">
        <w:r>
          <w:rPr>
            <w:rStyle w:val="Hyperlink"/>
          </w:rPr>
          <w:t xml:space="preserve">https://doi.org/10.1016/j.socnet.2020.11.005</w:t>
        </w:r>
      </w:hyperlink>
      <w:r>
        <w:t xml:space="preserve">.</w:t>
      </w:r>
    </w:p>
    <w:bookmarkEnd w:id="371"/>
    <w:bookmarkStart w:id="373" w:name="ref-Clarke_Rothery_Raybould_2002"/>
    <w:p>
      <w:pPr>
        <w:pStyle w:val="Bibliography"/>
      </w:pPr>
      <w:r>
        <w:t xml:space="preserve">[6]</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72">
        <w:r>
          <w:rPr>
            <w:rStyle w:val="Hyperlink"/>
          </w:rPr>
          <w:t xml:space="preserve">https://doi.org/10.1198/108571102320</w:t>
        </w:r>
      </w:hyperlink>
      <w:r>
        <w:t xml:space="preserve">.</w:t>
      </w:r>
    </w:p>
    <w:bookmarkEnd w:id="373"/>
    <w:bookmarkStart w:id="375" w:name="ref-Lichstein_2007"/>
    <w:p>
      <w:pPr>
        <w:pStyle w:val="Bibliography"/>
      </w:pPr>
      <w:r>
        <w:t xml:space="preserve">[7]</w:t>
      </w:r>
      <w:r>
        <w:t xml:space="preserve"> </w:t>
      </w:r>
      <w:r>
        <w:t xml:space="preserve">	</w:t>
      </w:r>
      <w:r>
        <w:t xml:space="preserve">Lichstein JW. Multiple regression on distance matrices: A multivariate spatial analysis tool. Plant Ecology 2007;188:117–31.</w:t>
      </w:r>
      <w:r>
        <w:t xml:space="preserve"> </w:t>
      </w:r>
      <w:hyperlink r:id="rId374">
        <w:r>
          <w:rPr>
            <w:rStyle w:val="Hyperlink"/>
          </w:rPr>
          <w:t xml:space="preserve">https://doi.org/10.1007/s11258-006-9126-3</w:t>
        </w:r>
      </w:hyperlink>
      <w:r>
        <w:t xml:space="preserve">.</w:t>
      </w:r>
    </w:p>
    <w:bookmarkEnd w:id="375"/>
    <w:bookmarkStart w:id="377" w:name="ref-Goslee_Urban_2007"/>
    <w:p>
      <w:pPr>
        <w:pStyle w:val="Bibliography"/>
      </w:pPr>
      <w:r>
        <w:t xml:space="preserve">[8]</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376">
        <w:r>
          <w:rPr>
            <w:rStyle w:val="Hyperlink"/>
          </w:rPr>
          <w:t xml:space="preserve">https://doi.org/10.18637/jss.v022.i07</w:t>
        </w:r>
      </w:hyperlink>
      <w:r>
        <w:t xml:space="preserve">.</w:t>
      </w:r>
    </w:p>
    <w:bookmarkEnd w:id="377"/>
    <w:bookmarkStart w:id="379" w:name="ref-Monti_2003"/>
    <w:p>
      <w:pPr>
        <w:pStyle w:val="Bibliography"/>
      </w:pPr>
      <w:r>
        <w:t xml:space="preserve">[9]</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78">
        <w:r>
          <w:rPr>
            <w:rStyle w:val="Hyperlink"/>
          </w:rPr>
          <w:t xml:space="preserve">https://doi.org/10.1023/A:1023949509487</w:t>
        </w:r>
      </w:hyperlink>
      <w:r>
        <w:t xml:space="preserve">.</w:t>
      </w:r>
    </w:p>
    <w:bookmarkEnd w:id="379"/>
    <w:bookmarkStart w:id="381" w:name="ref-Leger_2016"/>
    <w:p>
      <w:pPr>
        <w:pStyle w:val="Bibliography"/>
      </w:pPr>
      <w:r>
        <w:t xml:space="preserve">[10]</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80">
        <w:r>
          <w:rPr>
            <w:rStyle w:val="Hyperlink"/>
          </w:rPr>
          <w:t xml:space="preserve">https://doi.org/10.48550/arXiv.1602.07587</w:t>
        </w:r>
      </w:hyperlink>
      <w:r>
        <w:t xml:space="preserve">.</w:t>
      </w:r>
    </w:p>
    <w:bookmarkEnd w:id="381"/>
    <w:bookmarkStart w:id="383" w:name="ref-Hubert_Arabie_1985"/>
    <w:p>
      <w:pPr>
        <w:pStyle w:val="Bibliography"/>
      </w:pPr>
      <w:r>
        <w:t xml:space="preserve">[11]</w:t>
      </w:r>
      <w:r>
        <w:t xml:space="preserve"> </w:t>
      </w:r>
      <w:r>
        <w:t xml:space="preserve">	</w:t>
      </w:r>
      <w:r>
        <w:t xml:space="preserve">Hubert L, Arabie P. Comparing partitions. Journal of Classification 1985;2:193–218.</w:t>
      </w:r>
      <w:r>
        <w:t xml:space="preserve"> </w:t>
      </w:r>
      <w:hyperlink r:id="rId382">
        <w:r>
          <w:rPr>
            <w:rStyle w:val="Hyperlink"/>
          </w:rPr>
          <w:t xml:space="preserve">https://doi.org/10.1007/BF01908075</w:t>
        </w:r>
      </w:hyperlink>
      <w:r>
        <w:t xml:space="preserve">.</w:t>
      </w:r>
    </w:p>
    <w:bookmarkEnd w:id="383"/>
    <w:bookmarkStart w:id="385" w:name="ref-Gao_Bien_Witten_2022"/>
    <w:p>
      <w:pPr>
        <w:pStyle w:val="Bibliography"/>
      </w:pPr>
      <w:r>
        <w:t xml:space="preserve">[12]</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84">
        <w:r>
          <w:rPr>
            <w:rStyle w:val="Hyperlink"/>
          </w:rPr>
          <w:t xml:space="preserve">https://doi.org/10.1080/01621459.2022.2116331</w:t>
        </w:r>
      </w:hyperlink>
      <w:r>
        <w:t xml:space="preserve">.</w:t>
      </w:r>
    </w:p>
    <w:bookmarkEnd w:id="385"/>
    <w:bookmarkStart w:id="387" w:name="ref-Neufeld_2024"/>
    <w:p>
      <w:pPr>
        <w:pStyle w:val="Bibliography"/>
      </w:pPr>
      <w:r>
        <w:t xml:space="preserve">[13]</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86">
        <w:r>
          <w:rPr>
            <w:rStyle w:val="Hyperlink"/>
          </w:rPr>
          <w:t xml:space="preserve">https://doi.org/10.1093/biostatistics/kxac047</w:t>
        </w:r>
      </w:hyperlink>
      <w:r>
        <w:t xml:space="preserve">.</w:t>
      </w:r>
    </w:p>
    <w:bookmarkEnd w:id="387"/>
    <w:bookmarkStart w:id="389" w:name="ref-Brown_1975"/>
    <w:p>
      <w:pPr>
        <w:pStyle w:val="Bibliography"/>
      </w:pPr>
      <w:r>
        <w:t xml:space="preserve">[14]</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88">
        <w:r>
          <w:rPr>
            <w:rStyle w:val="Hyperlink"/>
          </w:rPr>
          <w:t xml:space="preserve">https://doi.org/10.2307/2529826</w:t>
        </w:r>
      </w:hyperlink>
      <w:r>
        <w:t xml:space="preserve">.</w:t>
      </w:r>
    </w:p>
    <w:bookmarkEnd w:id="389"/>
    <w:bookmarkStart w:id="391" w:name="ref-Poole_2016"/>
    <w:p>
      <w:pPr>
        <w:pStyle w:val="Bibliography"/>
      </w:pPr>
      <w:r>
        <w:t xml:space="preserve">[15]</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90">
        <w:r>
          <w:rPr>
            <w:rStyle w:val="Hyperlink"/>
          </w:rPr>
          <w:t xml:space="preserve">https://doi.org/10.1093/bioinformatics/btw438</w:t>
        </w:r>
      </w:hyperlink>
      <w:r>
        <w:t xml:space="preserve">.</w:t>
      </w:r>
    </w:p>
    <w:bookmarkEnd w:id="391"/>
    <w:bookmarkStart w:id="393" w:name="ref-Bentz_Dutkiewicz_2026"/>
    <w:p>
      <w:pPr>
        <w:pStyle w:val="Bibliography"/>
      </w:pPr>
      <w:r>
        <w:t xml:space="preserve">[16]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92">
        <w:r>
          <w:rPr>
            <w:rStyle w:val="Hyperlink"/>
          </w:rPr>
          <w:t xml:space="preserve">https://doi.org/10.1073/pnas.2520385123</w:t>
        </w:r>
      </w:hyperlink>
      <w:r>
        <w:t xml:space="preserve">.</w:t>
      </w:r>
    </w:p>
    <w:bookmarkEnd w:id="393"/>
    <w:bookmarkStart w:id="395" w:name="ref-Chiotti_2005"/>
    <w:p>
      <w:pPr>
        <w:pStyle w:val="Bibliography"/>
      </w:pPr>
      <w:r>
        <w:t xml:space="preserve">[17]</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94">
        <w:r>
          <w:rPr>
            <w:rStyle w:val="Hyperlink"/>
          </w:rPr>
          <w:t xml:space="preserve">https://doi.org/10.30861/9781841718309</w:t>
        </w:r>
      </w:hyperlink>
      <w:r>
        <w:t xml:space="preserve">.</w:t>
      </w:r>
    </w:p>
    <w:bookmarkEnd w:id="395"/>
    <w:bookmarkStart w:id="397" w:name="ref-Higham_Abri_Pataud_2011"/>
    <w:p>
      <w:pPr>
        <w:pStyle w:val="Bibliography"/>
      </w:pPr>
      <w:r>
        <w:t xml:space="preserve">[18]</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96">
        <w:r>
          <w:rPr>
            <w:rStyle w:val="Hyperlink"/>
          </w:rPr>
          <w:t xml:space="preserve">https://doi.org/10.1016/j.jhevol.2011.06.005</w:t>
        </w:r>
      </w:hyperlink>
      <w:r>
        <w:t xml:space="preserve">.</w:t>
      </w:r>
    </w:p>
    <w:bookmarkEnd w:id="397"/>
    <w:bookmarkStart w:id="399" w:name="ref-Talamo_La_Ferrassie_2020"/>
    <w:p>
      <w:pPr>
        <w:pStyle w:val="Bibliography"/>
      </w:pPr>
      <w:r>
        <w:t xml:space="preserve">[19]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98">
        <w:r>
          <w:rPr>
            <w:rStyle w:val="Hyperlink"/>
          </w:rPr>
          <w:t xml:space="preserve">https://doi.org/10.1002/jqs.3236</w:t>
        </w:r>
      </w:hyperlink>
      <w:r>
        <w:t xml:space="preserve">.</w:t>
      </w:r>
    </w:p>
    <w:bookmarkEnd w:id="399"/>
    <w:bookmarkStart w:id="400" w:name="ref-Delporte_1984_Ferrassie"/>
    <w:p>
      <w:pPr>
        <w:pStyle w:val="Bibliography"/>
      </w:pPr>
      <w:r>
        <w:t xml:space="preserve">[20]</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400"/>
    <w:bookmarkStart w:id="402" w:name="ref-Oliva_2006"/>
    <w:p>
      <w:pPr>
        <w:pStyle w:val="Bibliography"/>
      </w:pPr>
      <w:r>
        <w:t xml:space="preserve">[21]</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401">
        <w:r>
          <w:rPr>
            <w:rStyle w:val="Hyperlink"/>
          </w:rPr>
          <w:t xml:space="preserve">https://doi.org/10.1007/978-3-211-49294-9_4</w:t>
        </w:r>
      </w:hyperlink>
      <w:r>
        <w:t xml:space="preserve">.</w:t>
      </w:r>
    </w:p>
    <w:bookmarkEnd w:id="402"/>
    <w:bookmarkStart w:id="404" w:name="ref-Wild_et_al_2005"/>
    <w:p>
      <w:pPr>
        <w:pStyle w:val="Bibliography"/>
      </w:pPr>
      <w:r>
        <w:t xml:space="preserve">[22]</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403">
        <w:r>
          <w:rPr>
            <w:rStyle w:val="Hyperlink"/>
          </w:rPr>
          <w:t xml:space="preserve">https://doi.org/10.1038/nature03585</w:t>
        </w:r>
      </w:hyperlink>
      <w:r>
        <w:t xml:space="preserve">.</w:t>
      </w:r>
    </w:p>
    <w:bookmarkEnd w:id="404"/>
    <w:bookmarkStart w:id="406" w:name="ref-Schurch_Conard_2026_reassess"/>
    <w:p>
      <w:pPr>
        <w:pStyle w:val="Bibliography"/>
      </w:pPr>
      <w:r>
        <w:t xml:space="preserve">[23]</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405">
        <w:r>
          <w:rPr>
            <w:rStyle w:val="Hyperlink"/>
          </w:rPr>
          <w:t xml:space="preserve">https://doi.org/10.1007/s41982-025-00246-x</w:t>
        </w:r>
      </w:hyperlink>
      <w:r>
        <w:t xml:space="preserve">.</w:t>
      </w:r>
    </w:p>
    <w:bookmarkEnd w:id="406"/>
    <w:bookmarkStart w:id="408"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407">
        <w:r>
          <w:rPr>
            <w:rStyle w:val="Hyperlink"/>
          </w:rPr>
          <w:t xml:space="preserve">https://doi.org/10.1890/11-1952.1</w:t>
        </w:r>
      </w:hyperlink>
      <w:r>
        <w:t xml:space="preserve">.</w:t>
      </w:r>
    </w:p>
    <w:bookmarkEnd w:id="408"/>
    <w:bookmarkStart w:id="410"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409">
        <w:r>
          <w:rPr>
            <w:rStyle w:val="Hyperlink"/>
          </w:rPr>
          <w:t xml:space="preserve">https://doi.org/10.1046/j.1461-0248.2001.00230.x</w:t>
        </w:r>
      </w:hyperlink>
      <w:r>
        <w:t xml:space="preserve">.</w:t>
      </w:r>
    </w:p>
    <w:bookmarkEnd w:id="410"/>
    <w:bookmarkStart w:id="412"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411">
        <w:r>
          <w:rPr>
            <w:rStyle w:val="Hyperlink"/>
          </w:rPr>
          <w:t xml:space="preserve">https://doi.org/10.1111/2041-210X.12613</w:t>
        </w:r>
      </w:hyperlink>
      <w:r>
        <w:t xml:space="preserve">.</w:t>
      </w:r>
    </w:p>
    <w:bookmarkEnd w:id="412"/>
    <w:bookmarkStart w:id="414"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413">
        <w:r>
          <w:rPr>
            <w:rStyle w:val="Hyperlink"/>
          </w:rPr>
          <w:t xml:space="preserve">https://doi.org/10.1007/978-0-387-21706-2</w:t>
        </w:r>
      </w:hyperlink>
      <w:r>
        <w:t xml:space="preserve">.</w:t>
      </w:r>
    </w:p>
    <w:bookmarkEnd w:id="414"/>
    <w:bookmarkEnd w:id="415"/>
    <w:bookmarkEnd w:id="416"/>
    <w:bookmarkEnd w:id="41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0" Target="media/rId130.png" /><Relationship Type="http://schemas.openxmlformats.org/officeDocument/2006/relationships/image" Id="rId120" Target="media/rId120.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285" Target="media/rId285.png" /><Relationship Type="http://schemas.openxmlformats.org/officeDocument/2006/relationships/image" Id="rId105" Target="media/rId105.png" /><Relationship Type="http://schemas.openxmlformats.org/officeDocument/2006/relationships/image" Id="rId321" Target="media/rId321.png" /><Relationship Type="http://schemas.openxmlformats.org/officeDocument/2006/relationships/image" Id="rId350" Target="media/rId350.png" /><Relationship Type="http://schemas.openxmlformats.org/officeDocument/2006/relationships/image" Id="rId338" Target="media/rId338.png" /><Relationship Type="http://schemas.openxmlformats.org/officeDocument/2006/relationships/image" Id="rId330" Target="media/rId330.png" /><Relationship Type="http://schemas.openxmlformats.org/officeDocument/2006/relationships/image" Id="rId92" Target="media/rId92.png" /><Relationship Type="http://schemas.openxmlformats.org/officeDocument/2006/relationships/image" Id="rId137" Target="media/rId137.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40" Target="media/rId140.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143" Target="media/rId143.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146" Target="media/rId146.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hyperlink" Id="rId398" Target="https://doi.org/10.1002/jqs.3236" TargetMode="External" /><Relationship Type="http://schemas.openxmlformats.org/officeDocument/2006/relationships/hyperlink" Id="rId413" Target="https://doi.org/10.1007/978-0-387-21706-2" TargetMode="External" /><Relationship Type="http://schemas.openxmlformats.org/officeDocument/2006/relationships/hyperlink" Id="rId401" Target="https://doi.org/10.1007/978-3-211-49294-9_4" TargetMode="External" /><Relationship Type="http://schemas.openxmlformats.org/officeDocument/2006/relationships/hyperlink" Id="rId382" Target="https://doi.org/10.1007/BF01908075" TargetMode="External" /><Relationship Type="http://schemas.openxmlformats.org/officeDocument/2006/relationships/hyperlink" Id="rId374" Target="https://doi.org/10.1007/s11258-006-9126-3" TargetMode="External" /><Relationship Type="http://schemas.openxmlformats.org/officeDocument/2006/relationships/hyperlink" Id="rId364" Target="https://doi.org/10.1007/s41982-017-0004-4" TargetMode="External" /><Relationship Type="http://schemas.openxmlformats.org/officeDocument/2006/relationships/hyperlink" Id="rId405" Target="https://doi.org/10.1007/s41982-025-00246-x" TargetMode="External" /><Relationship Type="http://schemas.openxmlformats.org/officeDocument/2006/relationships/hyperlink" Id="rId396" Target="https://doi.org/10.1016/j.jhevol.2011.06.005" TargetMode="External" /><Relationship Type="http://schemas.openxmlformats.org/officeDocument/2006/relationships/hyperlink" Id="rId362" Target="https://doi.org/10.1016/j.quascirev.2021.106995" TargetMode="External" /><Relationship Type="http://schemas.openxmlformats.org/officeDocument/2006/relationships/hyperlink" Id="rId370" Target="https://doi.org/10.1016/j.socnet.2020.11.005" TargetMode="External" /><Relationship Type="http://schemas.openxmlformats.org/officeDocument/2006/relationships/hyperlink" Id="rId378" Target="https://doi.org/10.1023/A:1023949509487" TargetMode="External" /><Relationship Type="http://schemas.openxmlformats.org/officeDocument/2006/relationships/hyperlink" Id="rId403" Target="https://doi.org/10.1038/nature03585" TargetMode="External" /><Relationship Type="http://schemas.openxmlformats.org/officeDocument/2006/relationships/hyperlink" Id="rId409" Target="https://doi.org/10.1046/j.1461-0248.2001.00230.x" TargetMode="External" /><Relationship Type="http://schemas.openxmlformats.org/officeDocument/2006/relationships/hyperlink" Id="rId392" Target="https://doi.org/10.1073/pnas.2520385123" TargetMode="External" /><Relationship Type="http://schemas.openxmlformats.org/officeDocument/2006/relationships/hyperlink" Id="rId384" Target="https://doi.org/10.1080/01621459.2022.2116331" TargetMode="External" /><Relationship Type="http://schemas.openxmlformats.org/officeDocument/2006/relationships/hyperlink" Id="rId366" Target="https://doi.org/10.1088/1742-5468/2008/10/P10008" TargetMode="External" /><Relationship Type="http://schemas.openxmlformats.org/officeDocument/2006/relationships/hyperlink" Id="rId390" Target="https://doi.org/10.1093/bioinformatics/btw438" TargetMode="External" /><Relationship Type="http://schemas.openxmlformats.org/officeDocument/2006/relationships/hyperlink" Id="rId386" Target="https://doi.org/10.1093/biostatistics/kxac047" TargetMode="External" /><Relationship Type="http://schemas.openxmlformats.org/officeDocument/2006/relationships/hyperlink" Id="rId368" Target="https://doi.org/10.1103/PhysRevE.69.026113" TargetMode="External" /><Relationship Type="http://schemas.openxmlformats.org/officeDocument/2006/relationships/hyperlink" Id="rId411" Target="https://doi.org/10.1111/2041-210X.12613" TargetMode="External" /><Relationship Type="http://schemas.openxmlformats.org/officeDocument/2006/relationships/hyperlink" Id="rId372" Target="https://doi.org/10.1198/108571102320" TargetMode="External" /><Relationship Type="http://schemas.openxmlformats.org/officeDocument/2006/relationships/hyperlink" Id="rId376" Target="https://doi.org/10.18637/jss.v022.i07" TargetMode="External" /><Relationship Type="http://schemas.openxmlformats.org/officeDocument/2006/relationships/hyperlink" Id="rId407" Target="https://doi.org/10.1890/11-1952.1" TargetMode="External" /><Relationship Type="http://schemas.openxmlformats.org/officeDocument/2006/relationships/hyperlink" Id="rId388" Target="https://doi.org/10.2307/2529826" TargetMode="External" /><Relationship Type="http://schemas.openxmlformats.org/officeDocument/2006/relationships/hyperlink" Id="rId394" Target="https://doi.org/10.30861/9781841718309" TargetMode="External" /><Relationship Type="http://schemas.openxmlformats.org/officeDocument/2006/relationships/hyperlink" Id="rId380"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98" Target="https://doi.org/10.1002/jqs.3236" TargetMode="External" /><Relationship Type="http://schemas.openxmlformats.org/officeDocument/2006/relationships/hyperlink" Id="rId413" Target="https://doi.org/10.1007/978-0-387-21706-2" TargetMode="External" /><Relationship Type="http://schemas.openxmlformats.org/officeDocument/2006/relationships/hyperlink" Id="rId401" Target="https://doi.org/10.1007/978-3-211-49294-9_4" TargetMode="External" /><Relationship Type="http://schemas.openxmlformats.org/officeDocument/2006/relationships/hyperlink" Id="rId382" Target="https://doi.org/10.1007/BF01908075" TargetMode="External" /><Relationship Type="http://schemas.openxmlformats.org/officeDocument/2006/relationships/hyperlink" Id="rId374" Target="https://doi.org/10.1007/s11258-006-9126-3" TargetMode="External" /><Relationship Type="http://schemas.openxmlformats.org/officeDocument/2006/relationships/hyperlink" Id="rId364" Target="https://doi.org/10.1007/s41982-017-0004-4" TargetMode="External" /><Relationship Type="http://schemas.openxmlformats.org/officeDocument/2006/relationships/hyperlink" Id="rId405" Target="https://doi.org/10.1007/s41982-025-00246-x" TargetMode="External" /><Relationship Type="http://schemas.openxmlformats.org/officeDocument/2006/relationships/hyperlink" Id="rId396" Target="https://doi.org/10.1016/j.jhevol.2011.06.005" TargetMode="External" /><Relationship Type="http://schemas.openxmlformats.org/officeDocument/2006/relationships/hyperlink" Id="rId362" Target="https://doi.org/10.1016/j.quascirev.2021.106995" TargetMode="External" /><Relationship Type="http://schemas.openxmlformats.org/officeDocument/2006/relationships/hyperlink" Id="rId370" Target="https://doi.org/10.1016/j.socnet.2020.11.005" TargetMode="External" /><Relationship Type="http://schemas.openxmlformats.org/officeDocument/2006/relationships/hyperlink" Id="rId378" Target="https://doi.org/10.1023/A:1023949509487" TargetMode="External" /><Relationship Type="http://schemas.openxmlformats.org/officeDocument/2006/relationships/hyperlink" Id="rId403" Target="https://doi.org/10.1038/nature03585" TargetMode="External" /><Relationship Type="http://schemas.openxmlformats.org/officeDocument/2006/relationships/hyperlink" Id="rId409" Target="https://doi.org/10.1046/j.1461-0248.2001.00230.x" TargetMode="External" /><Relationship Type="http://schemas.openxmlformats.org/officeDocument/2006/relationships/hyperlink" Id="rId392" Target="https://doi.org/10.1073/pnas.2520385123" TargetMode="External" /><Relationship Type="http://schemas.openxmlformats.org/officeDocument/2006/relationships/hyperlink" Id="rId384" Target="https://doi.org/10.1080/01621459.2022.2116331" TargetMode="External" /><Relationship Type="http://schemas.openxmlformats.org/officeDocument/2006/relationships/hyperlink" Id="rId366" Target="https://doi.org/10.1088/1742-5468/2008/10/P10008" TargetMode="External" /><Relationship Type="http://schemas.openxmlformats.org/officeDocument/2006/relationships/hyperlink" Id="rId390" Target="https://doi.org/10.1093/bioinformatics/btw438" TargetMode="External" /><Relationship Type="http://schemas.openxmlformats.org/officeDocument/2006/relationships/hyperlink" Id="rId386" Target="https://doi.org/10.1093/biostatistics/kxac047" TargetMode="External" /><Relationship Type="http://schemas.openxmlformats.org/officeDocument/2006/relationships/hyperlink" Id="rId368" Target="https://doi.org/10.1103/PhysRevE.69.026113" TargetMode="External" /><Relationship Type="http://schemas.openxmlformats.org/officeDocument/2006/relationships/hyperlink" Id="rId411" Target="https://doi.org/10.1111/2041-210X.12613" TargetMode="External" /><Relationship Type="http://schemas.openxmlformats.org/officeDocument/2006/relationships/hyperlink" Id="rId372" Target="https://doi.org/10.1198/108571102320" TargetMode="External" /><Relationship Type="http://schemas.openxmlformats.org/officeDocument/2006/relationships/hyperlink" Id="rId376" Target="https://doi.org/10.18637/jss.v022.i07" TargetMode="External" /><Relationship Type="http://schemas.openxmlformats.org/officeDocument/2006/relationships/hyperlink" Id="rId407" Target="https://doi.org/10.1890/11-1952.1" TargetMode="External" /><Relationship Type="http://schemas.openxmlformats.org/officeDocument/2006/relationships/hyperlink" Id="rId388" Target="https://doi.org/10.2307/2529826" TargetMode="External" /><Relationship Type="http://schemas.openxmlformats.org/officeDocument/2006/relationships/hyperlink" Id="rId394" Target="https://doi.org/10.30861/9781841718309" TargetMode="External" /><Relationship Type="http://schemas.openxmlformats.org/officeDocument/2006/relationships/hyperlink" Id="rId380"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2026-09-04T06:31:03Z</dcterms:created>
  <dcterms:modified xsi:type="dcterms:W3CDTF">2026-09-04T06:31:03Z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