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based on specialist technological attributions in site assignment. Using seriation and network analyses, we examine patterns of sign production in each phase, and investigate how the sign-sharing network differs between the Early and Late Aurignacian. Within the early phase (Aur-P1; 20 sites) we infer and evaluate a two-group structure of restricted versus broad geometric-sign repertoires. However, stochastic block models do not recover this two-group structure (single-block selected for both phases under both Bernoulli and Gaussian emission models, a result expected below the detectability limit for sparse networks of this size), and the richness gap between groups is not distinguishable from a genuine group difference once the saturating richness–effort relationship is modelled, though its separation from sampling effort is not demonstrated for small-object sites. The early phase supports a larger network centred on key sites, but permutation tests indicate that the phases do not differ significantly in edge density, modularity, mean betweenness, or component count, so the observed differences in connectivity track the larger size of the early phase, not a statistically distinguishable community structure. The late phase (Aur-P2; 9 sites) shows a weaker, less resolved structure. Mantel tests did not detect a significant correlation between geographic distance and sign distribution in either phase, and the isolation-by-distance relationship does not differ between them, but bootstrap confidence intervals indicate these tests are underpowered at these sample sizes. Geometric signs do not show the geographically distinct clusters found in personal ornaments; their function (notation, calendrical, identity) remains unresolved.</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We investigated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group dynamics in the Aurignacian period, providing insights into our understanding how early groups of</w:t>
      </w:r>
      <w:r>
        <w:t xml:space="preserve"> </w:t>
      </w:r>
      <w:r>
        <w:rPr>
          <w:iCs/>
          <w:i/>
        </w:rPr>
        <w:t xml:space="preserve">Homo sapiens</w:t>
      </w:r>
      <w:r>
        <w:t xml:space="preserve"> </w:t>
      </w:r>
      <w:r>
        <w:t xml:space="preserve">interacted with each other and their environments. We present the first systematic application of seriation and network analysis to Aurignacian mobile-object geometric signs, complemented by robust sensitivity and validation analyses.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assign archaeological sites to Aurignacian phases is presented in our S2</w:t>
      </w:r>
      <w:r>
        <w:t xml:space="preserve"> </w:t>
      </w:r>
      <w:r>
        <w:t xml:space="preserve">“</w:t>
      </w:r>
      <w:r>
        <w:t xml:space="preserve">Site Phase Assignments</w:t>
      </w:r>
      <w:r>
        <w:t xml:space="preserve">”</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t>
      </w:r>
      <w:hyperlink w:anchor="tbl-aur-table">
        <w:r>
          <w:rPr>
            <w:rStyle w:val="Hyperlink"/>
          </w:rPr>
          <w:t xml:space="preserve">Table 1</w:t>
        </w:r>
      </w:hyperlink>
      <w:r>
        <w:t xml:space="preserve"> </w:t>
      </w:r>
      <w:r>
        <w:t xml:space="preserve">and see our S2</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0.008). The very small effect size (R ≈ 0.06) indicates that temporal distance explains only a small fraction of the variation in sign-type distribution. This weak association shows only that time has little explanatory power for sign composition; it does not demonstrate whether substantial change in sign types did or did not occur through time. We tested this inference more directly with a time-lag analysis (S1</w:t>
      </w:r>
      <w:r>
        <w:t xml:space="preserve"> </w:t>
      </w:r>
      <w:r>
        <w:t xml:space="preserve">“</w:t>
      </w:r>
      <w:r>
        <w:t xml:space="preserve">Sensitivity Analyses</w:t>
      </w:r>
      <w:r>
        <w:t xml:space="preserve">”</w:t>
      </w:r>
      <w:r>
        <w:t xml:space="preserve"> </w:t>
      </w:r>
      <w:r>
        <w:t xml:space="preserve">S5.12): we binned all 28 sites (378 site pairs) by their absolute temporal separation (|ΔMedianBP|) and asked whether Jaccard sign dissimilarity rises with lag. It does not — the Spearman correlation between temporal lag and dissimilarity is -0.04 (p = 0.39) overall and -0.04 (p = 0.58) within phase, and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Beyond presence/absence coding, we additionally tested the residual object-count confound directly at the object level via downsampling, coverage-based rarefaction, and a negative-binomial regression with log object count as a covariate (see our S1</w:t>
      </w:r>
      <w:r>
        <w:t xml:space="preserve"> </w:t>
      </w:r>
      <w:r>
        <w:t xml:space="preserve">“</w:t>
      </w:r>
      <w:r>
        <w:t xml:space="preserve">Sensitivity Analyses</w:t>
      </w:r>
      <w:r>
        <w:t xml:space="preserve">”</w:t>
      </w:r>
      <w:r>
        <w:t xml:space="preserve"> </w:t>
      </w:r>
      <w:r>
        <w:t xml:space="preserve">S9).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isolation-by-distance alone does not fully account for the observed patterns, although this null result should be interpreted cautiously given the small sample sizes (see our S1</w:t>
      </w:r>
      <w:r>
        <w:t xml:space="preserve"> </w:t>
      </w:r>
      <w:r>
        <w:t xml:space="preserve">“</w:t>
      </w:r>
      <w:r>
        <w:t xml:space="preserve">Sensitivity Analyses</w:t>
      </w:r>
      <w:r>
        <w:t xml:space="preserve">”</w:t>
      </w:r>
      <w:r>
        <w:t xml:space="preserve"> </w:t>
      </w:r>
      <w:r>
        <w:t xml:space="preserve">S5.8). To test whether the non-significant Mantel result reflects a particular alternative process, we additionally fit a multiple regression on distance matrices with sign dissimilarity as the response and geographic, temporal, and object-count distances as predictors (see our S1</w:t>
      </w:r>
      <w:r>
        <w:t xml:space="preserve"> </w:t>
      </w:r>
      <w:r>
        <w:t xml:space="preserve">“</w:t>
      </w:r>
      <w:r>
        <w:t xml:space="preserve">Sensitivity Analyses</w:t>
      </w:r>
      <w:r>
        <w:t xml:space="preserve">”</w:t>
      </w:r>
      <w:r>
        <w:t xml:space="preserve"> </w:t>
      </w:r>
      <w:r>
        <w:t xml:space="preserve">S5.10). This reveals no candidate is significant, so the null Mantel does not identify any specific alternative process. A Mantel correlogram likewise shows no significant spatial structure at any distance lag, and bootstrap confidence intervals on the Mantel R indicate the test is underpowered at these sample sizes, so the non-significant result is best read as a lack of evidence rather than evidence of absence (S1</w:t>
      </w:r>
      <w:r>
        <w:t xml:space="preserve"> </w:t>
      </w:r>
      <w:r>
        <w:t xml:space="preserve">“</w:t>
      </w:r>
      <w:r>
        <w:t xml:space="preserve">Sensitivity Analyses</w:t>
      </w:r>
      <w:r>
        <w:t xml:space="preserve">”</w:t>
      </w:r>
      <w:r>
        <w:t xml:space="preserve"> </w:t>
      </w:r>
      <w:r>
        <w:t xml:space="preserve">S5.11).</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[33]</w:t>
      </w:r>
      <w:r>
        <w:t xml:space="preserve">. We used the Brower-Kile</w:t>
      </w:r>
      <w:r>
        <w:t xml:space="preserve"> </w:t>
      </w:r>
      <w:r>
        <w:t xml:space="preserve">[34]</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in our research compendium.</w:t>
      </w:r>
    </w:p>
    <w:p>
      <w:pPr>
        <w:pStyle w:val="BodyText"/>
      </w:pPr>
      <w:r>
        <w:t xml:space="preserve">To investigate connectivity among the sites the seriation grouped, we used network analysis</w:t>
      </w:r>
      <w:r>
        <w:t xml:space="preserve"> </w:t>
      </w:r>
      <w:r>
        <w:t xml:space="preserve">[35]</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S1</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[36]</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[37]</w:t>
      </w:r>
      <w:r>
        <w:t xml:space="preserve"> </w:t>
      </w:r>
      <w:r>
        <w:t xml:space="preserve">and igraph</w:t>
      </w:r>
      <w:r>
        <w:t xml:space="preserve"> </w:t>
      </w:r>
      <w:r>
        <w:t xml:space="preserve">[38]</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[39,40]</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w:t>
      </w:r>
      <w:r>
        <w:t xml:space="preserve"> </w:t>
      </w:r>
      <w:r>
        <w:t xml:space="preserve">“</w:t>
      </w:r>
      <w:r>
        <w:t xml:space="preserve">Sensitivity Analyses</w:t>
      </w:r>
      <w:r>
        <w:t xml:space="preserve">”</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[41,42]</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center"/>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suggests possible group pattern across Upper Palaeolithic phases. Presence–absence matrices of geometric sign types reordered using manual Brower‑Kile seriation for (A) Aur-P1 and (B) Aur-P2 phases. Rows represent sites and columns represent sign types. Blocks of co-occurring signs indicate coherent groupings of sites with similar geometric‑sign repertoires. Despite chronological turnover in specific sign types, two broad classes of assemblages—restricted-range and broad-range—may be proposed for both phases, suggesting patterning in symbolic signaling practices. Restricted group is in red, broader group is in blue.</w:t>
            </w:r>
          </w:p>
          <w:bookmarkEnd w:id="37"/>
        </w:tc>
      </w:tr>
    </w:tbl>
    <w:p>
      <w:pPr>
        <w:pStyle w:val="BodyText"/>
      </w:pPr>
      <w:r>
        <w:t xml:space="preserve">For each of the two phases, we infer two groups from visual inspection of our seriation results.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w:t>
      </w:r>
    </w:p>
    <w:p>
      <w:pPr>
        <w:pStyle w:val="BodyText"/>
      </w:pPr>
      <w:r>
        <w:t xml:space="preserve">To quantitatively explore the robustness of the two-group pattern inferred from the seriation analysis, we used bootstrap resampling and stochastic block models, which we describe in detail in S1</w:t>
      </w:r>
      <w:r>
        <w:t xml:space="preserve"> </w:t>
      </w:r>
      <w:r>
        <w:t xml:space="preserve">“</w:t>
      </w:r>
      <w:r>
        <w:t xml:space="preserve">Sensitivity Analyses</w:t>
      </w:r>
      <w:r>
        <w:t xml:space="preserve">”</w:t>
      </w:r>
      <w:r>
        <w:t xml:space="preserve">. In Aur-P1, mean within-block co-clustering is 0.75 for the restricted-range block and 0.97 for the broader-range block, against 0.2 across the two blocks. The within-block values substantially exceed the across-block value, which is a signal that both groups are internally coherent and sharply separated. The strength of this signal is much lower for Aur-P2, where the pattern is 0.49 within the restricted block and 0.92 within the broader block, against 0.4 across the blocks. However the two-group pattern is not supported by the results of the stochastic block model analysis. Both Bernoulli and Gaussian emission models select a single-block structure for both the Aur-P1 and Aur-P2 samples, providing no model-based support for a two-group pattern inferred from the seriation (S1</w:t>
      </w:r>
      <w:r>
        <w:t xml:space="preserve"> </w:t>
      </w:r>
      <w:r>
        <w:t xml:space="preserve">“</w:t>
      </w:r>
      <w:r>
        <w:t xml:space="preserve">Sensitivity Analyses</w:t>
      </w:r>
      <w:r>
        <w:t xml:space="preserve">”</w:t>
      </w:r>
      <w:r>
        <w:t xml:space="preserve"> </w:t>
      </w:r>
      <w:r>
        <w:t xml:space="preserve">S6.3). This single-block result is expected below the detectability limit for sparse networks of this size (Peixoto 2019). In sum, because stochastic block modelling does not recover a multi-block structure, the restricted/broad dichotomy should be considered only as a dominant axis of variation (rich vs. poor sign repertoires) rather than an exact partition that emerges from compositional similarity through an unsupervised model. Network analysis allows us to evaluate how these sites may have been connected along this axis.</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center"/>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 These networks illustrate phase-specific differences in the intensity and configuration of inter‑site correspondences among sign repertoires.</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center"/>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The results of the network analysis support the restricted-broad groupings inferred from</w:t>
      </w:r>
      <w:r>
        <w:t xml:space="preserve"> </w:t>
      </w:r>
      <w:hyperlink w:anchor="fig-seriation">
        <w:r>
          <w:rPr>
            <w:rStyle w:val="Hyperlink"/>
          </w:rPr>
          <w:t xml:space="preserve">Figure 2</w:t>
        </w:r>
      </w:hyperlink>
      <w:r>
        <w:t xml:space="preserve">, and provide insight into the differences in connectivity between the two phases. In Aur-P1 the network visualization suggests two groups consistent with our inference from the seriation results: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pattern is again somewhat apparent,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 randomization, none of the tested statistics — edge density, modularity (Louvain), mean betweenness, or component count — differs significantly from its null distribution in either phase: all observed values fall within the null 95% confidence intervals and all Benjamini–Hochberg-adjusted p-values are ≥ 0.05. The restricted/broad grouping is instead supported by the model-based and null-benchmarked community-structure analyses in our S1</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center"/>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1"/>
        </w:tc>
      </w:tr>
    </w:tbl>
    <w:p>
      <w:pPr>
        <w:pStyle w:val="BodyText"/>
      </w:pPr>
      <w:r>
        <w:t xml:space="preserve">Because the restricted/broad groups were defined from the same sign data used for the perMANOVA, it is exploratory only. PerMANOVA attributes approximately 0.196 of the variance in sign composition to the restricted/broad grouping in the Aur-P1 phase and 0.223 in the Aur-P2 phase (</w:t>
      </w:r>
      <w:hyperlink w:anchor="tbl-strength-table">
        <w:r>
          <w:rPr>
            <w:rStyle w:val="Hyperlink"/>
          </w:rPr>
          <w:t xml:space="preserve">Table 3</w:t>
        </w:r>
      </w:hyperlink>
      <w:r>
        <w:t xml:space="preserve">). The pseudo-F statistic is larger for Aur-P1 (F = 4.382) than for Aur-P2 (F = 2.008), indicating a stronger nominal separation in the early phase. The betadisper test for homogeneity of multivariate dispersions shows that group dispersion does not differ significantly between restricted and broad groups in either phase (Aur-P1: p = 0.124, Aur-P2: p = 0.771), so for Aur-P1 the perMANOVA signal reflects a difference in group centroids rather than in dispersion.</w:t>
      </w:r>
    </w:p>
    <w:p>
      <w:pPr>
        <w:pStyle w:val="BodyText"/>
      </w:pPr>
      <w:r>
        <w:t xml:space="preserve">Because this perMANOVA is circular, we applied validation that tests the restricted/broad contrast on data not used to define it (see our S1</w:t>
      </w:r>
      <w:r>
        <w:t xml:space="preserve"> </w:t>
      </w:r>
      <w:r>
        <w:t xml:space="preserve">“</w:t>
      </w:r>
      <w:r>
        <w:t xml:space="preserve">Sensitivity Analyses</w:t>
      </w:r>
      <w:r>
        <w:t xml:space="preserve">”</w:t>
      </w:r>
      <w:r>
        <w:t xml:space="preserve"> </w:t>
      </w:r>
      <w:r>
        <w:t xml:space="preserve">S6.6), framed as selective inference on data-adaptive groups</w:t>
      </w:r>
      <w:r>
        <w:t xml:space="preserve"> </w:t>
      </w:r>
      <w:r>
        <w:t xml:space="preserve">[43,44]</w:t>
      </w:r>
      <w:r>
        <w:t xml:space="preserve">. Object-half holdout is the appropriate independent test because it learns the richness rule from one random half of each site’s objects and tests it on the other half, which are disjoint objects. For that test we report the median held-out p, the proportion of splits with p &lt; 0.05, and Brown’s method for dependent p-values</w:t>
      </w:r>
      <w:r>
        <w:t xml:space="preserve"> </w:t>
      </w:r>
      <w:r>
        <w:t xml:space="preserve">[45,46]</w:t>
      </w:r>
      <w:r>
        <w:t xml:space="preserve">; Fisher’s combined p is shown only for reference because the 100 splits are not independent. Results are reported for Jaccard and for Simpson turnover, which removes the richness-nestedness component that makes Jaccard separate rich from poor sites by construction. In Jaccard the Aur-P1 median p is 0.049 with 50% of splits significant (Brown p = &lt;2e-16), and Aur-P2 median p is 0.119 with 0% significant (Brown p = 2.08e-10). Simpson turnover gives higher p-values, as expected when the nestedness component is removed. Leave-one-out k-nearest-neighbour re-identification is high in both phases (permutation p &lt; 0.05), but because labels were assigned from the same Jaccard structure that the classifier uses, we treat this as evidence that labels vary smoothly with composition rather than as independent confirmation of a discrete partition. Gradient PerMANOVA is reported on predictors that are independent of the distance matrix (log object count, richness); regressing Jaccard dissimilarity on its own first PCoA axis is significant by construction and is not used as validation. Our most conservative richness-preserving test, re-deriving the optimal split under a fixed-fixed (Curveball) null, is not significant in either phase (Aur-P1 p = 0.106; Aur-P2 p = 0.984), indicating the contrast is a recoverable gradient rather than a sharp partition. We therefore treat the PerMANOVA as descriptive; the object-half holdout with dependence-aware statistics provides the independent validation.</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initially suggests two main sign-use groups, with sign type frequency and diversity serving as the major dividing factor. This parallels a richness-driven split found by</w:t>
      </w:r>
      <w:r>
        <w:t xml:space="preserve"> </w:t>
      </w:r>
      <w:r>
        <w:t xml:space="preserve">[2]</w:t>
      </w:r>
      <w:r>
        <w:t xml:space="preserve">, whose k-means with silhouette criterion divided ornament sites into &gt;10 vs ≤10 types regardless of geography, similar to our seriation-inferred divide. However, quantitative investigation of our sign type composition groups indicates the contrast is a recoverable gradual axis rather than a sharp partition, so our results must be taken as a descriptive pattern rather than a robust structure.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S1</w:t>
      </w:r>
      <w:r>
        <w:t xml:space="preserve"> </w:t>
      </w:r>
      <w:r>
        <w:t xml:space="preserve">“</w:t>
      </w:r>
      <w:r>
        <w:t xml:space="preserve">Sensitivity Analyses</w:t>
      </w:r>
      <w:r>
        <w:t xml:space="preserve">”</w:t>
      </w:r>
      <w:r>
        <w:t xml:space="preserve">. The removal of Vogelherd does not change the fundamental restricted/broad group pattern.</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(see our S1</w:t>
      </w:r>
      <w:r>
        <w:t xml:space="preserve"> </w:t>
      </w:r>
      <w:r>
        <w:t xml:space="preserve">“</w:t>
      </w:r>
      <w:r>
        <w:t xml:space="preserve">Sensitivity Analyses</w:t>
      </w:r>
      <w:r>
        <w:t xml:space="preserve">”</w:t>
      </w:r>
      <w:r>
        <w:t xml:space="preserve">).</w:t>
      </w:r>
    </w:p>
    <w:p>
      <w:pPr>
        <w:pStyle w:val="BodyText"/>
      </w:pPr>
      <w:r>
        <w:t xml:space="preserve">One consistent grouping pattern throughout both phases is the restricted/broader gradient, which may be influenced by variation in social structure. Variation in hunter-gatherer social structures is well-known from ethnographic and archaeological research</w:t>
      </w:r>
      <w:r>
        <w:t xml:space="preserve"> </w:t>
      </w:r>
      <w:r>
        <w:t xml:space="preserve">[47–54]</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[4,54–65]</w:t>
      </w:r>
      <w:r>
        <w:t xml:space="preserve">. Drawing on this work, we might speculate that the broader/restricted range gradient in the geometric sign data may be consistent with variation in social structure: the broader range groups, with a higher variety of signs and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S1</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above-average diversity of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w:t>
      </w:r>
    </w:p>
    <w:p>
      <w:pPr>
        <w:pStyle w:val="BodyText"/>
      </w:pPr>
      <w:r>
        <w:t xml:space="preserve">Six independent checks show that large assemblages differ in repertoire size along a recoverable gradient, but small assemblages cannot be placed on that gradient with confidence. For well-sampled sites, three analyses favor a richness axis: the largest sites keep their group under downsampling to a common object count (S9.2); the contrast persists among the sites assessable at equal coverage (S9.3); and with the richness–effort exponent estimated at 0.38 (95% CI 0.23–0.53) rather than fixed at 1, broad-range sites remain richer at equal object count (rate ratio 2.31, p = 0.003; S9.4). For small sites, our checks urge caution: small-site assignments flip at rates near chance (S9.2), most never reach comparable coverage (S9.3), and the Jaccard separation falls within richness structure alone under fixed margins (S9.7). Cross-validation recovers group separation from withheld data while the maximally-selected split test is not significant (Aur-P1 p = 0.106; Aur-P2 p = 0.984; S6.6), and Simpson turnover dissimilarity shows no group separation with single-block SBM solutions (S9.7, S6.3). The pattern is therefore best read as a richness gradient that is real for large assemblages, provisional for small ones, and not a discrete partition in either case.</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is consistent with possible non-utilitarian mobility among these larger communities, among other processes.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(see our S1</w:t>
      </w:r>
      <w:r>
        <w:t xml:space="preserve"> </w:t>
      </w:r>
      <w:r>
        <w:t xml:space="preserve">“</w:t>
      </w:r>
      <w:r>
        <w:t xml:space="preserve">Sensitivity Analyses</w:t>
      </w:r>
      <w:r>
        <w:t xml:space="preserve">”</w:t>
      </w:r>
      <w:r>
        <w:t xml:space="preserve"> </w:t>
      </w:r>
      <w:r>
        <w:t xml:space="preserve">S5.8), and bootstrap confidence intervals on the Mantel R show that a moderate geographic correlation could not be excluded at these sample sizes (S1</w:t>
      </w:r>
      <w:r>
        <w:t xml:space="preserve"> </w:t>
      </w:r>
      <w:r>
        <w:t xml:space="preserve">“</w:t>
      </w:r>
      <w:r>
        <w:t xml:space="preserve">Sensitivity Analyses</w:t>
      </w:r>
      <w:r>
        <w:t xml:space="preserve">”</w:t>
      </w:r>
      <w:r>
        <w:t xml:space="preserve"> </w:t>
      </w:r>
      <w:r>
        <w:t xml:space="preserve">S5.11). A non-significant Mantel result cannot establish any particular social process: it indicates only that isolation-by-distance was not detected. Non-utilitarian mobility remains a possible interpretation of the network structure, but it is not specifically demonstrated by this analysis. Previous studies have shown a range of variation in magnitudes and types of mobility among hunter-gatherer groups</w:t>
      </w:r>
      <w:r>
        <w:t xml:space="preserve"> </w:t>
      </w:r>
      <w:r>
        <w:t xml:space="preserve">[66]</w:t>
      </w:r>
      <w:r>
        <w:t xml:space="preserve">;</w:t>
      </w:r>
      <w:r>
        <w:t xml:space="preserve"> </w:t>
      </w:r>
      <w:r>
        <w:t xml:space="preserve">[67]</w:t>
      </w:r>
      <w:r>
        <w:t xml:space="preserve">;</w:t>
      </w:r>
      <w:r>
        <w:t xml:space="preserve"> </w:t>
      </w:r>
      <w:r>
        <w:t xml:space="preserve">[52]</w:t>
      </w:r>
      <w:r>
        <w:t xml:space="preserve">;</w:t>
      </w:r>
      <w:r>
        <w:t xml:space="preserve"> </w:t>
      </w:r>
      <w:r>
        <w:t xml:space="preserve">[68]</w:t>
      </w:r>
      <w:r>
        <w:t xml:space="preserve">;</w:t>
      </w:r>
      <w:r>
        <w:t xml:space="preserve"> </w:t>
      </w:r>
      <w:r>
        <w:t xml:space="preserve">[53]</w:t>
      </w:r>
      <w:r>
        <w:t xml:space="preserve">. Non-utilitarian mobility establishes regional social networks which facilitate the spread of information and the survival of hunter-gatherers in uncertain environments</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 The exchange and production of decorative items, such as objects with geometric signs, has been associated with non-utilitarian mobility and recognized as an indicator of social contact</w:t>
      </w:r>
      <w:r>
        <w:t xml:space="preserve"> </w:t>
      </w:r>
      <w:r>
        <w:t xml:space="preserve">[69]</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[78]</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[78]</w:t>
      </w:r>
      <w:r>
        <w:t xml:space="preserve">, including, in some cases, decorative objects</w:t>
      </w:r>
      <w:r>
        <w:t xml:space="preserve"> </w:t>
      </w:r>
      <w:r>
        <w:t xml:space="preserve">[74]</w:t>
      </w:r>
      <w:r>
        <w:t xml:space="preserve">; of these indicators, only assemblage diversity is testable in our data, which we evaluate below.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 Previous studies have also identified evidence of aggregation/dispersion patterns among the early modern humans of the Upper Palaeolithic</w:t>
      </w:r>
      <w:r>
        <w:t xml:space="preserve"> </w:t>
      </w:r>
      <w:r>
        <w:t xml:space="preserve">[2,79–85]</w:t>
      </w:r>
      <w:r>
        <w:t xml:space="preserve">.</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[86,87]</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average diversity in</w:t>
      </w:r>
      <w:r>
        <w:t xml:space="preserve"> </w:t>
      </w:r>
      <w:hyperlink w:anchor="fig-div-plot">
        <w:r>
          <w:rPr>
            <w:rStyle w:val="Hyperlink"/>
          </w:rPr>
          <w:t xml:space="preserve">Figure 6</w:t>
        </w:r>
      </w:hyperlink>
      <w:r>
        <w:t xml:space="preserve">). Supporting this distinction, sites whose diversity lies above the simulated mean (a possible indicator of aggregation) showed a weak, non-significant trend with network degree after Benjamini‑Hochberg correction (ρ = -0.35, p = 0.095). However, because this trend is not significant, it is not evidence either way about whether these sites are more or less connected. The correlation with mean betweenness was not significant (ρ = -0.24, p = 0.246).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is associated with which of the two groups a site belongs to.</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center"/>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differ significantly in size-adjusted network statistics and that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w:t>
      </w:r>
      <w:r>
        <w:t xml:space="preserve"> </w:t>
      </w:r>
      <w:r>
        <w:t xml:space="preserve">“</w:t>
      </w:r>
      <w:r>
        <w:t xml:space="preserve">Sensitivity Analyses</w:t>
      </w:r>
      <w:r>
        <w:t xml:space="preserve">”</w:t>
      </w:r>
      <w:r>
        <w:t xml:space="preserve"> </w:t>
      </w:r>
      <w:r>
        <w:t xml:space="preserve">S5.11).</w:t>
      </w:r>
      <w:r>
        <w:t xml:space="preserve"> </w:t>
      </w:r>
      <w:r>
        <w:t xml:space="preserve">[2]</w:t>
      </w:r>
      <w:r>
        <w:t xml:space="preserve"> </w:t>
      </w:r>
      <w:r>
        <w:t xml:space="preserve">report a similar pattern for ornaments, a non-significant, near-zero global Mantel with spatial structure only in correlograms at short lags (≤~300 km).</w:t>
      </w:r>
    </w:p>
    <w:p>
      <w:pPr>
        <w:pStyle w:val="BodyText"/>
      </w:pPr>
      <w:r>
        <w:t xml:space="preserve">These results are broadly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[88]</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[89–97]</w:t>
      </w:r>
      <w:r>
        <w:t xml:space="preserve">. Although population growth is the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from the larger Aur-P1 network, with the lower-connectivity periphery potentially representing periodically visited Extended Areas. In Aur-P2 the reduced network is consistent with more localised interaction as populations consolidated. That said, the contraction of the geometric sign-type pool from Aur-P1 (26 types) to Aur-P2 (15 types), consistent with cultural drift in small populations (1500 individuals;</w:t>
      </w:r>
      <w:r>
        <w:t xml:space="preserve"> </w:t>
      </w:r>
      <w:r>
        <w:t xml:space="preserve">[21]</w:t>
      </w:r>
      <w:r>
        <w:t xml:space="preserve">), does not survive sensitivity testing. At equal sampling effort with incidence-frequency rarefaction to 63 objects (S1 S9.5, all types and shared object types only), the rarefied Aur-P1 pool overlaps the Aur-P2 pool, so the raw difference in the number of sign types is not distinguishable from sampling variation. Neither the networks or sign diversity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suggesting that sign sharing was not primarily driven by expansion into new, spatially structured niches.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[88]</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are consistent with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groups differentiated by sign repertoire: geographic distance had little influence on sign distribution in either phase (Aur-P1: R = 0.046; Aur-P2: R = -0.299). Further analysis testing for sign composition differences across sites grouped by geography alone (Partioning Around Medoids on geodesic distances, k=2 to 5, with Jaccard dissimilarity and PERMANOVA) found no significant differences across geographic groups (S1 S5.13).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[98]</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[98]</w:t>
      </w:r>
      <w:r>
        <w:t xml:space="preserve"> </w:t>
      </w:r>
      <w:r>
        <w:t xml:space="preserve">complicate claims by</w:t>
      </w:r>
      <w:r>
        <w:t xml:space="preserve"> </w:t>
      </w:r>
      <w:r>
        <w:t xml:space="preserve">[6]</w:t>
      </w:r>
      <w:r>
        <w:t xml:space="preserve"> </w:t>
      </w:r>
      <w:r>
        <w:t xml:space="preserve">for geographically distinct cultural groups in the Aurignacian, and like our data, does not establish the absence of geographically structured identity; both our analyses are underpowered for that claim (see S1 S5.11).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[99–101]</w:t>
      </w:r>
      <w:r>
        <w:t xml:space="preserve">. Smaller populations are predicted to experience greater drift and reduced capacity to maintain complex cultural repertoires</w:t>
      </w:r>
      <w:r>
        <w:t xml:space="preserve"> </w:t>
      </w:r>
      <w:r>
        <w:t xml:space="preserve">[102]</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[103,104]</w:t>
      </w:r>
      <w:r>
        <w:t xml:space="preserve">, while more clustered networks promote localised conformist transmission and differentiation within subgroups</w:t>
      </w:r>
      <w:r>
        <w:t xml:space="preserve"> </w:t>
      </w:r>
      <w:r>
        <w:t xml:space="preserve">[105]</w:t>
      </w:r>
      <w:r>
        <w:t xml:space="preserve">. Our finding of no statistically significant difference in connectivity metrics across the two phases suggests that relative interaction levels remained consistent over time, even as populations consolidated into fewer sites. The lack of significant geographic structure in either phase contradicts simple isolation-by-distance models</w:t>
      </w:r>
      <w:r>
        <w:t xml:space="preserve"> </w:t>
      </w:r>
      <w:r>
        <w:t xml:space="preserve">[102,106]</w:t>
      </w:r>
      <w:r>
        <w:t xml:space="preserve">. A non-significant Mantel result cannot establish which social process generated the pattern; ritual gatherings or ceremonial exchange remain speculative possibilities, not demonstrated mechanisms. These interpretations are speculative: network structure reflects sign-sharing patterns, not direct evidence of social organisation, and simpler sign types may reflect independent invention or functional constraints rather than social transmission. Our caution matches</w:t>
      </w:r>
      <w:r>
        <w:t xml:space="preserve"> </w:t>
      </w:r>
      <w:r>
        <w:t xml:space="preserve">[107]</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null result does not by itself establish the signs’ function. One speculative possibility is that different material classes encode different identity dimensions, for example, ornaments may signal ethnic affiliation, while geometric signs could serve functions such as notation, calendrical recording, or information storage. But these remain untested hypotheses. This aligns with work by</w:t>
      </w:r>
      <w:r>
        <w:t xml:space="preserve"> </w:t>
      </w:r>
      <w:r>
        <w:t xml:space="preserve">[108]</w:t>
      </w:r>
      <w:r>
        <w:t xml:space="preserve"> </w:t>
      </w:r>
      <w:r>
        <w:t xml:space="preserve">(sign sequences having protocuneiform-like information density, suggesting notational function) and</w:t>
      </w:r>
      <w:r>
        <w:t xml:space="preserve"> </w:t>
      </w:r>
      <w:r>
        <w:t xml:space="preserve">[109]</w:t>
      </w:r>
      <w:r>
        <w:t xml:space="preserve"> </w:t>
      </w:r>
      <w:r>
        <w:t xml:space="preserve">(some signs recording seasonal prey information). However, both hypotheses are contested:</w:t>
      </w:r>
      <w:r>
        <w:t xml:space="preserve"> </w:t>
      </w:r>
      <w:r>
        <w:t xml:space="preserve">[110]</w:t>
      </w:r>
      <w:r>
        <w:t xml:space="preserve"> </w:t>
      </w:r>
      <w:r>
        <w:t xml:space="preserve">note methodological issues in Bentz &amp; Dutkiewicz;</w:t>
      </w:r>
      <w:r>
        <w:t xml:space="preserve"> </w:t>
      </w:r>
      <w:r>
        <w:t xml:space="preserve">[111]</w:t>
      </w:r>
      <w:r>
        <w:t xml:space="preserve"> </w:t>
      </w:r>
      <w:r>
        <w:t xml:space="preserve">and</w:t>
      </w:r>
      <w:r>
        <w:t xml:space="preserve"> </w:t>
      </w:r>
      <w:r>
        <w:t xml:space="preserve">[112]</w:t>
      </w:r>
      <w:r>
        <w:t xml:space="preserve"> </w:t>
      </w:r>
      <w:r>
        <w:t xml:space="preserve">argue the lunar calendar hypothesis is untestable, circular, and selectively uses data;</w:t>
      </w:r>
      <w:r>
        <w:t xml:space="preserve"> </w:t>
      </w:r>
      <w:r>
        <w:t xml:space="preserve">[113]</w:t>
      </w:r>
      <w:r>
        <w:t xml:space="preserve"> </w:t>
      </w:r>
      <w:r>
        <w:t xml:space="preserve">finds multiple theoretical weaknesses. Our results neither confirm nor rule out these hypotheses, and sign-type ambiguity remains a limitation.</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[3,80,114–117]</w:t>
      </w:r>
      <w:r>
        <w:t xml:space="preserve"> </w:t>
      </w:r>
      <w:r>
        <w:t xml:space="preserve">has used material culture analysis to reconstruct Upper Palaeolithic social networks, which have been argued to be a driver of cultural and evolutionary change</w:t>
      </w:r>
      <w:r>
        <w:t xml:space="preserve"> </w:t>
      </w:r>
      <w:r>
        <w:t xml:space="preserve">[2,73,118–122]</w:t>
      </w:r>
      <w:r>
        <w:t xml:space="preserve">. Our results show that the current sample of geometric signs does not support any significant change over the Aurignacian.</w:t>
      </w:r>
    </w:p>
    <w:p>
      <w:pPr>
        <w:pStyle w:val="BodyText"/>
      </w:pPr>
      <w:r>
        <w:t xml:space="preserve">A restricted/broad repertoire axis is visually evident in seriation and supported by bootstrap co-clustering (Aur-P1: within-block 0.75/0.97 vs. across-block 0.2; Aur-P2: 0.49/0.92 vs. 0.4). However, stochastic block models do not recover a two-group partition for either phase (single block selected under both Bernoulli and Gaussian emission models; S6.3). Cross-validation (leave-one-out, object-half holdout, gradient PerMANOVA) recovers the axis, yet the maximally-selected split test under a fixed-fixed (Curveball) null is not significant in either phase (Aur-P1 p = 0.106; Aur-P2 p = 0.984). Critically, a negative-binomial regression with an estimated richness–effort exponent finds the group contrast persists at equal object count (rate ratio 2.31, p = 0.003; S9.4). Richness-preserving nulls bound this reading both ways: the Jaccard separation falls within richness structure alone under fixed margins, exceeds object-sampling expectation in Aur-P1 only, and vanishes entirely on Simpson turnover dissimilarity, which shows no group separation in either phase (S9.7). The raw richness gap is therefore not distinguishable from a real group difference carried by the nestedness component. The restricted/broad division should be read only as a descriptive gradient whose independence from sampling effort is not demonstrated for sites with small numbers of signs.</w:t>
      </w:r>
    </w:p>
    <w:p>
      <w:pPr>
        <w:pStyle w:val="BodyText"/>
      </w:pPr>
      <w:r>
        <w:t xml:space="preserve">No significant isolation-by-distance signal is detected in either phase (Mantel R = 0.046, p = 0.301; R = -0.299, p = 0.933), but bootstrap confidence intervals (S5.11) show the tests are underpowered at n = 20 and 9 sites — these are null results reflecting limited power, not evidence of geographic irrelevance. Geometric signs do not exhibit the geographically distinct clusters reported for personal ornaments</w:t>
      </w:r>
      <w:r>
        <w:t xml:space="preserve"> </w:t>
      </w:r>
      <w:r>
        <w:t xml:space="preserve">[3,6]</w:t>
      </w:r>
      <w:r>
        <w:t xml:space="preserve">; whether they encode different identity dimensions (notation, calendrical recording, information storage) remains speculative and untested</w:t>
      </w:r>
      <w:r>
        <w:t xml:space="preserve"> </w:t>
      </w:r>
      <w:r>
        <w:t xml:space="preserve">[108–113]</w:t>
      </w:r>
      <w:r>
        <w:t xml:space="preserve">. Our findings are consistent with the conclusions of</w:t>
      </w:r>
      <w:r>
        <w:t xml:space="preserve"> </w:t>
      </w:r>
      <w:r>
        <w:t xml:space="preserve">[98]</w:t>
      </w:r>
      <w:r>
        <w:t xml:space="preserve"> </w:t>
      </w:r>
      <w:r>
        <w:t xml:space="preserve">that cultural identity by-descent with modification is a likely explanation for the distribution of Aurignacian ornaments.</w:t>
      </w:r>
    </w:p>
    <w:p>
      <w:pPr>
        <w:pStyle w:val="BodyText"/>
      </w:pPr>
      <w:r>
        <w:t xml:space="preserve">Our study has four limitations. First is the ambiguity of some of the sign types. While</w:t>
      </w:r>
      <w:r>
        <w:t xml:space="preserve"> </w:t>
      </w:r>
      <w:r>
        <w:t xml:space="preserve">[123]</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[124]</w:t>
      </w:r>
      <w:r>
        <w:t xml:space="preserve">, and additionally, greater quantities of included sign types serve to establish stronger connections</w:t>
      </w:r>
      <w:r>
        <w:t xml:space="preserve"> </w:t>
      </w:r>
      <w:r>
        <w:t xml:space="preserve">[125]</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[108]</w:t>
      </w:r>
      <w:r>
        <w:t xml:space="preserve">.</w:t>
      </w:r>
    </w:p>
    <w:p>
      <w:pPr>
        <w:pStyle w:val="BodyText"/>
      </w:pPr>
      <w:r>
        <w:t xml:space="preserve">A second limitation concerns the effects of time-averaging on our network reconstructions.</w:t>
      </w:r>
      <w:r>
        <w:t xml:space="preserve"> </w:t>
      </w:r>
      <w:r>
        <w:t xml:space="preserve">[126]</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[68]</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[127,128]</w:t>
      </w:r>
      <w:r>
        <w:t xml:space="preserve">, La Ferrassie’s Aurignacian begins with the Early Aurignacian directly above the Châtelperronian</w:t>
      </w:r>
      <w:r>
        <w:t xml:space="preserve"> </w:t>
      </w:r>
      <w:r>
        <w:t xml:space="preserve">[129]</w:t>
      </w:r>
      <w:r>
        <w:t xml:space="preserve">, and Mladeč’s massive-base bone points and ~31 ka ¹⁴C BP (~35–36 ka cal BP) dates indicate an Evolved (Aur-P2) attribution</w:t>
      </w:r>
      <w:r>
        <w:t xml:space="preserve"> </w:t>
      </w:r>
      <w:r>
        <w:t xml:space="preserve">[130]</w:t>
      </w:r>
      <w:r>
        <w:t xml:space="preserve">. Additionally, Vogelherd Cave’s stratigraphy is compromised by excavation methodology and post-depositional disturbance, with documented mixing between Aurignacian, Gravettian, and Magdalenian layers</w:t>
      </w:r>
      <w:r>
        <w:t xml:space="preserve"> </w:t>
      </w:r>
      <w:r>
        <w:t xml:space="preserve">[131]</w:t>
      </w:r>
      <w:r>
        <w:t xml:space="preserve">. After exclusions, Aur-P2 rests on only 9 sites and 63 objects, so its two-group structure and network statistics have limited power. To manage this limitation we tested the sensitivity of our assignments to reverting to purely date-based criteria in S1</w:t>
      </w:r>
      <w:r>
        <w:t xml:space="preserve"> </w:t>
      </w:r>
      <w:r>
        <w:t xml:space="preserve">“</w:t>
      </w:r>
      <w:r>
        <w:t xml:space="preserve">Sensitivity Analyses</w:t>
      </w:r>
      <w:r>
        <w:t xml:space="preserve">”</w:t>
      </w:r>
      <w:r>
        <w:t xml:space="preserve"> </w:t>
      </w:r>
      <w:r>
        <w:t xml:space="preserve">and find that the main structures are generally robust.</w:t>
      </w:r>
    </w:p>
    <w:p>
      <w:pPr>
        <w:pStyle w:val="BodyText"/>
      </w:pPr>
      <w:r>
        <w:t xml:space="preserve">Fourth, the restricted/broad division may not be independent from sampling intensity. Object-level resampling shows that only the best-sampled sites retain stable group assignments when compared at a common object count. A negative-binomial regression with an estimated richness–effort exponent finds the group contrast persists at equal object count (rate ratio 2.31, p = 0.003; S1 S9.4); the offset specification that found no effect fixed the exponent at 1, which the data reject. The raw richness gap is therefore not distinguishable from a genuine group difference, and for sites represented by only a few objects the restricted/broad membership remains provisional. The division should accordingly be read as a descriptive axis of variation whose separation from sampling effort is not demonstrated for small-object sites.</w:t>
      </w:r>
    </w:p>
    <w:bookmarkEnd w:id="61"/>
    <w:bookmarkStart w:id="311" w:name="references"/>
    <w:p>
      <w:pPr>
        <w:pStyle w:val="Heading1"/>
      </w:pPr>
      <w:r>
        <w:t xml:space="preserve">References</w:t>
      </w:r>
    </w:p>
    <w:bookmarkStart w:id="310"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w:t>
      </w:r>
      <w:r>
        <w:t xml:space="preserve"> </w:t>
      </w:r>
      <w:hyperlink r:id="rId112">
        <w:r>
          <w:rPr>
            <w:rStyle w:val="Hyperlink"/>
          </w:rPr>
          <w:t xml:space="preserve">Rnaturalearth: World map data from</w:t>
        </w:r>
        <w:r>
          <w:rPr>
            <w:rStyle w:val="Hyperlink"/>
          </w:rPr>
          <w:t xml:space="preserve"> </w:t>
        </w:r>
        <w:r>
          <w:rPr>
            <w:rStyle w:val="Hyperlink"/>
          </w:rPr>
          <w:t xml:space="preserve">Natural Earth</w:t>
        </w:r>
      </w:hyperlink>
      <w:r>
        <w:t xml:space="preserve">. 2026.</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2023.</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seriation_pckge"/>
    <w:p>
      <w:pPr>
        <w:pStyle w:val="Bibliography"/>
      </w:pPr>
      <w:r>
        <w:t xml:space="preserve">[33]</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4">
        <w:r>
          <w:rPr>
            <w:rStyle w:val="Hyperlink"/>
          </w:rPr>
          <w:t xml:space="preserve">https://doi.org/10.18637/jss.v025.i03</w:t>
        </w:r>
      </w:hyperlink>
      <w:r>
        <w:t xml:space="preserve">.</w:t>
      </w:r>
    </w:p>
    <w:bookmarkEnd w:id="125"/>
    <w:bookmarkStart w:id="127" w:name="ref-Brower_Kile_1988"/>
    <w:p>
      <w:pPr>
        <w:pStyle w:val="Bibliography"/>
      </w:pPr>
      <w:r>
        <w:t xml:space="preserve">[34]</w:t>
      </w:r>
      <w:r>
        <w:t xml:space="preserve"> </w:t>
      </w:r>
      <w:r>
        <w:t xml:space="preserve">	</w:t>
      </w:r>
      <w:r>
        <w:t xml:space="preserve">Brower JC, Kile KM. Seriation of an original data matrix as applied to paleoecology. Lethaia 1988;21:79–93.</w:t>
      </w:r>
      <w:r>
        <w:t xml:space="preserve"> </w:t>
      </w:r>
      <w:hyperlink r:id="rId126">
        <w:r>
          <w:rPr>
            <w:rStyle w:val="Hyperlink"/>
          </w:rPr>
          <w:t xml:space="preserve">https://doi.org/10.1111/j.1502-3931.1988.tb01756.x</w:t>
        </w:r>
      </w:hyperlink>
      <w:r>
        <w:t xml:space="preserve">.</w:t>
      </w:r>
    </w:p>
    <w:bookmarkEnd w:id="127"/>
    <w:bookmarkStart w:id="129" w:name="ref-Mills_2017"/>
    <w:p>
      <w:pPr>
        <w:pStyle w:val="Bibliography"/>
      </w:pPr>
      <w:r>
        <w:t xml:space="preserve">[35]</w:t>
      </w:r>
      <w:r>
        <w:t xml:space="preserve"> </w:t>
      </w:r>
      <w:r>
        <w:t xml:space="preserve">	</w:t>
      </w:r>
      <w:r>
        <w:t xml:space="preserve">Mills BJ. Social network analysis in archaeology. Annual Review of Anthropology 2017;46:379–97.</w:t>
      </w:r>
      <w:r>
        <w:t xml:space="preserve"> </w:t>
      </w:r>
      <w:hyperlink r:id="rId128">
        <w:r>
          <w:rPr>
            <w:rStyle w:val="Hyperlink"/>
          </w:rPr>
          <w:t xml:space="preserve">https://doi.org/10.1146/annurev-anthro-102116-041423</w:t>
        </w:r>
      </w:hyperlink>
      <w:r>
        <w:t xml:space="preserve">.</w:t>
      </w:r>
    </w:p>
    <w:bookmarkEnd w:id="129"/>
    <w:bookmarkStart w:id="131" w:name="ref-Fruchterman_Reingold_1991"/>
    <w:p>
      <w:pPr>
        <w:pStyle w:val="Bibliography"/>
      </w:pPr>
      <w:r>
        <w:t xml:space="preserve">[36]</w:t>
      </w:r>
      <w:r>
        <w:t xml:space="preserve"> </w:t>
      </w:r>
      <w:r>
        <w:t xml:space="preserve">	</w:t>
      </w:r>
      <w:r>
        <w:t xml:space="preserve">Fruchterman TMJ, Reingold EM. Graph drawing by force-directed placement. Software: Practice and Experience 1991;21:1129–64.</w:t>
      </w:r>
      <w:r>
        <w:t xml:space="preserve"> </w:t>
      </w:r>
      <w:hyperlink r:id="rId130">
        <w:r>
          <w:rPr>
            <w:rStyle w:val="Hyperlink"/>
          </w:rPr>
          <w:t xml:space="preserve">https://doi.org/10.1002/spe.4380211102</w:t>
        </w:r>
      </w:hyperlink>
      <w:r>
        <w:t xml:space="preserve">.</w:t>
      </w:r>
    </w:p>
    <w:bookmarkEnd w:id="131"/>
    <w:bookmarkStart w:id="133" w:name="ref-statnet_package"/>
    <w:p>
      <w:pPr>
        <w:pStyle w:val="Bibliography"/>
      </w:pPr>
      <w:r>
        <w:t xml:space="preserve">[37]</w:t>
      </w:r>
      <w:r>
        <w:t xml:space="preserve"> </w:t>
      </w:r>
      <w:r>
        <w:t xml:space="preserve">	</w:t>
      </w:r>
      <w:r>
        <w:t xml:space="preserve">Handcock MS, Hunter DR, Butts CT, Goodreau SM, Krivitsky PN, Bender-deMoll S, et al.</w:t>
      </w:r>
      <w:r>
        <w:t xml:space="preserve"> </w:t>
      </w:r>
      <w:hyperlink r:id="rId132">
        <w:r>
          <w:rPr>
            <w:rStyle w:val="Hyperlink"/>
          </w:rPr>
          <w:t xml:space="preserve">Statnet: Software tools for the statistical analysis of network data</w:t>
        </w:r>
      </w:hyperlink>
      <w:r>
        <w:t xml:space="preserve"> </w:t>
      </w:r>
      <w:r>
        <w:t xml:space="preserve">2019.</w:t>
      </w:r>
    </w:p>
    <w:bookmarkEnd w:id="133"/>
    <w:bookmarkStart w:id="135" w:name="ref-igraph_package"/>
    <w:p>
      <w:pPr>
        <w:pStyle w:val="Bibliography"/>
      </w:pPr>
      <w:r>
        <w:t xml:space="preserve">[38]</w:t>
      </w:r>
      <w:r>
        <w:t xml:space="preserve"> </w:t>
      </w:r>
      <w:r>
        <w:t xml:space="preserve">	</w:t>
      </w:r>
      <w:r>
        <w:t xml:space="preserve">Csardi G, Nepusz T.</w:t>
      </w:r>
      <w:r>
        <w:t xml:space="preserve"> </w:t>
      </w:r>
      <w:hyperlink r:id="rId134">
        <w:r>
          <w:rPr>
            <w:rStyle w:val="Hyperlink"/>
          </w:rPr>
          <w:t xml:space="preserve">The igraph software package for complex network research</w:t>
        </w:r>
      </w:hyperlink>
      <w:r>
        <w:t xml:space="preserve">. InterJournal 2006;Complex Systems:1695.</w:t>
      </w:r>
    </w:p>
    <w:bookmarkEnd w:id="135"/>
    <w:bookmarkStart w:id="137" w:name="ref-Anderson_2017"/>
    <w:p>
      <w:pPr>
        <w:pStyle w:val="Bibliography"/>
      </w:pPr>
      <w:r>
        <w:t xml:space="preserve">[39]</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6">
        <w:r>
          <w:rPr>
            <w:rStyle w:val="Hyperlink"/>
          </w:rPr>
          <w:t xml:space="preserve">https://doi.org/10.1002/9781118445112.stat07841</w:t>
        </w:r>
      </w:hyperlink>
      <w:r>
        <w:t xml:space="preserve">.</w:t>
      </w:r>
    </w:p>
    <w:bookmarkEnd w:id="137"/>
    <w:bookmarkStart w:id="139" w:name="ref-Shennan_Crema_Kerig_2015"/>
    <w:p>
      <w:pPr>
        <w:pStyle w:val="Bibliography"/>
      </w:pPr>
      <w:r>
        <w:t xml:space="preserve">[40]</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38">
        <w:r>
          <w:rPr>
            <w:rStyle w:val="Hyperlink"/>
          </w:rPr>
          <w:t xml:space="preserve">https://doi.org/10.1016/j.evolhumbehav.2014.09.006</w:t>
        </w:r>
      </w:hyperlink>
      <w:r>
        <w:t xml:space="preserve">.</w:t>
      </w:r>
    </w:p>
    <w:bookmarkEnd w:id="139"/>
    <w:bookmarkStart w:id="141" w:name="ref-Marwick2017"/>
    <w:p>
      <w:pPr>
        <w:pStyle w:val="Bibliography"/>
      </w:pPr>
      <w:r>
        <w:t xml:space="preserve">[41]</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0">
        <w:r>
          <w:rPr>
            <w:rStyle w:val="Hyperlink"/>
          </w:rPr>
          <w:t xml:space="preserve">https://doi.org/10.1007/s10816-015-9272-9</w:t>
        </w:r>
      </w:hyperlink>
      <w:r>
        <w:t xml:space="preserve">.</w:t>
      </w:r>
    </w:p>
    <w:bookmarkEnd w:id="141"/>
    <w:bookmarkStart w:id="143" w:name="ref-Marwick_2025"/>
    <w:p>
      <w:pPr>
        <w:pStyle w:val="Bibliography"/>
      </w:pPr>
      <w:r>
        <w:t xml:space="preserve">[42]</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2">
        <w:r>
          <w:rPr>
            <w:rStyle w:val="Hyperlink"/>
          </w:rPr>
          <w:t xml:space="preserve">https://doi.org/10.1016/j.jas.2025.106281</w:t>
        </w:r>
      </w:hyperlink>
      <w:r>
        <w:t xml:space="preserve">.</w:t>
      </w:r>
    </w:p>
    <w:bookmarkEnd w:id="143"/>
    <w:bookmarkStart w:id="145" w:name="ref-Gao_Bien_Witten_2022"/>
    <w:p>
      <w:pPr>
        <w:pStyle w:val="Bibliography"/>
      </w:pPr>
      <w:r>
        <w:t xml:space="preserve">[43]</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144">
        <w:r>
          <w:rPr>
            <w:rStyle w:val="Hyperlink"/>
          </w:rPr>
          <w:t xml:space="preserve">https://doi.org/10.1080/01621459.2022.2116331</w:t>
        </w:r>
      </w:hyperlink>
      <w:r>
        <w:t xml:space="preserve">.</w:t>
      </w:r>
    </w:p>
    <w:bookmarkEnd w:id="145"/>
    <w:bookmarkStart w:id="147" w:name="ref-Neufeld_2024"/>
    <w:p>
      <w:pPr>
        <w:pStyle w:val="Bibliography"/>
      </w:pPr>
      <w:r>
        <w:t xml:space="preserve">[44]</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146">
        <w:r>
          <w:rPr>
            <w:rStyle w:val="Hyperlink"/>
          </w:rPr>
          <w:t xml:space="preserve">https://doi.org/10.1093/biostatistics/kxac047</w:t>
        </w:r>
      </w:hyperlink>
      <w:r>
        <w:t xml:space="preserve">.</w:t>
      </w:r>
    </w:p>
    <w:bookmarkEnd w:id="147"/>
    <w:bookmarkStart w:id="149" w:name="ref-Brown_1975"/>
    <w:p>
      <w:pPr>
        <w:pStyle w:val="Bibliography"/>
      </w:pPr>
      <w:r>
        <w:t xml:space="preserve">[45]</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148">
        <w:r>
          <w:rPr>
            <w:rStyle w:val="Hyperlink"/>
          </w:rPr>
          <w:t xml:space="preserve">https://doi.org/10.2307/2529826</w:t>
        </w:r>
      </w:hyperlink>
      <w:r>
        <w:t xml:space="preserve">.</w:t>
      </w:r>
    </w:p>
    <w:bookmarkEnd w:id="149"/>
    <w:bookmarkStart w:id="151" w:name="ref-Poole_2016"/>
    <w:p>
      <w:pPr>
        <w:pStyle w:val="Bibliography"/>
      </w:pPr>
      <w:r>
        <w:t xml:space="preserve">[46]</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150">
        <w:r>
          <w:rPr>
            <w:rStyle w:val="Hyperlink"/>
          </w:rPr>
          <w:t xml:space="preserve">https://doi.org/10.1093/bioinformatics/btw438</w:t>
        </w:r>
      </w:hyperlink>
      <w:r>
        <w:t xml:space="preserve">.</w:t>
      </w:r>
    </w:p>
    <w:bookmarkEnd w:id="151"/>
    <w:bookmarkStart w:id="153" w:name="ref-Finlayson_Warren_2017"/>
    <w:p>
      <w:pPr>
        <w:pStyle w:val="Bibliography"/>
      </w:pPr>
      <w:r>
        <w:t xml:space="preserve">[47]</w:t>
      </w:r>
      <w:r>
        <w:t xml:space="preserve"> </w:t>
      </w:r>
      <w:r>
        <w:t xml:space="preserve">	</w:t>
      </w:r>
      <w:r>
        <w:t xml:space="preserve">Finlayson B, Warren G.</w:t>
      </w:r>
      <w:r>
        <w:t xml:space="preserve"> </w:t>
      </w:r>
      <w:hyperlink r:id="rId152">
        <w:r>
          <w:rPr>
            <w:rStyle w:val="Hyperlink"/>
          </w:rPr>
          <w:t xml:space="preserve">The diversity of hunter-gatherer pasts: An introduction</w:t>
        </w:r>
      </w:hyperlink>
      <w:r>
        <w:t xml:space="preserve">. In: Finlayson B, Warren G, editors. The diversity of hunter gatherer pasts. 1st ed., Oxbow Books; 2017, p. 1–14.</w:t>
      </w:r>
    </w:p>
    <w:bookmarkEnd w:id="153"/>
    <w:bookmarkStart w:id="155" w:name="ref-Riches_1995"/>
    <w:p>
      <w:pPr>
        <w:pStyle w:val="Bibliography"/>
      </w:pPr>
      <w:r>
        <w:t xml:space="preserve">[48]</w:t>
      </w:r>
      <w:r>
        <w:t xml:space="preserve"> </w:t>
      </w:r>
      <w:r>
        <w:t xml:space="preserve">	</w:t>
      </w:r>
      <w:r>
        <w:t xml:space="preserve">Riches D. Hunter-gatherer structural transformations. The Journal of the Royal Anthropological Institute 1995;1:679–701.</w:t>
      </w:r>
      <w:r>
        <w:t xml:space="preserve"> </w:t>
      </w:r>
      <w:hyperlink r:id="rId154">
        <w:r>
          <w:rPr>
            <w:rStyle w:val="Hyperlink"/>
          </w:rPr>
          <w:t xml:space="preserve">https://doi.org/10.2307/3034956</w:t>
        </w:r>
      </w:hyperlink>
      <w:r>
        <w:t xml:space="preserve">.</w:t>
      </w:r>
    </w:p>
    <w:bookmarkEnd w:id="155"/>
    <w:bookmarkStart w:id="157" w:name="ref-Price_Brown_1985"/>
    <w:p>
      <w:pPr>
        <w:pStyle w:val="Bibliography"/>
      </w:pPr>
      <w:r>
        <w:t xml:space="preserve">[49]</w:t>
      </w:r>
      <w:r>
        <w:t xml:space="preserve"> </w:t>
      </w:r>
      <w:r>
        <w:t xml:space="preserve">	</w:t>
      </w:r>
      <w:r>
        <w:t xml:space="preserve">Price TD, Brown JA. Aspects of hunter–gatherer complexity. In: Price TD, Brown JA, editors. Prehistoric hunters-gatherers, Academic Press; 1985, p. 3–20.</w:t>
      </w:r>
      <w:r>
        <w:t xml:space="preserve"> </w:t>
      </w:r>
      <w:hyperlink r:id="rId156">
        <w:r>
          <w:rPr>
            <w:rStyle w:val="Hyperlink"/>
          </w:rPr>
          <w:t xml:space="preserve">https://doi.org/10.1016/B978-0-12-564750-2.50006-8</w:t>
        </w:r>
      </w:hyperlink>
      <w:r>
        <w:t xml:space="preserve">.</w:t>
      </w:r>
    </w:p>
    <w:bookmarkEnd w:id="157"/>
    <w:bookmarkStart w:id="159" w:name="ref-Lane_2017"/>
    <w:p>
      <w:pPr>
        <w:pStyle w:val="Bibliography"/>
      </w:pPr>
      <w:r>
        <w:t xml:space="preserve">[50]</w:t>
      </w:r>
      <w:r>
        <w:t xml:space="preserve"> </w:t>
      </w:r>
      <w:r>
        <w:t xml:space="preserve">	</w:t>
      </w:r>
      <w:r>
        <w:t xml:space="preserve">Lane PJ.</w:t>
      </w:r>
      <w:r>
        <w:t xml:space="preserve"> </w:t>
      </w:r>
      <w:hyperlink r:id="rId158">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9"/>
    <w:bookmarkStart w:id="160" w:name="ref-Pate_2006"/>
    <w:p>
      <w:pPr>
        <w:pStyle w:val="Bibliography"/>
      </w:pPr>
      <w:r>
        <w:t xml:space="preserve">[51]</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60"/>
    <w:bookmarkStart w:id="162" w:name="ref-Johnson_2014"/>
    <w:p>
      <w:pPr>
        <w:pStyle w:val="Bibliography"/>
      </w:pPr>
      <w:r>
        <w:t xml:space="preserve">[52]</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61">
        <w:r>
          <w:rPr>
            <w:rStyle w:val="Hyperlink"/>
          </w:rPr>
          <w:t xml:space="preserve">https://doi.org/10.1007/s10814-013-9068-y</w:t>
        </w:r>
      </w:hyperlink>
      <w:r>
        <w:t xml:space="preserve">.</w:t>
      </w:r>
    </w:p>
    <w:bookmarkEnd w:id="162"/>
    <w:bookmarkStart w:id="164" w:name="ref-Singh_Glowacki_2022"/>
    <w:p>
      <w:pPr>
        <w:pStyle w:val="Bibliography"/>
      </w:pPr>
      <w:r>
        <w:t xml:space="preserve">[53]</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63">
        <w:r>
          <w:rPr>
            <w:rStyle w:val="Hyperlink"/>
          </w:rPr>
          <w:t xml:space="preserve">https://doi.org/10.1016/j.evolhumbehav.2022.07.003</w:t>
        </w:r>
      </w:hyperlink>
      <w:r>
        <w:t xml:space="preserve">.</w:t>
      </w:r>
    </w:p>
    <w:bookmarkEnd w:id="164"/>
    <w:bookmarkStart w:id="166" w:name="ref-Schwendler_2012"/>
    <w:p>
      <w:pPr>
        <w:pStyle w:val="Bibliography"/>
      </w:pPr>
      <w:r>
        <w:t xml:space="preserve">[54]</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65">
        <w:r>
          <w:rPr>
            <w:rStyle w:val="Hyperlink"/>
          </w:rPr>
          <w:t xml:space="preserve">https://doi.org/10.1016/j.quaint.2012.03.054</w:t>
        </w:r>
      </w:hyperlink>
      <w:r>
        <w:t xml:space="preserve">.</w:t>
      </w:r>
    </w:p>
    <w:bookmarkEnd w:id="166"/>
    <w:bookmarkStart w:id="168" w:name="ref-Morwood_1987"/>
    <w:p>
      <w:pPr>
        <w:pStyle w:val="Bibliography"/>
      </w:pPr>
      <w:r>
        <w:t xml:space="preserve">[55]</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7">
        <w:r>
          <w:rPr>
            <w:rStyle w:val="Hyperlink"/>
          </w:rPr>
          <w:t xml:space="preserve">https://doi.org/10.1017/S0079497X00006265</w:t>
        </w:r>
      </w:hyperlink>
      <w:r>
        <w:t xml:space="preserve">.</w:t>
      </w:r>
    </w:p>
    <w:bookmarkEnd w:id="168"/>
    <w:bookmarkStart w:id="170" w:name="ref-Mattson_2021"/>
    <w:p>
      <w:pPr>
        <w:pStyle w:val="Bibliography"/>
      </w:pPr>
      <w:r>
        <w:t xml:space="preserve">[56]</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9">
        <w:r>
          <w:rPr>
            <w:rStyle w:val="Hyperlink"/>
          </w:rPr>
          <w:t xml:space="preserve">https://doi.org/10.2307/j.ctv24q4z2g.5</w:t>
        </w:r>
      </w:hyperlink>
      <w:r>
        <w:t xml:space="preserve">.</w:t>
      </w:r>
    </w:p>
    <w:bookmarkEnd w:id="170"/>
    <w:bookmarkStart w:id="171" w:name="ref-Larsson_2006"/>
    <w:p>
      <w:pPr>
        <w:pStyle w:val="Bibliography"/>
      </w:pPr>
      <w:r>
        <w:t xml:space="preserve">[57]</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71"/>
    <w:bookmarkStart w:id="173" w:name="ref-Moore_2010"/>
    <w:p>
      <w:pPr>
        <w:pStyle w:val="Bibliography"/>
      </w:pPr>
      <w:r>
        <w:t xml:space="preserve">[58]</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72">
        <w:r>
          <w:rPr>
            <w:rStyle w:val="Hyperlink"/>
          </w:rPr>
          <w:t xml:space="preserve">https://doi.org/10.1179/sea.2010.29.1.013</w:t>
        </w:r>
      </w:hyperlink>
      <w:r>
        <w:t xml:space="preserve">.</w:t>
      </w:r>
    </w:p>
    <w:bookmarkEnd w:id="173"/>
    <w:bookmarkStart w:id="175" w:name="ref-Alfonso-Durrruty_Giles_Misarti2015"/>
    <w:p>
      <w:pPr>
        <w:pStyle w:val="Bibliography"/>
      </w:pPr>
      <w:r>
        <w:t xml:space="preserve">[59]</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74">
        <w:r>
          <w:rPr>
            <w:rStyle w:val="Hyperlink"/>
          </w:rPr>
          <w:t xml:space="preserve">https://doi.org/10.1002/ajpa.22832</w:t>
        </w:r>
      </w:hyperlink>
      <w:r>
        <w:t xml:space="preserve">.</w:t>
      </w:r>
    </w:p>
    <w:bookmarkEnd w:id="175"/>
    <w:bookmarkStart w:id="176" w:name="ref-Vanhaeren_2005"/>
    <w:p>
      <w:pPr>
        <w:pStyle w:val="Bibliography"/>
      </w:pPr>
      <w:r>
        <w:t xml:space="preserve">[60]</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6"/>
    <w:bookmarkStart w:id="178" w:name="ref-Conkey_1985"/>
    <w:p>
      <w:pPr>
        <w:pStyle w:val="Bibliography"/>
      </w:pPr>
      <w:r>
        <w:t xml:space="preserve">[61]</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7">
        <w:r>
          <w:rPr>
            <w:rStyle w:val="Hyperlink"/>
          </w:rPr>
          <w:t xml:space="preserve">https://doi.org/10.1016/B978-0-12-564750-2.50016-0</w:t>
        </w:r>
      </w:hyperlink>
      <w:r>
        <w:t xml:space="preserve">.</w:t>
      </w:r>
    </w:p>
    <w:bookmarkEnd w:id="178"/>
    <w:bookmarkStart w:id="179" w:name="ref-Conkey_1978"/>
    <w:p>
      <w:pPr>
        <w:pStyle w:val="Bibliography"/>
      </w:pPr>
      <w:r>
        <w:t xml:space="preserve">[62]</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9"/>
    <w:bookmarkStart w:id="181" w:name="ref-Tilley_1982"/>
    <w:p>
      <w:pPr>
        <w:pStyle w:val="Bibliography"/>
      </w:pPr>
      <w:r>
        <w:t xml:space="preserve">[63]</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80">
        <w:r>
          <w:rPr>
            <w:rStyle w:val="Hyperlink"/>
          </w:rPr>
          <w:t xml:space="preserve">https://doi.org/10.1017/CBO9780511558252.004</w:t>
        </w:r>
      </w:hyperlink>
      <w:r>
        <w:t xml:space="preserve">.</w:t>
      </w:r>
    </w:p>
    <w:bookmarkEnd w:id="181"/>
    <w:bookmarkStart w:id="183" w:name="ref-Hodder1979"/>
    <w:p>
      <w:pPr>
        <w:pStyle w:val="Bibliography"/>
      </w:pPr>
      <w:r>
        <w:t xml:space="preserve">[64]</w:t>
      </w:r>
      <w:r>
        <w:t xml:space="preserve"> </w:t>
      </w:r>
      <w:r>
        <w:t xml:space="preserve">	</w:t>
      </w:r>
      <w:r>
        <w:t xml:space="preserve">Hodder I. Economic and social stress and material culture patterning. American Antiquity 1979;44:446–54.</w:t>
      </w:r>
      <w:r>
        <w:t xml:space="preserve"> </w:t>
      </w:r>
      <w:hyperlink r:id="rId182">
        <w:r>
          <w:rPr>
            <w:rStyle w:val="Hyperlink"/>
          </w:rPr>
          <w:t xml:space="preserve">https://doi.org/10.2307/279544</w:t>
        </w:r>
      </w:hyperlink>
      <w:r>
        <w:t xml:space="preserve">.</w:t>
      </w:r>
    </w:p>
    <w:bookmarkEnd w:id="183"/>
    <w:bookmarkStart w:id="185" w:name="ref-Hodder1977"/>
    <w:p>
      <w:pPr>
        <w:pStyle w:val="Bibliography"/>
      </w:pPr>
      <w:r>
        <w:t xml:space="preserve">[65]</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84">
        <w:r>
          <w:rPr>
            <w:rStyle w:val="Hyperlink"/>
          </w:rPr>
          <w:t xml:space="preserve">https://doi.org/10.2307/2800797</w:t>
        </w:r>
      </w:hyperlink>
      <w:r>
        <w:t xml:space="preserve">.</w:t>
      </w:r>
    </w:p>
    <w:bookmarkEnd w:id="185"/>
    <w:bookmarkStart w:id="187" w:name="ref-Binford_1990"/>
    <w:p>
      <w:pPr>
        <w:pStyle w:val="Bibliography"/>
      </w:pPr>
      <w:r>
        <w:t xml:space="preserve">[66]</w:t>
      </w:r>
      <w:r>
        <w:t xml:space="preserve"> </w:t>
      </w:r>
      <w:r>
        <w:t xml:space="preserve">	</w:t>
      </w:r>
      <w:r>
        <w:t xml:space="preserve">Binford LR. Mobility, housing, and environment: A comparative study. Journal of Anthropological Research 1990;46:119–52.</w:t>
      </w:r>
      <w:r>
        <w:t xml:space="preserve"> </w:t>
      </w:r>
      <w:hyperlink r:id="rId186">
        <w:r>
          <w:rPr>
            <w:rStyle w:val="Hyperlink"/>
          </w:rPr>
          <w:t xml:space="preserve">https://doi.org/10.1086/jar.46.2.3630069</w:t>
        </w:r>
      </w:hyperlink>
      <w:r>
        <w:t xml:space="preserve">.</w:t>
      </w:r>
    </w:p>
    <w:bookmarkEnd w:id="187"/>
    <w:bookmarkStart w:id="189" w:name="ref-Kelly_1983"/>
    <w:p>
      <w:pPr>
        <w:pStyle w:val="Bibliography"/>
      </w:pPr>
      <w:r>
        <w:t xml:space="preserve">[67]</w:t>
      </w:r>
      <w:r>
        <w:t xml:space="preserve"> </w:t>
      </w:r>
      <w:r>
        <w:t xml:space="preserve">	</w:t>
      </w:r>
      <w:r>
        <w:t xml:space="preserve">Kelly RL. Hunter-gatherer mobility strategies. Journal of Anthropological Research 1983;39:277–306.</w:t>
      </w:r>
      <w:r>
        <w:t xml:space="preserve"> </w:t>
      </w:r>
      <w:hyperlink r:id="rId188">
        <w:r>
          <w:rPr>
            <w:rStyle w:val="Hyperlink"/>
          </w:rPr>
          <w:t xml:space="preserve">https://doi.org/10.1086/jar.39.3.3629672</w:t>
        </w:r>
      </w:hyperlink>
      <w:r>
        <w:t xml:space="preserve">.</w:t>
      </w:r>
    </w:p>
    <w:bookmarkEnd w:id="189"/>
    <w:bookmarkStart w:id="191" w:name="ref-Padilla-Iglesias_Bischoff_2024"/>
    <w:p>
      <w:pPr>
        <w:pStyle w:val="Bibliography"/>
      </w:pPr>
      <w:r>
        <w:t xml:space="preserve">[68]</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90">
        <w:r>
          <w:rPr>
            <w:rStyle w:val="Hyperlink"/>
          </w:rPr>
          <w:t xml:space="preserve">https://doi.org/10.1016/j.jasrep.2024.104798</w:t>
        </w:r>
      </w:hyperlink>
      <w:r>
        <w:t xml:space="preserve">.</w:t>
      </w:r>
    </w:p>
    <w:bookmarkEnd w:id="191"/>
    <w:bookmarkStart w:id="193" w:name="ref-Whallon_2006"/>
    <w:p>
      <w:pPr>
        <w:pStyle w:val="Bibliography"/>
      </w:pPr>
      <w:r>
        <w:t xml:space="preserve">[69]</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92">
        <w:r>
          <w:rPr>
            <w:rStyle w:val="Hyperlink"/>
          </w:rPr>
          <w:t xml:space="preserve">https://doi.org/10.1016/j.jaa.2005.11.004</w:t>
        </w:r>
      </w:hyperlink>
      <w:r>
        <w:t xml:space="preserve">.</w:t>
      </w:r>
    </w:p>
    <w:bookmarkEnd w:id="193"/>
    <w:bookmarkStart w:id="194" w:name="ref-Fitzhugh_Phillips_Gjesfeld_2011"/>
    <w:p>
      <w:pPr>
        <w:pStyle w:val="Bibliography"/>
      </w:pPr>
      <w:r>
        <w:t xml:space="preserve">[70]</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p>
    <w:bookmarkEnd w:id="194"/>
    <w:bookmarkStart w:id="196" w:name="ref-Lovis_Donahue_2011"/>
    <w:p>
      <w:pPr>
        <w:pStyle w:val="Bibliography"/>
      </w:pPr>
      <w:r>
        <w:t xml:space="preserve">[71]</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5">
        <w:r>
          <w:rPr>
            <w:rStyle w:val="Hyperlink"/>
          </w:rPr>
          <w:t xml:space="preserve">https://doi.org/10.2307/j.ctvdmwwz4.7</w:t>
        </w:r>
      </w:hyperlink>
      <w:r>
        <w:t xml:space="preserve">.</w:t>
      </w:r>
    </w:p>
    <w:bookmarkEnd w:id="196"/>
    <w:bookmarkStart w:id="198" w:name="ref-Hitchcock_Ebert_2011"/>
    <w:p>
      <w:pPr>
        <w:pStyle w:val="Bibliography"/>
      </w:pPr>
      <w:r>
        <w:t xml:space="preserve">[72]</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7">
        <w:r>
          <w:rPr>
            <w:rStyle w:val="Hyperlink"/>
          </w:rPr>
          <w:t xml:space="preserve">https://doi.org/10.2307/j.ctvdmwwz4.10</w:t>
        </w:r>
      </w:hyperlink>
      <w:r>
        <w:t xml:space="preserve">.</w:t>
      </w:r>
    </w:p>
    <w:bookmarkEnd w:id="198"/>
    <w:bookmarkStart w:id="200" w:name="ref-Romano_Lozano_Fern2022"/>
    <w:p>
      <w:pPr>
        <w:pStyle w:val="Bibliography"/>
      </w:pPr>
      <w:r>
        <w:t xml:space="preserve">[73]</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9">
        <w:r>
          <w:rPr>
            <w:rStyle w:val="Hyperlink"/>
          </w:rPr>
          <w:t xml:space="preserve">https://doi.org/10.1098/rstb.2020.0318</w:t>
        </w:r>
      </w:hyperlink>
      <w:r>
        <w:t xml:space="preserve">.</w:t>
      </w:r>
    </w:p>
    <w:bookmarkEnd w:id="200"/>
    <w:bookmarkStart w:id="202" w:name="ref-Kelly_2024"/>
    <w:p>
      <w:pPr>
        <w:pStyle w:val="Bibliography"/>
      </w:pPr>
      <w:r>
        <w:t xml:space="preserve">[74]</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201">
        <w:r>
          <w:rPr>
            <w:rStyle w:val="Hyperlink"/>
          </w:rPr>
          <w:t xml:space="preserve">https://doi.org/10.1111/tops.12762</w:t>
        </w:r>
      </w:hyperlink>
      <w:r>
        <w:t xml:space="preserve">.</w:t>
      </w:r>
    </w:p>
    <w:bookmarkEnd w:id="202"/>
    <w:bookmarkStart w:id="204" w:name="ref-Kinahan_2013"/>
    <w:p>
      <w:pPr>
        <w:pStyle w:val="Bibliography"/>
      </w:pPr>
      <w:r>
        <w:t xml:space="preserve">[75]</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203">
        <w:r>
          <w:rPr>
            <w:rStyle w:val="Hyperlink"/>
          </w:rPr>
          <w:t xml:space="preserve">https://doi.org/10.3213/2191-5784-10243</w:t>
        </w:r>
      </w:hyperlink>
      <w:r>
        <w:t xml:space="preserve">.</w:t>
      </w:r>
    </w:p>
    <w:bookmarkEnd w:id="204"/>
    <w:bookmarkStart w:id="206" w:name="ref-Newlander_2012"/>
    <w:p>
      <w:pPr>
        <w:pStyle w:val="Bibliography"/>
      </w:pPr>
      <w:r>
        <w:t xml:space="preserve">[76]</w:t>
      </w:r>
      <w:r>
        <w:t xml:space="preserve"> </w:t>
      </w:r>
      <w:r>
        <w:t xml:space="preserve">	</w:t>
      </w:r>
      <w:r>
        <w:t xml:space="preserve">Newlander KS.</w:t>
      </w:r>
      <w:r>
        <w:t xml:space="preserve"> </w:t>
      </w:r>
      <w:hyperlink r:id="rId205">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6"/>
    <w:bookmarkStart w:id="208" w:name="ref-Iizuka_Ferguson_Izuho_2022"/>
    <w:p>
      <w:pPr>
        <w:pStyle w:val="Bibliography"/>
      </w:pPr>
      <w:r>
        <w:t xml:space="preserve">[77]</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7">
        <w:r>
          <w:rPr>
            <w:rStyle w:val="Hyperlink"/>
          </w:rPr>
          <w:t xml:space="preserve">https://doi.org/10.1371/journal.pone.0265329</w:t>
        </w:r>
      </w:hyperlink>
      <w:r>
        <w:t xml:space="preserve">.</w:t>
      </w:r>
    </w:p>
    <w:bookmarkEnd w:id="208"/>
    <w:bookmarkStart w:id="210" w:name="ref-conkey_agg"/>
    <w:p>
      <w:pPr>
        <w:pStyle w:val="Bibliography"/>
      </w:pPr>
      <w:r>
        <w:t xml:space="preserve">[78]</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9">
        <w:r>
          <w:rPr>
            <w:rStyle w:val="Hyperlink"/>
          </w:rPr>
          <w:t xml:space="preserve">https://doi.org/10.1086/202540</w:t>
        </w:r>
      </w:hyperlink>
      <w:r>
        <w:t xml:space="preserve">.</w:t>
      </w:r>
    </w:p>
    <w:bookmarkEnd w:id="210"/>
    <w:bookmarkStart w:id="212" w:name="ref-Maher_Conkey_2019"/>
    <w:p>
      <w:pPr>
        <w:pStyle w:val="Bibliography"/>
      </w:pPr>
      <w:r>
        <w:t xml:space="preserve">[79]</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11">
        <w:r>
          <w:rPr>
            <w:rStyle w:val="Hyperlink"/>
          </w:rPr>
          <w:t xml:space="preserve">https://doi.org/10.1086/701523</w:t>
        </w:r>
      </w:hyperlink>
      <w:r>
        <w:t xml:space="preserve">.</w:t>
      </w:r>
    </w:p>
    <w:bookmarkEnd w:id="212"/>
    <w:bookmarkStart w:id="214" w:name="ref-bahn1982inter"/>
    <w:p>
      <w:pPr>
        <w:pStyle w:val="Bibliography"/>
      </w:pPr>
      <w:r>
        <w:t xml:space="preserve">[80]</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13">
        <w:r>
          <w:rPr>
            <w:rStyle w:val="Hyperlink"/>
          </w:rPr>
          <w:t xml:space="preserve">https://doi.org/10.1111/j.1468-0092.1982.tb00313.x</w:t>
        </w:r>
      </w:hyperlink>
      <w:r>
        <w:t xml:space="preserve">.</w:t>
      </w:r>
    </w:p>
    <w:bookmarkEnd w:id="214"/>
    <w:bookmarkStart w:id="216" w:name="ref-Bourdier_2013"/>
    <w:p>
      <w:pPr>
        <w:pStyle w:val="Bibliography"/>
      </w:pPr>
      <w:r>
        <w:t xml:space="preserve">[81]</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5">
        <w:r>
          <w:rPr>
            <w:rStyle w:val="Hyperlink"/>
          </w:rPr>
          <w:t xml:space="preserve">https://doi.org/10.1016/j.jaa.2013.05.005</w:t>
        </w:r>
      </w:hyperlink>
      <w:r>
        <w:t xml:space="preserve">.</w:t>
      </w:r>
    </w:p>
    <w:bookmarkEnd w:id="216"/>
    <w:bookmarkStart w:id="218" w:name="ref-Svoboda_2013"/>
    <w:p>
      <w:pPr>
        <w:pStyle w:val="Bibliography"/>
      </w:pPr>
      <w:r>
        <w:t xml:space="preserve">[82]</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7">
        <w:r>
          <w:rPr>
            <w:rStyle w:val="Hyperlink"/>
          </w:rPr>
          <w:t xml:space="preserve">https://doi.org/10.4000/palethnologie.4945</w:t>
        </w:r>
      </w:hyperlink>
      <w:r>
        <w:t xml:space="preserve">.</w:t>
      </w:r>
    </w:p>
    <w:bookmarkEnd w:id="218"/>
    <w:bookmarkStart w:id="220" w:name="ref-white1992rethinking"/>
    <w:p>
      <w:pPr>
        <w:pStyle w:val="Bibliography"/>
      </w:pPr>
      <w:r>
        <w:t xml:space="preserve">[83]</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9">
        <w:r>
          <w:rPr>
            <w:rStyle w:val="Hyperlink"/>
          </w:rPr>
          <w:t xml:space="preserve">https://doi.org/10.1086/202802</w:t>
        </w:r>
      </w:hyperlink>
      <w:r>
        <w:t xml:space="preserve">.</w:t>
      </w:r>
    </w:p>
    <w:bookmarkEnd w:id="220"/>
    <w:bookmarkStart w:id="221" w:name="X79d7c52b9cdbe72fc1b94e51c6ee6057d0c4a50"/>
    <w:p>
      <w:pPr>
        <w:pStyle w:val="Bibliography"/>
      </w:pPr>
      <w:r>
        <w:t xml:space="preserve">[84]</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21"/>
    <w:bookmarkStart w:id="223" w:name="ref-montet-white1994"/>
    <w:p>
      <w:pPr>
        <w:pStyle w:val="Bibliography"/>
      </w:pPr>
      <w:r>
        <w:t xml:space="preserve">[85]</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22">
        <w:r>
          <w:rPr>
            <w:rStyle w:val="Hyperlink"/>
          </w:rPr>
          <w:t xml:space="preserve">https://doi.org/10.1146/annurev.an.23.100194.002411</w:t>
        </w:r>
      </w:hyperlink>
      <w:r>
        <w:t xml:space="preserve">.</w:t>
      </w:r>
    </w:p>
    <w:bookmarkEnd w:id="223"/>
    <w:bookmarkStart w:id="225" w:name="ref-Frerebeau_2025"/>
    <w:p>
      <w:pPr>
        <w:pStyle w:val="Bibliography"/>
      </w:pPr>
      <w:r>
        <w:t xml:space="preserve">[86]</w:t>
      </w:r>
      <w:r>
        <w:t xml:space="preserve"> </w:t>
      </w:r>
      <w:r>
        <w:t xml:space="preserve">	</w:t>
      </w:r>
      <w:r>
        <w:t xml:space="preserve">Frerebeau N. Tabula: Analysis and visualization of archaeological count data 2025.</w:t>
      </w:r>
      <w:r>
        <w:t xml:space="preserve"> </w:t>
      </w:r>
      <w:hyperlink r:id="rId224">
        <w:r>
          <w:rPr>
            <w:rStyle w:val="Hyperlink"/>
          </w:rPr>
          <w:t xml:space="preserve">https://doi.org/10.5281/zenodo.15397990</w:t>
        </w:r>
      </w:hyperlink>
      <w:r>
        <w:t xml:space="preserve">.</w:t>
      </w:r>
    </w:p>
    <w:bookmarkEnd w:id="225"/>
    <w:bookmarkStart w:id="227" w:name="ref-Kintigh_1984"/>
    <w:p>
      <w:pPr>
        <w:pStyle w:val="Bibliography"/>
      </w:pPr>
      <w:r>
        <w:t xml:space="preserve">[87]</w:t>
      </w:r>
      <w:r>
        <w:t xml:space="preserve"> </w:t>
      </w:r>
      <w:r>
        <w:t xml:space="preserve">	</w:t>
      </w:r>
      <w:r>
        <w:t xml:space="preserve">Kintigh KW. Measuring archaeological diversity by comparison with simulated assemblages. American Antiquity 1984;49:44–54.</w:t>
      </w:r>
      <w:r>
        <w:t xml:space="preserve"> </w:t>
      </w:r>
      <w:hyperlink r:id="rId226">
        <w:r>
          <w:rPr>
            <w:rStyle w:val="Hyperlink"/>
          </w:rPr>
          <w:t xml:space="preserve">https://doi.org/10.2307/280511</w:t>
        </w:r>
      </w:hyperlink>
      <w:r>
        <w:t xml:space="preserve">.</w:t>
      </w:r>
    </w:p>
    <w:bookmarkEnd w:id="227"/>
    <w:bookmarkStart w:id="229" w:name="X8c17deb08b87fbfa26556dda630532ff62c8bd1"/>
    <w:p>
      <w:pPr>
        <w:pStyle w:val="Bibliography"/>
      </w:pPr>
      <w:r>
        <w:t xml:space="preserve">[88]</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8">
        <w:r>
          <w:rPr>
            <w:rStyle w:val="Hyperlink"/>
          </w:rPr>
          <w:t xml:space="preserve">https://doi.org/10.1038/s41467-024-51349-y</w:t>
        </w:r>
      </w:hyperlink>
      <w:r>
        <w:t xml:space="preserve">.</w:t>
      </w:r>
    </w:p>
    <w:bookmarkEnd w:id="229"/>
    <w:bookmarkStart w:id="231" w:name="ref-smith1992Design"/>
    <w:p>
      <w:pPr>
        <w:pStyle w:val="Bibliography"/>
      </w:pPr>
      <w:r>
        <w:t xml:space="preserve">[89]</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1992:51.</w:t>
      </w:r>
      <w:r>
        <w:t xml:space="preserve"> </w:t>
      </w:r>
      <w:hyperlink r:id="rId230">
        <w:r>
          <w:rPr>
            <w:rStyle w:val="Hyperlink"/>
          </w:rPr>
          <w:t xml:space="preserve">https://doi.org/10.1080/03122417.1992.11681454</w:t>
        </w:r>
      </w:hyperlink>
      <w:r>
        <w:t xml:space="preserve">.</w:t>
      </w:r>
    </w:p>
    <w:bookmarkEnd w:id="231"/>
    <w:bookmarkStart w:id="232" w:name="ref-hays1993symbol"/>
    <w:p>
      <w:pPr>
        <w:pStyle w:val="Bibliography"/>
      </w:pPr>
      <w:r>
        <w:t xml:space="preserve">[90]</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p>
    <w:bookmarkEnd w:id="232"/>
    <w:bookmarkStart w:id="234" w:name="ref-McDonald_Veth_Lilley_2006"/>
    <w:p>
      <w:pPr>
        <w:pStyle w:val="Bibliography"/>
      </w:pPr>
      <w:r>
        <w:t xml:space="preserve">[91]</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33">
        <w:r>
          <w:rPr>
            <w:rStyle w:val="Hyperlink"/>
          </w:rPr>
          <w:t xml:space="preserve">https://doi.org/10.1002/9780470773475.ch5</w:t>
        </w:r>
      </w:hyperlink>
      <w:r>
        <w:t xml:space="preserve">.</w:t>
      </w:r>
    </w:p>
    <w:bookmarkEnd w:id="234"/>
    <w:bookmarkStart w:id="236" w:name="ref-Lourandos_1985"/>
    <w:p>
      <w:pPr>
        <w:pStyle w:val="Bibliography"/>
      </w:pPr>
      <w:r>
        <w:t xml:space="preserve">[92]</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5">
        <w:r>
          <w:rPr>
            <w:rStyle w:val="Hyperlink"/>
          </w:rPr>
          <w:t xml:space="preserve">https://doi.org/10.1016/B978-0-12-564750-2.50020-2</w:t>
        </w:r>
      </w:hyperlink>
      <w:r>
        <w:t xml:space="preserve">.</w:t>
      </w:r>
    </w:p>
    <w:bookmarkEnd w:id="236"/>
    <w:bookmarkStart w:id="238" w:name="ref-barton_clark_cohen1994"/>
    <w:p>
      <w:pPr>
        <w:pStyle w:val="Bibliography"/>
      </w:pPr>
      <w:r>
        <w:t xml:space="preserve">[93]</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7">
        <w:r>
          <w:rPr>
            <w:rStyle w:val="Hyperlink"/>
          </w:rPr>
          <w:t xml:space="preserve">https://doi.org/10.1080/00438243.1994.9980272</w:t>
        </w:r>
      </w:hyperlink>
      <w:r>
        <w:t xml:space="preserve">.</w:t>
      </w:r>
    </w:p>
    <w:bookmarkEnd w:id="238"/>
    <w:bookmarkStart w:id="240" w:name="ref-mcdonald2012social"/>
    <w:p>
      <w:pPr>
        <w:pStyle w:val="Bibliography"/>
      </w:pPr>
      <w:r>
        <w:t xml:space="preserve">[94]</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9">
        <w:r>
          <w:rPr>
            <w:rStyle w:val="Hyperlink"/>
          </w:rPr>
          <w:t xml:space="preserve">https://doi.org/10.1002/9781118253892.ch6</w:t>
        </w:r>
      </w:hyperlink>
      <w:r>
        <w:t xml:space="preserve">.</w:t>
      </w:r>
    </w:p>
    <w:bookmarkEnd w:id="240"/>
    <w:bookmarkStart w:id="242" w:name="ref-bernardini2005reconsidering"/>
    <w:p>
      <w:pPr>
        <w:pStyle w:val="Bibliography"/>
      </w:pPr>
      <w:r>
        <w:t xml:space="preserve">[95]</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41">
        <w:r>
          <w:rPr>
            <w:rStyle w:val="Hyperlink"/>
          </w:rPr>
          <w:t xml:space="preserve">https://doi.org/10.2307/40035267</w:t>
        </w:r>
      </w:hyperlink>
      <w:r>
        <w:t xml:space="preserve">.</w:t>
      </w:r>
    </w:p>
    <w:bookmarkEnd w:id="242"/>
    <w:bookmarkStart w:id="244" w:name="ref-wiessner1984reconsidering"/>
    <w:p>
      <w:pPr>
        <w:pStyle w:val="Bibliography"/>
      </w:pPr>
      <w:r>
        <w:t xml:space="preserve">[96]</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43">
        <w:r>
          <w:rPr>
            <w:rStyle w:val="Hyperlink"/>
          </w:rPr>
          <w:t xml:space="preserve">https://doi.org/10.1016/0278-4165(84)90002-3</w:t>
        </w:r>
      </w:hyperlink>
      <w:r>
        <w:t xml:space="preserve">.</w:t>
      </w:r>
    </w:p>
    <w:bookmarkEnd w:id="244"/>
    <w:bookmarkStart w:id="246" w:name="ref-smith1992"/>
    <w:p>
      <w:pPr>
        <w:pStyle w:val="Bibliography"/>
      </w:pPr>
      <w:r>
        <w:t xml:space="preserve">[97]</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5">
        <w:r>
          <w:rPr>
            <w:rStyle w:val="Hyperlink"/>
          </w:rPr>
          <w:t xml:space="preserve">https://doi.org/10.1080/03122417.1992.11681450</w:t>
        </w:r>
      </w:hyperlink>
      <w:r>
        <w:t xml:space="preserve">.</w:t>
      </w:r>
    </w:p>
    <w:bookmarkEnd w:id="246"/>
    <w:bookmarkStart w:id="248" w:name="X4fed35d53d406ce17aea32f9d6f163fcb563519"/>
    <w:p>
      <w:pPr>
        <w:pStyle w:val="Bibliography"/>
      </w:pPr>
      <w:r>
        <w:t xml:space="preserve">[98]</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7">
        <w:r>
          <w:rPr>
            <w:rStyle w:val="Hyperlink"/>
          </w:rPr>
          <w:t xml:space="preserve">https://doi.org/10.1007/978-4-431-55363-2_8</w:t>
        </w:r>
      </w:hyperlink>
      <w:r>
        <w:t xml:space="preserve">.</w:t>
      </w:r>
    </w:p>
    <w:bookmarkEnd w:id="248"/>
    <w:bookmarkStart w:id="249" w:name="ref-Cavalli_Sforza_Feldman_1981"/>
    <w:p>
      <w:pPr>
        <w:pStyle w:val="Bibliography"/>
      </w:pPr>
      <w:r>
        <w:t xml:space="preserve">[99]</w:t>
      </w:r>
      <w:r>
        <w:t xml:space="preserve"> </w:t>
      </w:r>
      <w:r>
        <w:t xml:space="preserve">	</w:t>
      </w:r>
      <w:r>
        <w:t xml:space="preserve">Cavalli-Sforza L, Feldman MW. Cultural transmission and evolution: A quantitative approach. Princeton University Press; 1981.</w:t>
      </w:r>
    </w:p>
    <w:bookmarkEnd w:id="249"/>
    <w:bookmarkStart w:id="250" w:name="ref-Boyd_Richerson_1985"/>
    <w:p>
      <w:pPr>
        <w:pStyle w:val="Bibliography"/>
      </w:pPr>
      <w:r>
        <w:t xml:space="preserve">[100]</w:t>
      </w:r>
      <w:r>
        <w:t xml:space="preserve"> </w:t>
      </w:r>
      <w:r>
        <w:t xml:space="preserve">	</w:t>
      </w:r>
      <w:r>
        <w:t xml:space="preserve">Boyd R, Richerson PJ. Culture and the evolutionary process. University of Chicago Press; 1985.</w:t>
      </w:r>
    </w:p>
    <w:bookmarkEnd w:id="250"/>
    <w:bookmarkStart w:id="251" w:name="ref-Richerson_Boyd_2005"/>
    <w:p>
      <w:pPr>
        <w:pStyle w:val="Bibliography"/>
      </w:pPr>
      <w:r>
        <w:t xml:space="preserve">[101]</w:t>
      </w:r>
      <w:r>
        <w:t xml:space="preserve"> </w:t>
      </w:r>
      <w:r>
        <w:t xml:space="preserve">	</w:t>
      </w:r>
      <w:r>
        <w:t xml:space="preserve">Richerson PJ, Boyd R. Not by genes alone: How culture transformed human evolution. University of Chicago Press; 2005.</w:t>
      </w:r>
    </w:p>
    <w:bookmarkEnd w:id="251"/>
    <w:bookmarkStart w:id="253" w:name="ref-Henrich_2004"/>
    <w:p>
      <w:pPr>
        <w:pStyle w:val="Bibliography"/>
      </w:pPr>
      <w:r>
        <w:t xml:space="preserve">[102]</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52">
        <w:r>
          <w:rPr>
            <w:rStyle w:val="Hyperlink"/>
          </w:rPr>
          <w:t xml:space="preserve">https://doi.org/10.2307/4128416</w:t>
        </w:r>
      </w:hyperlink>
      <w:r>
        <w:t xml:space="preserve">.</w:t>
      </w:r>
    </w:p>
    <w:bookmarkEnd w:id="253"/>
    <w:bookmarkStart w:id="255" w:name="ref-Migliano_2020"/>
    <w:p>
      <w:pPr>
        <w:pStyle w:val="Bibliography"/>
      </w:pPr>
      <w:r>
        <w:t xml:space="preserve">[103]</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4">
        <w:r>
          <w:rPr>
            <w:rStyle w:val="Hyperlink"/>
          </w:rPr>
          <w:t xml:space="preserve">https://doi.org/10.1126/sciadv.aax5913</w:t>
        </w:r>
      </w:hyperlink>
      <w:r>
        <w:t xml:space="preserve">.</w:t>
      </w:r>
    </w:p>
    <w:bookmarkEnd w:id="255"/>
    <w:bookmarkStart w:id="257" w:name="ref-Romano_Lozano_2020"/>
    <w:p>
      <w:pPr>
        <w:pStyle w:val="Bibliography"/>
      </w:pPr>
      <w:r>
        <w:t xml:space="preserve">[104]</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6">
        <w:r>
          <w:rPr>
            <w:rStyle w:val="Hyperlink"/>
          </w:rPr>
          <w:t xml:space="preserve">https://doi.org/10.1111/brv.12599</w:t>
        </w:r>
      </w:hyperlink>
      <w:r>
        <w:t xml:space="preserve">.</w:t>
      </w:r>
    </w:p>
    <w:bookmarkEnd w:id="257"/>
    <w:bookmarkStart w:id="259" w:name="ref-Buchanan_Hamilton_2023"/>
    <w:p>
      <w:pPr>
        <w:pStyle w:val="Bibliography"/>
      </w:pPr>
      <w:r>
        <w:t xml:space="preserve">[105]</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8">
        <w:r>
          <w:rPr>
            <w:rStyle w:val="Hyperlink"/>
          </w:rPr>
          <w:t xml:space="preserve">https://doi.org/10.1093/oxfordhb/9780198854265.013.34</w:t>
        </w:r>
      </w:hyperlink>
      <w:r>
        <w:t xml:space="preserve">.</w:t>
      </w:r>
    </w:p>
    <w:bookmarkEnd w:id="259"/>
    <w:bookmarkStart w:id="261" w:name="ref-Eerkens_Lipo_2005"/>
    <w:p>
      <w:pPr>
        <w:pStyle w:val="Bibliography"/>
      </w:pPr>
      <w:r>
        <w:t xml:space="preserve">[106]</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60">
        <w:r>
          <w:rPr>
            <w:rStyle w:val="Hyperlink"/>
          </w:rPr>
          <w:t xml:space="preserve">https://doi.org/10.1016/j.jaa.2005.08.001</w:t>
        </w:r>
      </w:hyperlink>
      <w:r>
        <w:t xml:space="preserve">.</w:t>
      </w:r>
    </w:p>
    <w:bookmarkEnd w:id="261"/>
    <w:bookmarkStart w:id="263" w:name="ref-Intxaurbe_2026"/>
    <w:p>
      <w:pPr>
        <w:pStyle w:val="Bibliography"/>
      </w:pPr>
      <w:r>
        <w:t xml:space="preserve">[107]</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2">
        <w:r>
          <w:rPr>
            <w:rStyle w:val="Hyperlink"/>
          </w:rPr>
          <w:t xml:space="preserve">https://doi.org/10.1007/s10816-026-09796-y</w:t>
        </w:r>
      </w:hyperlink>
      <w:r>
        <w:t xml:space="preserve">.</w:t>
      </w:r>
    </w:p>
    <w:bookmarkEnd w:id="263"/>
    <w:bookmarkStart w:id="265" w:name="ref-Bentz_Dutkiewicz_2026"/>
    <w:p>
      <w:pPr>
        <w:pStyle w:val="Bibliography"/>
      </w:pPr>
      <w:r>
        <w:t xml:space="preserve">[108]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4">
        <w:r>
          <w:rPr>
            <w:rStyle w:val="Hyperlink"/>
          </w:rPr>
          <w:t xml:space="preserve">https://doi.org/10.1073/pnas.2520385123</w:t>
        </w:r>
      </w:hyperlink>
      <w:r>
        <w:t xml:space="preserve">.</w:t>
      </w:r>
    </w:p>
    <w:bookmarkEnd w:id="265"/>
    <w:bookmarkStart w:id="267" w:name="ref-Bacon_2023"/>
    <w:p>
      <w:pPr>
        <w:pStyle w:val="Bibliography"/>
      </w:pPr>
      <w:r>
        <w:t xml:space="preserve">[109]</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6">
        <w:r>
          <w:rPr>
            <w:rStyle w:val="Hyperlink"/>
          </w:rPr>
          <w:t xml:space="preserve">https://doi.org/10.1017/S0959774322000415</w:t>
        </w:r>
      </w:hyperlink>
      <w:r>
        <w:t xml:space="preserve">.</w:t>
      </w:r>
    </w:p>
    <w:bookmarkEnd w:id="267"/>
    <w:bookmarkStart w:id="269" w:name="Xa4990169aeb885a690070ab4fd90972c31994f8"/>
    <w:p>
      <w:pPr>
        <w:pStyle w:val="Bibliography"/>
      </w:pPr>
      <w:r>
        <w:t xml:space="preserve">[110]</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8">
        <w:r>
          <w:rPr>
            <w:rStyle w:val="Hyperlink"/>
          </w:rPr>
          <w:t xml:space="preserve">https://doi.org/10.2139/ssrn.7053279</w:t>
        </w:r>
      </w:hyperlink>
      <w:r>
        <w:t xml:space="preserve">.</w:t>
      </w:r>
    </w:p>
    <w:bookmarkEnd w:id="269"/>
    <w:bookmarkStart w:id="271" w:name="X8ea620419c64d551554c48b7075c9934881930b"/>
    <w:p>
      <w:pPr>
        <w:pStyle w:val="Bibliography"/>
      </w:pPr>
      <w:r>
        <w:t xml:space="preserve">[111]</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70">
        <w:r>
          <w:rPr>
            <w:rStyle w:val="Hyperlink"/>
          </w:rPr>
          <w:t xml:space="preserve">https://doi.org/10.1007/s41982-023-00158-8</w:t>
        </w:r>
      </w:hyperlink>
      <w:r>
        <w:t xml:space="preserve">.</w:t>
      </w:r>
    </w:p>
    <w:bookmarkEnd w:id="271"/>
    <w:bookmarkStart w:id="273" w:name="ref-Magli_2024"/>
    <w:p>
      <w:pPr>
        <w:pStyle w:val="Bibliography"/>
      </w:pPr>
      <w:r>
        <w:t xml:space="preserve">[112]</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2">
        <w:r>
          <w:rPr>
            <w:rStyle w:val="Hyperlink"/>
          </w:rPr>
          <w:t xml:space="preserve">https://doi.org/10.1080/1751696X.2024.2441115</w:t>
        </w:r>
      </w:hyperlink>
      <w:r>
        <w:t xml:space="preserve">.</w:t>
      </w:r>
    </w:p>
    <w:bookmarkEnd w:id="273"/>
    <w:bookmarkStart w:id="275" w:name="ref-Nowell_2024_evidence"/>
    <w:p>
      <w:pPr>
        <w:pStyle w:val="Bibliography"/>
      </w:pPr>
      <w:r>
        <w:t xml:space="preserve">[113]</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4">
        <w:r>
          <w:rPr>
            <w:rStyle w:val="Hyperlink"/>
          </w:rPr>
          <w:t xml:space="preserve">https://doi.org/10.1017/S0959774324000155</w:t>
        </w:r>
      </w:hyperlink>
      <w:r>
        <w:t xml:space="preserve">.</w:t>
      </w:r>
    </w:p>
    <w:bookmarkEnd w:id="275"/>
    <w:bookmarkStart w:id="277" w:name="ref-Horiuchi_Takakura_2019"/>
    <w:p>
      <w:pPr>
        <w:pStyle w:val="Bibliography"/>
      </w:pPr>
      <w:r>
        <w:t xml:space="preserve">[114]</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6">
        <w:r>
          <w:rPr>
            <w:rStyle w:val="Hyperlink"/>
          </w:rPr>
          <w:t xml:space="preserve">https://doi.org/10.1007/978-981-13-8980-1_12</w:t>
        </w:r>
      </w:hyperlink>
      <w:r>
        <w:t xml:space="preserve">.</w:t>
      </w:r>
    </w:p>
    <w:bookmarkEnd w:id="277"/>
    <w:bookmarkStart w:id="278" w:name="ref-Rogers_2018"/>
    <w:p>
      <w:pPr>
        <w:pStyle w:val="Bibliography"/>
      </w:pPr>
      <w:r>
        <w:t xml:space="preserve">[115]</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8"/>
    <w:bookmarkStart w:id="280" w:name="X94f875be1b7e5d23641daff5d53857bec24e739"/>
    <w:p>
      <w:pPr>
        <w:pStyle w:val="Bibliography"/>
      </w:pPr>
      <w:r>
        <w:t xml:space="preserve">[116]</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9">
        <w:r>
          <w:rPr>
            <w:rStyle w:val="Hyperlink"/>
          </w:rPr>
          <w:t xml:space="preserve">https://doi.org/10.1016/j.jasrep.2021.103118</w:t>
        </w:r>
      </w:hyperlink>
      <w:r>
        <w:t xml:space="preserve">.</w:t>
      </w:r>
    </w:p>
    <w:bookmarkEnd w:id="280"/>
    <w:bookmarkStart w:id="282" w:name="ref-Gamble_1982"/>
    <w:p>
      <w:pPr>
        <w:pStyle w:val="Bibliography"/>
      </w:pPr>
      <w:r>
        <w:t xml:space="preserve">[117]</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81">
        <w:r>
          <w:rPr>
            <w:rStyle w:val="Hyperlink"/>
          </w:rPr>
          <w:t xml:space="preserve">https://doi.org/10.2307/2802103</w:t>
        </w:r>
      </w:hyperlink>
      <w:r>
        <w:t xml:space="preserve">.</w:t>
      </w:r>
    </w:p>
    <w:bookmarkEnd w:id="282"/>
    <w:bookmarkStart w:id="284" w:name="Xba346573845225b1b1d5ef358e2fea0d893a789"/>
    <w:p>
      <w:pPr>
        <w:pStyle w:val="Bibliography"/>
      </w:pPr>
      <w:r>
        <w:t xml:space="preserve">[118]</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3">
        <w:r>
          <w:rPr>
            <w:rStyle w:val="Hyperlink"/>
          </w:rPr>
          <w:t xml:space="preserve">https://doi.org/10.1016/j.quascirev.2018.12.011</w:t>
        </w:r>
      </w:hyperlink>
      <w:r>
        <w:t xml:space="preserve">.</w:t>
      </w:r>
    </w:p>
    <w:bookmarkEnd w:id="284"/>
    <w:bookmarkStart w:id="286" w:name="ref-Creanza_Kolodny_Feldman_2017"/>
    <w:p>
      <w:pPr>
        <w:pStyle w:val="Bibliography"/>
      </w:pPr>
      <w:r>
        <w:t xml:space="preserve">[119]</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5">
        <w:r>
          <w:rPr>
            <w:rStyle w:val="Hyperlink"/>
          </w:rPr>
          <w:t xml:space="preserve">https://doi.org/10.1098/rsif.2017.0171</w:t>
        </w:r>
      </w:hyperlink>
      <w:r>
        <w:t xml:space="preserve">.</w:t>
      </w:r>
    </w:p>
    <w:bookmarkEnd w:id="286"/>
    <w:bookmarkStart w:id="288" w:name="ref-Cullen_1996"/>
    <w:p>
      <w:pPr>
        <w:pStyle w:val="Bibliography"/>
      </w:pPr>
      <w:r>
        <w:t xml:space="preserve">[120]</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7">
        <w:r>
          <w:rPr>
            <w:rStyle w:val="Hyperlink"/>
          </w:rPr>
          <w:t xml:space="preserve">https://doi.org/10.1007/978-1-4757-9945-3_4</w:t>
        </w:r>
      </w:hyperlink>
      <w:r>
        <w:t xml:space="preserve">.</w:t>
      </w:r>
    </w:p>
    <w:bookmarkEnd w:id="288"/>
    <w:bookmarkStart w:id="290" w:name="ref-Hill_Wood_Baggio_Hurtado_Boyd_2014"/>
    <w:p>
      <w:pPr>
        <w:pStyle w:val="Bibliography"/>
      </w:pPr>
      <w:r>
        <w:t xml:space="preserve">[121]</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9">
        <w:r>
          <w:rPr>
            <w:rStyle w:val="Hyperlink"/>
          </w:rPr>
          <w:t xml:space="preserve">https://doi.org/10.1371/journal.pone.0102806</w:t>
        </w:r>
      </w:hyperlink>
      <w:r>
        <w:t xml:space="preserve">.</w:t>
      </w:r>
    </w:p>
    <w:bookmarkEnd w:id="290"/>
    <w:bookmarkStart w:id="292" w:name="ref-Derex_Boyd_2016"/>
    <w:p>
      <w:pPr>
        <w:pStyle w:val="Bibliography"/>
      </w:pPr>
      <w:r>
        <w:t xml:space="preserve">[122]</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91">
        <w:r>
          <w:rPr>
            <w:rStyle w:val="Hyperlink"/>
          </w:rPr>
          <w:t xml:space="preserve">https://doi.org/10.1073/pnas.1518798113</w:t>
        </w:r>
      </w:hyperlink>
      <w:r>
        <w:t xml:space="preserve">.</w:t>
      </w:r>
    </w:p>
    <w:bookmarkEnd w:id="292"/>
    <w:bookmarkStart w:id="293" w:name="ref-Von_Petzinger_2009"/>
    <w:p>
      <w:pPr>
        <w:pStyle w:val="Bibliography"/>
      </w:pPr>
      <w:r>
        <w:t xml:space="preserve">[123]</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3"/>
    <w:bookmarkStart w:id="295" w:name="ref-Herskind2023"/>
    <w:p>
      <w:pPr>
        <w:pStyle w:val="Bibliography"/>
      </w:pPr>
      <w:r>
        <w:t xml:space="preserve">[124]</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4">
        <w:r>
          <w:rPr>
            <w:rStyle w:val="Hyperlink"/>
          </w:rPr>
          <w:t xml:space="preserve">https://doi.org/10.3828/hgr.2023.12</w:t>
        </w:r>
      </w:hyperlink>
      <w:r>
        <w:t xml:space="preserve">.</w:t>
      </w:r>
    </w:p>
    <w:bookmarkEnd w:id="295"/>
    <w:bookmarkStart w:id="297" w:name="ref-Gravel-Miguel_Coward_2023"/>
    <w:p>
      <w:pPr>
        <w:pStyle w:val="Bibliography"/>
      </w:pPr>
      <w:r>
        <w:t xml:space="preserve">[125]</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6">
        <w:r>
          <w:rPr>
            <w:rStyle w:val="Hyperlink"/>
          </w:rPr>
          <w:t xml:space="preserve">https://doi.org/10.1093/oxfordhb/9780198854265.013.31</w:t>
        </w:r>
      </w:hyperlink>
      <w:r>
        <w:t xml:space="preserve">.</w:t>
      </w:r>
    </w:p>
    <w:bookmarkEnd w:id="297"/>
    <w:bookmarkStart w:id="299" w:name="X42e36537dda68556aeacf852410efd6ac3bb1ca"/>
    <w:p>
      <w:pPr>
        <w:pStyle w:val="Bibliography"/>
      </w:pPr>
      <w:r>
        <w:t xml:space="preserve">[126]</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8">
        <w:r>
          <w:rPr>
            <w:rStyle w:val="Hyperlink"/>
          </w:rPr>
          <w:t xml:space="preserve">https://doi.org/10.1007/s10816-023-09608-7</w:t>
        </w:r>
      </w:hyperlink>
      <w:r>
        <w:t xml:space="preserve">.</w:t>
      </w:r>
    </w:p>
    <w:bookmarkEnd w:id="299"/>
    <w:bookmarkStart w:id="301" w:name="ref-Chiotti_2005"/>
    <w:p>
      <w:pPr>
        <w:pStyle w:val="Bibliography"/>
      </w:pPr>
      <w:r>
        <w:t xml:space="preserve">[127]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00">
        <w:r>
          <w:rPr>
            <w:rStyle w:val="Hyperlink"/>
          </w:rPr>
          <w:t xml:space="preserve">https://doi.org/10.30861/9781841718309</w:t>
        </w:r>
      </w:hyperlink>
      <w:r>
        <w:t xml:space="preserve">.</w:t>
      </w:r>
    </w:p>
    <w:bookmarkEnd w:id="301"/>
    <w:bookmarkStart w:id="303" w:name="ref-Higham_Abri_Pataud_2011"/>
    <w:p>
      <w:pPr>
        <w:pStyle w:val="Bibliography"/>
      </w:pPr>
      <w:r>
        <w:t xml:space="preserve">[128]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2">
        <w:r>
          <w:rPr>
            <w:rStyle w:val="Hyperlink"/>
          </w:rPr>
          <w:t xml:space="preserve">https://doi.org/10.1016/j.jhevol.2011.06.005</w:t>
        </w:r>
      </w:hyperlink>
      <w:r>
        <w:t xml:space="preserve">.</w:t>
      </w:r>
    </w:p>
    <w:bookmarkEnd w:id="303"/>
    <w:bookmarkStart w:id="305" w:name="ref-Talamo_La_Ferrassie_2020"/>
    <w:p>
      <w:pPr>
        <w:pStyle w:val="Bibliography"/>
      </w:pPr>
      <w:r>
        <w:t xml:space="preserve">[129]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4">
        <w:r>
          <w:rPr>
            <w:rStyle w:val="Hyperlink"/>
          </w:rPr>
          <w:t xml:space="preserve">https://doi.org/10.1002/jqs.3236</w:t>
        </w:r>
      </w:hyperlink>
      <w:r>
        <w:t xml:space="preserve">.</w:t>
      </w:r>
    </w:p>
    <w:bookmarkEnd w:id="305"/>
    <w:bookmarkStart w:id="307" w:name="ref-Wild_et_al_2005"/>
    <w:p>
      <w:pPr>
        <w:pStyle w:val="Bibliography"/>
      </w:pPr>
      <w:r>
        <w:t xml:space="preserve">[130]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6">
        <w:r>
          <w:rPr>
            <w:rStyle w:val="Hyperlink"/>
          </w:rPr>
          <w:t xml:space="preserve">https://doi.org/10.1038/nature03585</w:t>
        </w:r>
      </w:hyperlink>
      <w:r>
        <w:t xml:space="preserve">.</w:t>
      </w:r>
    </w:p>
    <w:bookmarkEnd w:id="307"/>
    <w:bookmarkStart w:id="309" w:name="ref-Schurch_Conard_2026_reassess"/>
    <w:p>
      <w:pPr>
        <w:pStyle w:val="Bibliography"/>
      </w:pPr>
      <w:r>
        <w:t xml:space="preserve">[131]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8">
        <w:r>
          <w:rPr>
            <w:rStyle w:val="Hyperlink"/>
          </w:rPr>
          <w:t xml:space="preserve">https://doi.org/10.1007/s41982-025-00246-x</w:t>
        </w:r>
      </w:hyperlink>
      <w:r>
        <w:t xml:space="preserve">.</w:t>
      </w:r>
    </w:p>
    <w:bookmarkEnd w:id="309"/>
    <w:bookmarkEnd w:id="310"/>
    <w:bookmarkEnd w:id="31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8" Target="http://www.jstor.org.offcampus.lib.washington.edu/stable/j.ctt1pk86rr.16" TargetMode="External" /><Relationship Type="http://schemas.openxmlformats.org/officeDocument/2006/relationships/hyperlink" Id="rId152"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33" Target="https://doi.org/10.1002/9780470773475.ch5" TargetMode="External" /><Relationship Type="http://schemas.openxmlformats.org/officeDocument/2006/relationships/hyperlink" Id="rId239"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74" Target="https://doi.org/10.1002/ajpa.22832" TargetMode="External" /><Relationship Type="http://schemas.openxmlformats.org/officeDocument/2006/relationships/hyperlink" Id="rId304"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87"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6" Target="https://doi.org/10.1007/978-981-13-8980-1_12" TargetMode="External" /><Relationship Type="http://schemas.openxmlformats.org/officeDocument/2006/relationships/hyperlink" Id="rId161"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8" Target="https://doi.org/10.1007/s10816-023-09608-7" TargetMode="External" /><Relationship Type="http://schemas.openxmlformats.org/officeDocument/2006/relationships/hyperlink" Id="rId262"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70" Target="https://doi.org/10.1007/s41982-023-00158-8" TargetMode="External" /><Relationship Type="http://schemas.openxmlformats.org/officeDocument/2006/relationships/hyperlink" Id="rId308" Target="https://doi.org/10.1007/s41982-025-00246-x" TargetMode="External" /><Relationship Type="http://schemas.openxmlformats.org/officeDocument/2006/relationships/hyperlink" Id="rId243" Target="https://doi.org/10.1016/0278-4165(84)90002-3" TargetMode="External" /><Relationship Type="http://schemas.openxmlformats.org/officeDocument/2006/relationships/hyperlink" Id="rId156" Target="https://doi.org/10.1016/B978-0-12-564750-2.50006-8" TargetMode="External" /><Relationship Type="http://schemas.openxmlformats.org/officeDocument/2006/relationships/hyperlink" Id="rId177" Target="https://doi.org/10.1016/B978-0-12-564750-2.50016-0" TargetMode="External" /><Relationship Type="http://schemas.openxmlformats.org/officeDocument/2006/relationships/hyperlink" Id="rId235"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63"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2" Target="https://doi.org/10.1016/j.jaa.2005.11.004" TargetMode="External" /><Relationship Type="http://schemas.openxmlformats.org/officeDocument/2006/relationships/hyperlink" Id="rId215"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9" Target="https://doi.org/10.1016/j.jasrep.2021.103118" TargetMode="External" /><Relationship Type="http://schemas.openxmlformats.org/officeDocument/2006/relationships/hyperlink" Id="rId190" Target="https://doi.org/10.1016/j.jasrep.2024.104798" TargetMode="External" /><Relationship Type="http://schemas.openxmlformats.org/officeDocument/2006/relationships/hyperlink" Id="rId302"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65"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3"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0"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7" Target="https://doi.org/10.1017/S0079497X00006265" TargetMode="External" /><Relationship Type="http://schemas.openxmlformats.org/officeDocument/2006/relationships/hyperlink" Id="rId266" Target="https://doi.org/10.1017/S0959774322000415" TargetMode="External" /><Relationship Type="http://schemas.openxmlformats.org/officeDocument/2006/relationships/hyperlink" Id="rId274"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6" Target="https://doi.org/10.1038/nature03585" TargetMode="External" /><Relationship Type="http://schemas.openxmlformats.org/officeDocument/2006/relationships/hyperlink" Id="rId228"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1" Target="https://doi.org/10.1073/pnas.1518798113" TargetMode="External" /><Relationship Type="http://schemas.openxmlformats.org/officeDocument/2006/relationships/hyperlink" Id="rId264" Target="https://doi.org/10.1073/pnas.2520385123" TargetMode="External" /><Relationship Type="http://schemas.openxmlformats.org/officeDocument/2006/relationships/hyperlink" Id="rId237" Target="https://doi.org/10.1080/00438243.1994.9980272" TargetMode="External" /><Relationship Type="http://schemas.openxmlformats.org/officeDocument/2006/relationships/hyperlink" Id="rId144" Target="https://doi.org/10.1080/01621459.2022.2116331" TargetMode="External" /><Relationship Type="http://schemas.openxmlformats.org/officeDocument/2006/relationships/hyperlink" Id="rId245" Target="https://doi.org/10.1080/03122417.1992.11681450" TargetMode="External" /><Relationship Type="http://schemas.openxmlformats.org/officeDocument/2006/relationships/hyperlink" Id="rId230" Target="https://doi.org/10.1080/03122417.1992.11681454" TargetMode="External" /><Relationship Type="http://schemas.openxmlformats.org/officeDocument/2006/relationships/hyperlink" Id="rId272" Target="https://doi.org/10.1080/1751696X.2024.2441115" TargetMode="External" /><Relationship Type="http://schemas.openxmlformats.org/officeDocument/2006/relationships/hyperlink" Id="rId209" Target="https://doi.org/10.1086/202540" TargetMode="External" /><Relationship Type="http://schemas.openxmlformats.org/officeDocument/2006/relationships/hyperlink" Id="rId219" Target="https://doi.org/10.1086/202802" TargetMode="External" /><Relationship Type="http://schemas.openxmlformats.org/officeDocument/2006/relationships/hyperlink" Id="rId211" Target="https://doi.org/10.1086/701523" TargetMode="External" /><Relationship Type="http://schemas.openxmlformats.org/officeDocument/2006/relationships/hyperlink" Id="rId188" Target="https://doi.org/10.1086/jar.39.3.3629672" TargetMode="External" /><Relationship Type="http://schemas.openxmlformats.org/officeDocument/2006/relationships/hyperlink" Id="rId186" Target="https://doi.org/10.1086/jar.46.2.3630069" TargetMode="External" /><Relationship Type="http://schemas.openxmlformats.org/officeDocument/2006/relationships/hyperlink" Id="rId150" Target="https://doi.org/10.1093/bioinformatics/btw438" TargetMode="External" /><Relationship Type="http://schemas.openxmlformats.org/officeDocument/2006/relationships/hyperlink" Id="rId146" Target="https://doi.org/10.1093/biostatistics/kxac047" TargetMode="External" /><Relationship Type="http://schemas.openxmlformats.org/officeDocument/2006/relationships/hyperlink" Id="rId296"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5" Target="https://doi.org/10.1098/rsif.2017.0171" TargetMode="External" /><Relationship Type="http://schemas.openxmlformats.org/officeDocument/2006/relationships/hyperlink" Id="rId199"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3"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201"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22"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2" Target="https://doi.org/10.1179/sea.2010.29.1.013" TargetMode="External" /><Relationship Type="http://schemas.openxmlformats.org/officeDocument/2006/relationships/hyperlink" Id="rId289"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8" Target="https://doi.org/10.2139/ssrn.7053279" TargetMode="External" /><Relationship Type="http://schemas.openxmlformats.org/officeDocument/2006/relationships/hyperlink" Id="rId148" Target="https://doi.org/10.2307/2529826" TargetMode="External" /><Relationship Type="http://schemas.openxmlformats.org/officeDocument/2006/relationships/hyperlink" Id="rId182" Target="https://doi.org/10.2307/279544" TargetMode="External" /><Relationship Type="http://schemas.openxmlformats.org/officeDocument/2006/relationships/hyperlink" Id="rId184" Target="https://doi.org/10.2307/2800797" TargetMode="External" /><Relationship Type="http://schemas.openxmlformats.org/officeDocument/2006/relationships/hyperlink" Id="rId281" Target="https://doi.org/10.2307/2802103" TargetMode="External" /><Relationship Type="http://schemas.openxmlformats.org/officeDocument/2006/relationships/hyperlink" Id="rId226" Target="https://doi.org/10.2307/280511" TargetMode="External" /><Relationship Type="http://schemas.openxmlformats.org/officeDocument/2006/relationships/hyperlink" Id="rId154" Target="https://doi.org/10.2307/3034956" TargetMode="External" /><Relationship Type="http://schemas.openxmlformats.org/officeDocument/2006/relationships/hyperlink" Id="rId241"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69" Target="https://doi.org/10.2307/j.ctv24q4z2g.5" TargetMode="External" /><Relationship Type="http://schemas.openxmlformats.org/officeDocument/2006/relationships/hyperlink" Id="rId197" Target="https://doi.org/10.2307/j.ctvdmwwz4.10" TargetMode="External" /><Relationship Type="http://schemas.openxmlformats.org/officeDocument/2006/relationships/hyperlink" Id="rId195" Target="https://doi.org/10.2307/j.ctvdmwwz4.7" TargetMode="External" /><Relationship Type="http://schemas.openxmlformats.org/officeDocument/2006/relationships/hyperlink" Id="rId300" Target="https://doi.org/10.30861/9781841718309" TargetMode="External" /><Relationship Type="http://schemas.openxmlformats.org/officeDocument/2006/relationships/hyperlink" Id="rId203"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4" Target="https://doi.org/10.3828/hgr.2023.12" TargetMode="External" /><Relationship Type="http://schemas.openxmlformats.org/officeDocument/2006/relationships/hyperlink" Id="rId217"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24"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8" Target="http://www.jstor.org.offcampus.lib.washington.edu/stable/j.ctt1pk86rr.16" TargetMode="External" /><Relationship Type="http://schemas.openxmlformats.org/officeDocument/2006/relationships/hyperlink" Id="rId152" Target="http://www.jstor.org.offcampus.lib.washington.edu/stable/j.ctt1pk86rr.5" TargetMode="External" /><Relationship Type="http://schemas.openxmlformats.org/officeDocument/2006/relationships/hyperlink" Id="rId132" Target="https://CRAN.R-project.org/package=statnet" TargetMode="External" /><Relationship Type="http://schemas.openxmlformats.org/officeDocument/2006/relationships/hyperlink" Id="rId62" Target="https://books.google.com/books?id=XmrazQEACAAJ" TargetMode="External" /><Relationship Type="http://schemas.openxmlformats.org/officeDocument/2006/relationships/hyperlink" Id="rId112" Target="https://docs.ropensci.org/rnaturalearth/" TargetMode="External" /><Relationship Type="http://schemas.openxmlformats.org/officeDocument/2006/relationships/hyperlink" Id="rId233" Target="https://doi.org/10.1002/9780470773475.ch5" TargetMode="External" /><Relationship Type="http://schemas.openxmlformats.org/officeDocument/2006/relationships/hyperlink" Id="rId239" Target="https://doi.org/10.1002/9781118253892.ch6" TargetMode="External" /><Relationship Type="http://schemas.openxmlformats.org/officeDocument/2006/relationships/hyperlink" Id="rId136"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74" Target="https://doi.org/10.1002/ajpa.22832" TargetMode="External" /><Relationship Type="http://schemas.openxmlformats.org/officeDocument/2006/relationships/hyperlink" Id="rId304" Target="https://doi.org/10.1002/jqs.3236" TargetMode="External" /><Relationship Type="http://schemas.openxmlformats.org/officeDocument/2006/relationships/hyperlink" Id="rId130" Target="https://doi.org/10.1002/spe.4380211102" TargetMode="External" /><Relationship Type="http://schemas.openxmlformats.org/officeDocument/2006/relationships/hyperlink" Id="rId287"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7" Target="https://doi.org/10.1007/978-4-431-55363-2_8" TargetMode="External" /><Relationship Type="http://schemas.openxmlformats.org/officeDocument/2006/relationships/hyperlink" Id="rId276" Target="https://doi.org/10.1007/978-981-13-8980-1_12" TargetMode="External" /><Relationship Type="http://schemas.openxmlformats.org/officeDocument/2006/relationships/hyperlink" Id="rId161" Target="https://doi.org/10.1007/s10814-013-9068-y" TargetMode="External" /><Relationship Type="http://schemas.openxmlformats.org/officeDocument/2006/relationships/hyperlink" Id="rId140" Target="https://doi.org/10.1007/s10816-015-9272-9" TargetMode="External" /><Relationship Type="http://schemas.openxmlformats.org/officeDocument/2006/relationships/hyperlink" Id="rId298" Target="https://doi.org/10.1007/s10816-023-09608-7" TargetMode="External" /><Relationship Type="http://schemas.openxmlformats.org/officeDocument/2006/relationships/hyperlink" Id="rId262"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70" Target="https://doi.org/10.1007/s41982-023-00158-8" TargetMode="External" /><Relationship Type="http://schemas.openxmlformats.org/officeDocument/2006/relationships/hyperlink" Id="rId308" Target="https://doi.org/10.1007/s41982-025-00246-x" TargetMode="External" /><Relationship Type="http://schemas.openxmlformats.org/officeDocument/2006/relationships/hyperlink" Id="rId243" Target="https://doi.org/10.1016/0278-4165(84)90002-3" TargetMode="External" /><Relationship Type="http://schemas.openxmlformats.org/officeDocument/2006/relationships/hyperlink" Id="rId156" Target="https://doi.org/10.1016/B978-0-12-564750-2.50006-8" TargetMode="External" /><Relationship Type="http://schemas.openxmlformats.org/officeDocument/2006/relationships/hyperlink" Id="rId177" Target="https://doi.org/10.1016/B978-0-12-564750-2.50016-0" TargetMode="External" /><Relationship Type="http://schemas.openxmlformats.org/officeDocument/2006/relationships/hyperlink" Id="rId235" Target="https://doi.org/10.1016/B978-0-12-564750-2.50020-2" TargetMode="External" /><Relationship Type="http://schemas.openxmlformats.org/officeDocument/2006/relationships/hyperlink" Id="rId138" Target="https://doi.org/10.1016/j.evolhumbehav.2014.09.006" TargetMode="External" /><Relationship Type="http://schemas.openxmlformats.org/officeDocument/2006/relationships/hyperlink" Id="rId163" Target="https://doi.org/10.1016/j.evolhumbehav.2022.07.003" TargetMode="External" /><Relationship Type="http://schemas.openxmlformats.org/officeDocument/2006/relationships/hyperlink" Id="rId260" Target="https://doi.org/10.1016/j.jaa.2005.08.001" TargetMode="External" /><Relationship Type="http://schemas.openxmlformats.org/officeDocument/2006/relationships/hyperlink" Id="rId192" Target="https://doi.org/10.1016/j.jaa.2005.11.004" TargetMode="External" /><Relationship Type="http://schemas.openxmlformats.org/officeDocument/2006/relationships/hyperlink" Id="rId215"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2" Target="https://doi.org/10.1016/j.jas.2025.106281" TargetMode="External" /><Relationship Type="http://schemas.openxmlformats.org/officeDocument/2006/relationships/hyperlink" Id="rId279" Target="https://doi.org/10.1016/j.jasrep.2021.103118" TargetMode="External" /><Relationship Type="http://schemas.openxmlformats.org/officeDocument/2006/relationships/hyperlink" Id="rId190" Target="https://doi.org/10.1016/j.jasrep.2024.104798" TargetMode="External" /><Relationship Type="http://schemas.openxmlformats.org/officeDocument/2006/relationships/hyperlink" Id="rId302"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65"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3"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80"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7" Target="https://doi.org/10.1017/S0079497X00006265" TargetMode="External" /><Relationship Type="http://schemas.openxmlformats.org/officeDocument/2006/relationships/hyperlink" Id="rId266" Target="https://doi.org/10.1017/S0959774322000415" TargetMode="External" /><Relationship Type="http://schemas.openxmlformats.org/officeDocument/2006/relationships/hyperlink" Id="rId274" Target="https://doi.org/10.1017/S0959774324000155" TargetMode="External" /><Relationship Type="http://schemas.openxmlformats.org/officeDocument/2006/relationships/hyperlink" Id="rId90" Target="https://doi.org/10.1017/ppr.2019.11" TargetMode="External" /><Relationship Type="http://schemas.openxmlformats.org/officeDocument/2006/relationships/hyperlink" Id="rId306" Target="https://doi.org/10.1038/nature03585" TargetMode="External" /><Relationship Type="http://schemas.openxmlformats.org/officeDocument/2006/relationships/hyperlink" Id="rId228"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91" Target="https://doi.org/10.1073/pnas.1518798113" TargetMode="External" /><Relationship Type="http://schemas.openxmlformats.org/officeDocument/2006/relationships/hyperlink" Id="rId264" Target="https://doi.org/10.1073/pnas.2520385123" TargetMode="External" /><Relationship Type="http://schemas.openxmlformats.org/officeDocument/2006/relationships/hyperlink" Id="rId237" Target="https://doi.org/10.1080/00438243.1994.9980272" TargetMode="External" /><Relationship Type="http://schemas.openxmlformats.org/officeDocument/2006/relationships/hyperlink" Id="rId144" Target="https://doi.org/10.1080/01621459.2022.2116331" TargetMode="External" /><Relationship Type="http://schemas.openxmlformats.org/officeDocument/2006/relationships/hyperlink" Id="rId245" Target="https://doi.org/10.1080/03122417.1992.11681450" TargetMode="External" /><Relationship Type="http://schemas.openxmlformats.org/officeDocument/2006/relationships/hyperlink" Id="rId230" Target="https://doi.org/10.1080/03122417.1992.11681454" TargetMode="External" /><Relationship Type="http://schemas.openxmlformats.org/officeDocument/2006/relationships/hyperlink" Id="rId272" Target="https://doi.org/10.1080/1751696X.2024.2441115" TargetMode="External" /><Relationship Type="http://schemas.openxmlformats.org/officeDocument/2006/relationships/hyperlink" Id="rId209" Target="https://doi.org/10.1086/202540" TargetMode="External" /><Relationship Type="http://schemas.openxmlformats.org/officeDocument/2006/relationships/hyperlink" Id="rId219" Target="https://doi.org/10.1086/202802" TargetMode="External" /><Relationship Type="http://schemas.openxmlformats.org/officeDocument/2006/relationships/hyperlink" Id="rId211" Target="https://doi.org/10.1086/701523" TargetMode="External" /><Relationship Type="http://schemas.openxmlformats.org/officeDocument/2006/relationships/hyperlink" Id="rId188" Target="https://doi.org/10.1086/jar.39.3.3629672" TargetMode="External" /><Relationship Type="http://schemas.openxmlformats.org/officeDocument/2006/relationships/hyperlink" Id="rId186" Target="https://doi.org/10.1086/jar.46.2.3630069" TargetMode="External" /><Relationship Type="http://schemas.openxmlformats.org/officeDocument/2006/relationships/hyperlink" Id="rId150" Target="https://doi.org/10.1093/bioinformatics/btw438" TargetMode="External" /><Relationship Type="http://schemas.openxmlformats.org/officeDocument/2006/relationships/hyperlink" Id="rId146" Target="https://doi.org/10.1093/biostatistics/kxac047" TargetMode="External" /><Relationship Type="http://schemas.openxmlformats.org/officeDocument/2006/relationships/hyperlink" Id="rId296" Target="https://doi.org/10.1093/oxfordhb/9780198854265.013.31" TargetMode="External" /><Relationship Type="http://schemas.openxmlformats.org/officeDocument/2006/relationships/hyperlink" Id="rId258" Target="https://doi.org/10.1093/oxfordhb/9780198854265.013.34" TargetMode="External" /><Relationship Type="http://schemas.openxmlformats.org/officeDocument/2006/relationships/hyperlink" Id="rId285" Target="https://doi.org/10.1098/rsif.2017.0171" TargetMode="External" /><Relationship Type="http://schemas.openxmlformats.org/officeDocument/2006/relationships/hyperlink" Id="rId199" Target="https://doi.org/10.1098/rstb.2020.0318" TargetMode="External" /><Relationship Type="http://schemas.openxmlformats.org/officeDocument/2006/relationships/hyperlink" Id="rId256" Target="https://doi.org/10.1111/brv.12599" TargetMode="External" /><Relationship Type="http://schemas.openxmlformats.org/officeDocument/2006/relationships/hyperlink" Id="rId213" Target="https://doi.org/10.1111/j.1468-0092.1982.tb00313.x" TargetMode="External" /><Relationship Type="http://schemas.openxmlformats.org/officeDocument/2006/relationships/hyperlink" Id="rId126" Target="https://doi.org/10.1111/j.1502-3931.1988.tb01756.x" TargetMode="External" /><Relationship Type="http://schemas.openxmlformats.org/officeDocument/2006/relationships/hyperlink" Id="rId201" Target="https://doi.org/10.1111/tops.12762" TargetMode="External" /><Relationship Type="http://schemas.openxmlformats.org/officeDocument/2006/relationships/hyperlink" Id="rId254" Target="https://doi.org/10.1126/sciadv.aax5913" TargetMode="External" /><Relationship Type="http://schemas.openxmlformats.org/officeDocument/2006/relationships/hyperlink" Id="rId128" Target="https://doi.org/10.1146/annurev-anthro-102116-041423" TargetMode="External" /><Relationship Type="http://schemas.openxmlformats.org/officeDocument/2006/relationships/hyperlink" Id="rId222"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72" Target="https://doi.org/10.1179/sea.2010.29.1.013" TargetMode="External" /><Relationship Type="http://schemas.openxmlformats.org/officeDocument/2006/relationships/hyperlink" Id="rId289"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4" Target="https://doi.org/10.18637/jss.v025.i03" TargetMode="External" /><Relationship Type="http://schemas.openxmlformats.org/officeDocument/2006/relationships/hyperlink" Id="rId268" Target="https://doi.org/10.2139/ssrn.7053279" TargetMode="External" /><Relationship Type="http://schemas.openxmlformats.org/officeDocument/2006/relationships/hyperlink" Id="rId148" Target="https://doi.org/10.2307/2529826" TargetMode="External" /><Relationship Type="http://schemas.openxmlformats.org/officeDocument/2006/relationships/hyperlink" Id="rId182" Target="https://doi.org/10.2307/279544" TargetMode="External" /><Relationship Type="http://schemas.openxmlformats.org/officeDocument/2006/relationships/hyperlink" Id="rId184" Target="https://doi.org/10.2307/2800797" TargetMode="External" /><Relationship Type="http://schemas.openxmlformats.org/officeDocument/2006/relationships/hyperlink" Id="rId281" Target="https://doi.org/10.2307/2802103" TargetMode="External" /><Relationship Type="http://schemas.openxmlformats.org/officeDocument/2006/relationships/hyperlink" Id="rId226" Target="https://doi.org/10.2307/280511" TargetMode="External" /><Relationship Type="http://schemas.openxmlformats.org/officeDocument/2006/relationships/hyperlink" Id="rId154" Target="https://doi.org/10.2307/3034956" TargetMode="External" /><Relationship Type="http://schemas.openxmlformats.org/officeDocument/2006/relationships/hyperlink" Id="rId241" Target="https://doi.org/10.2307/40035267" TargetMode="External" /><Relationship Type="http://schemas.openxmlformats.org/officeDocument/2006/relationships/hyperlink" Id="rId252" Target="https://doi.org/10.2307/4128416" TargetMode="External" /><Relationship Type="http://schemas.openxmlformats.org/officeDocument/2006/relationships/hyperlink" Id="rId169" Target="https://doi.org/10.2307/j.ctv24q4z2g.5" TargetMode="External" /><Relationship Type="http://schemas.openxmlformats.org/officeDocument/2006/relationships/hyperlink" Id="rId197" Target="https://doi.org/10.2307/j.ctvdmwwz4.10" TargetMode="External" /><Relationship Type="http://schemas.openxmlformats.org/officeDocument/2006/relationships/hyperlink" Id="rId195" Target="https://doi.org/10.2307/j.ctvdmwwz4.7" TargetMode="External" /><Relationship Type="http://schemas.openxmlformats.org/officeDocument/2006/relationships/hyperlink" Id="rId300" Target="https://doi.org/10.30861/9781841718309" TargetMode="External" /><Relationship Type="http://schemas.openxmlformats.org/officeDocument/2006/relationships/hyperlink" Id="rId203" Target="https://doi.org/10.3213/2191-5784-10243"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4" Target="https://doi.org/10.3828/hgr.2023.12" TargetMode="External" /><Relationship Type="http://schemas.openxmlformats.org/officeDocument/2006/relationships/hyperlink" Id="rId217"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24"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4"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2026-09-04T04:50:42Z</dcterms:created>
  <dcterms:modified xsi:type="dcterms:W3CDTF">2026-09-04T04:50:42Z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