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4.png" ContentType="image/png"/>
  <Override PartName="/word/media/rId38.png" ContentType="image/png"/>
  <Override PartName="/word/media/rId42.png" ContentType="image/png"/>
  <Override PartName="/word/media/rId34.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accompanied the expansion of</w:t>
      </w:r>
      <w:r>
        <w:t xml:space="preserve"> </w:t>
      </w:r>
      <w:r>
        <w:rPr>
          <w:iCs/>
          <w:i/>
        </w:rPr>
        <w:t xml:space="preserve">Homo sapiens</w:t>
      </w:r>
      <w:r>
        <w:t xml:space="preserve"> </w:t>
      </w:r>
      <w:r>
        <w:t xml:space="preserve">across western Eurasia. Geometric signs on mobile objects may have communicated information about identity or social connections, but it remains unclear whether their distribution records geographically structured groups. We assessed this question using SignBase 1.0, an open dataset of geometric signs from Upper Palaeolithic European sites. We assigned signs to two analytically defined Aurignacian phases and then analysed presence-absence data using seriation, stochastic block models, sign-sharing networks, and distance-based tests, and evaluated apparent group structure against randomization tests that preserved site richness and sign-type frequencies. Seriation revealed an apparent contrast between sites with restricted and broad sign repertoires, but neither the ordering nor the preference for multiple stochastic blocks exceeded the corresponding richness-preserving null models. The contrast was therefore better described as a gradient in repertoire richness than as a discrete partition, particularly in the smaller later-phase sample. Although the earlier phase produced a larger network, size-aware permutation tests found no significant phase difference in connectivity, community structure, or centrality. Geographic distance was not significantly associated with sign dissimilarity in either phase, although the small samples limit the ability to exclude moderate geographic effects. These results provide no evidence in this sample for discrete geographically structured sign groups analogous to those reported for personal ornaments. They also show that richness and sampling intensity must be separated from group structure when geometric signs are used to infer past social organization.</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connectivity in sign repertoires during this period. Here we investigate human social organization dynamics implied by the distribution and variation of geometric sign types found on mobile objects in Europe within a two-phase framework [Aur-P1/Aur-P2;</w:t>
      </w:r>
      <w:r>
        <w:t xml:space="preserve"> </w:t>
      </w:r>
      <w:r>
        <w:t xml:space="preserve">[12]</w:t>
      </w:r>
      <w:r>
        <w:t xml:space="preserve">].</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make claims about past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 Combining Aurignacian personal ornaments with bone points,</w:t>
      </w:r>
      <w:r>
        <w:t xml:space="preserve"> </w:t>
      </w:r>
      <w:r>
        <w:t xml:space="preserve">[13]</w:t>
      </w:r>
      <w:r>
        <w:t xml:space="preserve"> </w:t>
      </w:r>
      <w:r>
        <w:t xml:space="preserve">identified three regions that can be defined by variations in material culture: southwestern France, southern Europe, and the area encompassing the Meuse River basin and the Swabian Jura.</w:t>
      </w:r>
    </w:p>
    <w:p>
      <w:pPr>
        <w:pStyle w:val="BodyText"/>
      </w:pPr>
      <w:r>
        <w:t xml:space="preserve">Cultural groups have also been claimed from forty-two quadrilateral geometric signs from four cave sites in the Cantabrian region of Spain, likely associated with the Magdalenian period, spanning a distance of 30 km</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Personal ornaments are worn on the body and may therefore communicate information about social identity directly to other individuals. Geometric signs engraved on mobile objects may have operated differently, potentially functioning as notation systems, ownership marks, mnemonic devices, ritual symbols, or identity markers. Whether they produce the same geographic patterning observed in ornaments therefore remains an open question. If sign repertoires operated primarily as identity markers, we would expect geographically structured patterning similar to that observed for ornaments. Conversely, the absence of such structure would suggest that geometric signs tracked other social processes or functions. In this study, we extend this previous work using geometric signs as identity markers to investigate group dynamics in the Aurignacian period using seriation and network analysis complemented by robust sensitivity and validation analyses to evaluate whether sign repertoires identify geographically structured cultural groups, and if these change over time.</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[14]</w:t>
      </w:r>
      <w:r>
        <w:t xml:space="preserve">. Periodization of the Aurignacian is complicated by regional variation with phases starting and ending at different times</w:t>
      </w:r>
      <w:r>
        <w:t xml:space="preserve"> </w:t>
      </w:r>
      <w:r>
        <w:t xml:space="preserve">[15,16]</w:t>
      </w:r>
      <w:r>
        <w:t xml:space="preserve">, and a lack of compositional integrity over time</w:t>
      </w:r>
      <w:r>
        <w:t xml:space="preserve"> </w:t>
      </w:r>
      <w:r>
        <w:t xml:space="preserve">[17]</w:t>
      </w:r>
      <w:r>
        <w:t xml:space="preserve">, with supposed index fossils persisting through multiple phases</w:t>
      </w:r>
      <w:r>
        <w:t xml:space="preserve"> </w:t>
      </w:r>
      <w:r>
        <w:t xml:space="preserve">[18]</w:t>
      </w:r>
      <w:r>
        <w:t xml:space="preserve">. While earlier work on the Aquitaine/Périgord sequences proposed as many as five phases</w:t>
      </w:r>
      <w:r>
        <w:t xml:space="preserve"> </w:t>
      </w:r>
      <w:r>
        <w:t xml:space="preserve">[19]</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[20]</w:t>
      </w:r>
      <w:r>
        <w:t xml:space="preserve">. For example,</w:t>
      </w:r>
      <w:r>
        <w:t xml:space="preserve"> </w:t>
      </w:r>
      <w:r>
        <w:t xml:space="preserve">[21]</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w:t>
      </w:r>
      <w:r>
        <w:t xml:space="preserve"> </w:t>
      </w:r>
      <w:r>
        <w:t xml:space="preserve">[22]</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[21]</w:t>
      </w:r>
      <w:r>
        <w:t xml:space="preserve"> </w:t>
      </w:r>
      <w:r>
        <w:t xml:space="preserve">and</w:t>
      </w:r>
      <w:r>
        <w:t xml:space="preserve"> </w:t>
      </w:r>
      <w:r>
        <w:t xml:space="preserve">[12]</w:t>
      </w:r>
      <w:r>
        <w:t xml:space="preserve"> </w:t>
      </w:r>
      <w:r>
        <w:t xml:space="preserve">as a first-order chronological scaffold, acknowledging that phases are analytical conveniences rather than discrete cultural entities</w:t>
      </w:r>
      <w:r>
        <w:t xml:space="preserve"> </w:t>
      </w:r>
      <w:r>
        <w:t xml:space="preserve">[17,20]</w:t>
      </w:r>
      <w:r>
        <w:t xml:space="preserve">. The chronological and technological distinctness of the Proto- and Early Aurignacian is difficult to sustain</w:t>
      </w:r>
      <w:r>
        <w:t xml:space="preserve"> </w:t>
      </w:r>
      <w:r>
        <w:t xml:space="preserve">[21]</w:t>
      </w:r>
      <w:r>
        <w:t xml:space="preserve">, and some analyses suggest these represent coexisting facies rather than successive phases</w:t>
      </w:r>
      <w:r>
        <w:t xml:space="preserve"> </w:t>
      </w:r>
      <w:r>
        <w:t xml:space="preserve">[23]</w:t>
      </w:r>
      <w:r>
        <w:t xml:space="preserve">. We therefore pool the Proto- and Early Aurignacian into Aur-P1 (43–37 ka cal BP) and treat the Evolved/Late Aurignacian as Aur-P2 (37–32 ka cal BP), following the two-phase scheme of</w:t>
      </w:r>
      <w:r>
        <w:t xml:space="preserve"> </w:t>
      </w:r>
      <w:r>
        <w:t xml:space="preserve">[12]</w:t>
      </w:r>
      <w:r>
        <w:t xml:space="preserve">. This merger is also chronologically warranted: South-west German sites whose lithic technology is assigned to the Early Aurignacian commonly overlap in calibrated age with Mediterranean assemblages attributed to the Proto-Aurignacian. Thus the Proto/Early boundary is a coeval boundary</w:t>
      </w:r>
      <w:r>
        <w:t xml:space="preserve"> </w:t>
      </w:r>
      <w:r>
        <w:t xml:space="preserve">[21,23,e.g. 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1425"/>
              <w:gridCol w:w="1267"/>
              <w:gridCol w:w="3168"/>
              <w:gridCol w:w="2059"/>
            </w:tblGrid>
            <w:tr>
              <w:trPr>
                <w:tblHeader w:val="true"/>
              </w:trPr>
              <w:tc>
                <w:tcPr/>
                <w:p>
                  <w:pPr>
                    <w:pStyle w:val="Compact"/>
                    <w:jc w:val="left"/>
                    <w:jc w:val="left"/>
                  </w:pPr>
                  <w:r>
                    <w:t xml:space="preserve">Time Period Name</w:t>
                  </w:r>
                </w:p>
              </w:tc>
              <w:tc>
                <w:tcPr/>
                <w:p>
                  <w:pPr>
                    <w:pStyle w:val="Compact"/>
                    <w:jc w:val="left"/>
                    <w:jc w:val="left"/>
                  </w:pPr>
                  <w:r>
                    <w:t xml:space="preserve">Dates (ka cal BP)</w:t>
                  </w:r>
                </w:p>
              </w:tc>
              <w:tc>
                <w:tcPr/>
                <w:p>
                  <w:pPr>
                    <w:pStyle w:val="Compact"/>
                    <w:jc w:val="left"/>
                    <w:jc w:val="left"/>
                  </w:pPr>
                  <w:r>
                    <w:t xml:space="preserve">Material Culture Markers</w:t>
                  </w:r>
                </w:p>
              </w:tc>
              <w:tc>
                <w:tcPr/>
                <w:p>
                  <w:pPr>
                    <w:pStyle w:val="Compact"/>
                    <w:jc w:val="left"/>
                    <w:jc w:val="left"/>
                  </w:pPr>
                  <w:r>
                    <w:t xml:space="preserve">Environmental Context</w:t>
                  </w:r>
                </w:p>
              </w:tc>
            </w:tr>
            <w:tr>
              <w:tc>
                <w:tcPr/>
                <w:p>
                  <w:pPr>
                    <w:pStyle w:val="Compact"/>
                    <w:jc w:val="left"/>
                    <w:jc w:val="left"/>
                  </w:pPr>
                  <w:r>
                    <w:t xml:space="preserve">Aur-P1 (Proto/Early)</w:t>
                  </w:r>
                </w:p>
              </w:tc>
              <w:tc>
                <w:tcPr/>
                <w:p>
                  <w:pPr>
                    <w:pStyle w:val="Compact"/>
                    <w:jc w:val="left"/>
                    <w:jc w:val="left"/>
                  </w:pPr>
                  <w:r>
                    <w:t xml:space="preserve">43 - 37</w:t>
                  </w:r>
                </w:p>
              </w:tc>
              <w:tc>
                <w:tcPr/>
                <w:p>
                  <w:pPr>
                    <w:pStyle w:val="Compact"/>
                    <w:jc w:val="left"/>
                    <w:jc w:val="left"/>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left"/>
                  </w:pPr>
                  <w:r>
                    <w:t xml:space="preserve">Starts at Greenland Stadial 12, ends at Greenland Interstadial 8</w:t>
                  </w:r>
                </w:p>
              </w:tc>
            </w:tr>
            <w:tr>
              <w:tc>
                <w:tcPr/>
                <w:p>
                  <w:pPr>
                    <w:pStyle w:val="Compact"/>
                    <w:jc w:val="left"/>
                    <w:jc w:val="left"/>
                  </w:pPr>
                  <w:r>
                    <w:t xml:space="preserve">Aur-P2 (Evolved/Late)</w:t>
                  </w:r>
                </w:p>
              </w:tc>
              <w:tc>
                <w:tcPr/>
                <w:p>
                  <w:pPr>
                    <w:pStyle w:val="Compact"/>
                    <w:jc w:val="left"/>
                    <w:jc w:val="left"/>
                  </w:pPr>
                  <w:r>
                    <w:t xml:space="preserve">37 - 32</w:t>
                  </w:r>
                </w:p>
              </w:tc>
              <w:tc>
                <w:tcPr/>
                <w:p>
                  <w:pPr>
                    <w:pStyle w:val="Compact"/>
                    <w:jc w:val="left"/>
                    <w:jc w:val="left"/>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left"/>
                  </w:pPr>
                  <w:r>
                    <w:t xml:space="preserve">GI 8 - 6</w:t>
                  </w:r>
                </w:p>
              </w:tc>
            </w:tr>
          </w:tbl>
          <w:p>
            <w:pPr>
              <w:jc w:val="left"/>
            </w:pPr>
            <w:pPr>
              <w:jc w:val="start"/>
              <w:spacing w:before="200"/>
              <w:pStyle w:val="ImageCaption"/>
            </w:pPr>
            <w:r>
              <w:t xml:space="preserve">Table 1: Summary of chronological, cultural and environmental characteristics of Aurignacian periods</w:t>
            </w:r>
            <w:r>
              <w:t xml:space="preserve"> </w:t>
            </w:r>
            <w:r>
              <w:t xml:space="preserve">[12,14,22,25]</w:t>
            </w:r>
          </w:p>
          <w:bookmarkEnd w:id="22"/>
        </w:tc>
      </w:tr>
    </w:tbl>
    <w:p>
      <w:pPr>
        <w:pStyle w:val="BodyText"/>
      </w:pPr>
      <w:r>
        <w:t xml:space="preserve">We hypothesize that the early and late phases, and the environmental changes across them, may correspond to differences in the dynamics of groups differentiated by their geometric‑sign repertoires.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 We also explore the sensitivity and robustness of each of our analyses, for example with bootstrap and cross-validation tests.</w:t>
      </w:r>
    </w:p>
    <w:bookmarkEnd w:id="23"/>
    <w:bookmarkStart w:id="28" w:name="geometric-signs-from-the-aurignacian"/>
    <w:p>
      <w:pPr>
        <w:pStyle w:val="Heading2"/>
      </w:pPr>
      <w:r>
        <w:t xml:space="preserve">Geometric signs from the Aurignacian</w:t>
      </w:r>
    </w:p>
    <w:p>
      <w:pPr>
        <w:pStyle w:val="FirstParagraph"/>
      </w:pPr>
      <w:r>
        <w:t xml:space="preserve">Our data come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30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sites from the sample for the following reasons: only one sign present (e.g. Willendorf); extreme geographic distance from the other sites (e.g. Riparo di Fontana Nuova, Muralovka, Shanidar Cave, Hayonim Cave; lacking reliable chronological and archaeological contextual information (e.g. El Salitre, Grotte De La Princesse Pauline), and dated much later than the rest of the assemblages (e.g. Šandalja II). A full accounting of how we excluded archaeological sites and assigned sites to Aurignacian phases is presented in our S2</w:t>
      </w:r>
      <w:r>
        <w:t xml:space="preserve"> </w:t>
      </w:r>
      <w:r>
        <w:t xml:space="preserve">“</w:t>
      </w:r>
      <w:r>
        <w:t xml:space="preserve">Site Phase Assignments</w:t>
      </w:r>
      <w:r>
        <w:t xml:space="preserve">”</w:t>
      </w:r>
      <w:r>
        <w:t xml:space="preserve">; date-parsing attrition counts are in S1 §</w:t>
      </w:r>
      <w:r>
        <w:t xml:space="preserve">S1.1</w:t>
      </w:r>
      <w:r>
        <w:t xml:space="preserve">. Our sample for analysis includes 409 objects found at 28 unique geographic sites, yielding 29 site-phase assemblages (Hohle Fels has objects in both phases) in 7 countries, and 29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left"/>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left"/>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 Map data from naturalearthdata.com</w:t>
            </w:r>
            <w:r>
              <w:t xml:space="preserve"> </w:t>
            </w:r>
            <w:r>
              <w:t xml:space="preserve">[26,27]</w:t>
            </w:r>
          </w:p>
          <w:bookmarkEnd w:id="27"/>
        </w:tc>
      </w:tr>
    </w:tbl>
    <w:p>
      <w:pPr>
        <w:pStyle w:val="BodyText"/>
      </w:pPr>
      <w:r>
        <w:t xml:space="preserve">Each object was assigned to a chronological phase following specialist technological attributions from the published literature, with the calibrated radiocarbon dates used to supplement the classification (</w:t>
      </w:r>
      <w:hyperlink w:anchor="tbl-aur-table">
        <w:r>
          <w:rPr>
            <w:rStyle w:val="Hyperlink"/>
          </w:rPr>
          <w:t xml:space="preserve">Table 1</w:t>
        </w:r>
      </w:hyperlink>
      <w:r>
        <w:t xml:space="preserve"> </w:t>
      </w:r>
      <w:r>
        <w:t xml:space="preserve">and S2). Ages of the objects were determined by calibrating the uncalibrated ages in SignBase using the rcarbon package</w:t>
      </w:r>
      <w:r>
        <w:t xml:space="preserve"> </w:t>
      </w:r>
      <w:r>
        <w:t xml:space="preserve">[28]</w:t>
      </w:r>
      <w:r>
        <w:t xml:space="preserve"> </w:t>
      </w:r>
      <w:r>
        <w:t xml:space="preserve">with the IntCal20 calibration curve. The calibrated radiocarbon dates of the sampled data range from approximately 33 to 45 ka cal BP, spanning an overall time range of 12 ka. The Aur-P1 phase has 20 sites and 26 sign types, and the Aur-P2 phase has 9 sites and 15 sign types. A Mantel test to evaluate the correlation between distance in time and distribution of sign types found a weak correlation at the nominal 0.05 threshold (R = 0.062, p = 0.004). The very small effect size (R ≈ 0.06) indicates that temporal distance explains only a small fraction of the variation in sign-type distribution. This weak association shows only that time has little explanatory power for sign composition. We tested this inference more directly with a time-lag analysis (S1 §</w:t>
      </w:r>
      <w:r>
        <w:t xml:space="preserve">S1.8.3</w:t>
      </w:r>
      <w:r>
        <w:t xml:space="preserve">): we binned all 28 sites (378 site pairs) by their absolute temporal separation (|ΔMedianBP|) to see if Jaccard sign dissimilarity rises with lag. It does not: the Spearman correlation between temporal lag and dissimilarity is -0.04 (p = 0.39) overall and -0.04 (p = 0.58) within phase. Sites in different phases are no more dissimilar (mean Jaccard 0.73) than sites within the same phase (0.76). As with the temporal Mantel, this flat trend is a lack of evidence for time-structured change in sign repertoires, not evidence that change was absent.</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[29]</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These tests determine the level of correspondence between the matrices through permutational evaluation (here 1000 permutations) of the null distribution</w:t>
      </w:r>
      <w:r>
        <w:t xml:space="preserve"> </w:t>
      </w:r>
      <w:r>
        <w:t xml:space="preserve">[30]</w:t>
      </w:r>
      <w:r>
        <w:t xml:space="preserve">, producing a Mantel R statistic and a p-value. The R statistic falls between -1, meaning a strong negative correlation, and 1, meaning a strong positive correlation, while a value of 0 means no correlation. The p-value estimates the probability of obtaining the observed correlation (or greater) if the null hypothesis of no correlation were true (we use an alpha value of 0.05 for the threshold of statistical significance). The Mantel tests were performed using the vegan package</w:t>
      </w:r>
      <w:r>
        <w:t xml:space="preserve"> </w:t>
      </w:r>
      <w:r>
        <w:t xml:space="preserve">[31]</w:t>
      </w:r>
      <w:r>
        <w:t xml:space="preserve">. The test showed no significant correlation between object abundance distance and Jaccard sign composition dissimilarity (R = 0.151, p = 0.071). This result concerns pairwise composition only. It does not remove the separate correlation between object count and sign-type richness per site. We test that richness confound directly at the object level (S1 §</w:t>
      </w:r>
      <w:r>
        <w:t xml:space="preserve">S1.12.3</w:t>
      </w:r>
      <w:r>
        <w:t xml:space="preserve">, §</w:t>
      </w:r>
      <w:r>
        <w:t xml:space="preserve">S1.12.4</w:t>
      </w:r>
      <w:r>
        <w:t xml:space="preserve"> </w:t>
      </w:r>
      <w:r>
        <w:t xml:space="preserve">and §</w:t>
      </w:r>
      <w:r>
        <w:t xml:space="preserve">S1.12.5</w:t>
      </w:r>
      <w:r>
        <w:t xml:space="preserve">). The Mantel result supports presence/absence coding without implying independence from sampling effort. Beyond presence/absence coding, we additionally tested the residual object-count confound directly at the object level via downsampling, coverage-based rarefaction, and a negative-binomial regression with log object count as a covariate (S1 §</w:t>
      </w:r>
      <w:r>
        <w:t xml:space="preserve">S1.12.3</w:t>
      </w:r>
      <w:r>
        <w:t xml:space="preserve">, §</w:t>
      </w:r>
      <w:r>
        <w:t xml:space="preserve">S1.12.4</w:t>
      </w:r>
      <w:r>
        <w:t xml:space="preserve"> </w:t>
      </w:r>
      <w:r>
        <w:t xml:space="preserve">and §</w:t>
      </w:r>
      <w:r>
        <w:t xml:space="preserve">S1.12.5</w:t>
      </w:r>
      <w:r>
        <w:t xml:space="preserve">).</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[32]</w:t>
      </w:r>
      <w:r>
        <w:t xml:space="preserve">. This relationship can be investigated using the isolation-by-distance framework, which proposes that cultural difference can be primarily explained by geographic distance</w:t>
      </w:r>
      <w:r>
        <w:t xml:space="preserve"> </w:t>
      </w:r>
      <w:r>
        <w:t xml:space="preserve">[29]</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This null result provides lack of evidence for isolation by distance in this sample. It does not show that isolation by distance fails to account for the patterns. It should be interpreted cautiously given the small sample sizes (S1 §</w:t>
      </w:r>
      <w:r>
        <w:t xml:space="preserve">S1.4.3</w:t>
      </w:r>
      <w:r>
        <w:t xml:space="preserve">). To test whether the non-significant Mantel result reflects a particular alternative process, we additionally fit a multiple regression on distance matrices with sign dissimilarity as the response and geographic, temporal, and object-count distances as predictors (S1 §</w:t>
      </w:r>
      <w:r>
        <w:t xml:space="preserve">S1.8.2</w:t>
      </w:r>
      <w:r>
        <w:t xml:space="preserve">). This reveals no candidate is significant, so the null Mantel does not identify any specific alternative process. A Mantel correlogram likewise did not detect spatial structure, except for one nominally significant long-range lag in Aur-P2, and bootstrap confidence intervals on the Mantel R indicate the test is underpowered at these sample sizes, so the result is best read as a lack of evidence rather than evidence of absence (S1 §</w:t>
      </w:r>
      <w:r>
        <w:t xml:space="preserve">S1.4.3</w:t>
      </w:r>
      <w:r>
        <w:t xml:space="preserve">). As a non-Mantel check that fits an explanatory model rather than correlating two distance matrices, we additionally ran a distance-based redundancy analysis</w:t>
      </w:r>
      <w:r>
        <w:t xml:space="preserve"> </w:t>
      </w:r>
      <w:r>
        <w:t xml:space="preserve">[33]</w:t>
      </w:r>
      <w:r>
        <w:t xml:space="preserve"> </w:t>
      </w:r>
      <w:r>
        <w:t xml:space="preserve">of the site Jaccard dissimilarity matrix on a linear geographic trend surface (longitude + latitude, identical specification in both phases; S1 §</w:t>
      </w:r>
      <w:r>
        <w:t xml:space="preserve">S1.4.4</w:t>
      </w:r>
      <w:r>
        <w:t xml:space="preserve">). It detects a weak linear geographic trend in Aur-P1 (R² = 0.156, adjusted R² = 0.057, p = 0.038) but no signal in Aur-P2 (R² = 0.191, adjusted R² = -0.078, p = 0.85). The Aur-P1 trend explains only about six percent of the adjusted variation. We interpret this, at most, a faint geographic gradient, not discrete geographic groups.</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pct" w:w="5000"/>
              <w:tblLook w:firstRow="1" w:lastRow="0" w:firstColumn="0" w:lastColumn="0" w:noHBand="0" w:noVBand="0" w:val="0020"/>
              <w:jc w:val="start"/>
              <w:tblLayout w:type="fixed"/>
            </w:tblPr>
            <w:tblGrid>
              <w:gridCol w:w="2376"/>
              <w:gridCol w:w="1584"/>
              <w:gridCol w:w="1425"/>
              <w:gridCol w:w="2534"/>
            </w:tblGrid>
            <w:tr>
              <w:trPr>
                <w:tblHeader w:val="true"/>
              </w:trPr>
              <w:tc>
                <w:tcPr/>
                <w:p>
                  <w:pPr>
                    <w:pStyle w:val="Compact"/>
                    <w:jc w:val="left"/>
                    <w:jc w:val="left"/>
                  </w:pPr>
                  <w:r>
                    <w:t xml:space="preserve">Aurignacian phase</w:t>
                  </w:r>
                </w:p>
              </w:tc>
              <w:tc>
                <w:tcPr/>
                <w:p>
                  <w:pPr>
                    <w:pStyle w:val="Compact"/>
                    <w:jc w:val="left"/>
                    <w:jc w:val="left"/>
                  </w:pPr>
                  <w:r>
                    <w:t xml:space="preserve">Mantel R</w:t>
                  </w:r>
                </w:p>
              </w:tc>
              <w:tc>
                <w:tcPr/>
                <w:p>
                  <w:pPr>
                    <w:pStyle w:val="Compact"/>
                    <w:jc w:val="left"/>
                    <w:jc w:val="left"/>
                  </w:pPr>
                  <w:r>
                    <w:t xml:space="preserve">Mantel p</w:t>
                  </w:r>
                </w:p>
              </w:tc>
              <w:tc>
                <w:tcPr/>
                <w:p>
                  <w:pPr>
                    <w:pStyle w:val="Compact"/>
                    <w:jc w:val="left"/>
                    <w:jc w:val="left"/>
                  </w:pPr>
                  <w:r>
                    <w:t xml:space="preserve">Mantel 95% CI</w:t>
                  </w:r>
                </w:p>
              </w:tc>
            </w:tr>
            <w:tr>
              <w:tc>
                <w:tcPr/>
                <w:p>
                  <w:pPr>
                    <w:pStyle w:val="Compact"/>
                    <w:jc w:val="left"/>
                    <w:jc w:val="left"/>
                  </w:pPr>
                  <w:r>
                    <w:t xml:space="preserve">Aur-P1</w:t>
                  </w:r>
                </w:p>
              </w:tc>
              <w:tc>
                <w:tcPr/>
                <w:p>
                  <w:pPr>
                    <w:pStyle w:val="Compact"/>
                    <w:jc w:val="left"/>
                    <w:jc w:val="left"/>
                  </w:pPr>
                  <w:r>
                    <w:t xml:space="preserve">0.046</w:t>
                  </w:r>
                </w:p>
              </w:tc>
              <w:tc>
                <w:tcPr/>
                <w:p>
                  <w:pPr>
                    <w:pStyle w:val="Compact"/>
                    <w:jc w:val="left"/>
                    <w:jc w:val="left"/>
                  </w:pPr>
                  <w:r>
                    <w:t xml:space="preserve">0.301</w:t>
                  </w:r>
                </w:p>
              </w:tc>
              <w:tc>
                <w:tcPr/>
                <w:p>
                  <w:pPr>
                    <w:pStyle w:val="Compact"/>
                    <w:jc w:val="left"/>
                    <w:jc w:val="left"/>
                  </w:pPr>
                  <w:r>
                    <w:t xml:space="preserve">[-0.022, 0.086]</w:t>
                  </w:r>
                </w:p>
              </w:tc>
            </w:tr>
            <w:tr>
              <w:tc>
                <w:tcPr/>
                <w:p>
                  <w:pPr>
                    <w:pStyle w:val="Compact"/>
                    <w:jc w:val="left"/>
                    <w:jc w:val="left"/>
                  </w:pPr>
                  <w:r>
                    <w:t xml:space="preserve">Aur-P2</w:t>
                  </w:r>
                </w:p>
              </w:tc>
              <w:tc>
                <w:tcPr/>
                <w:p>
                  <w:pPr>
                    <w:pStyle w:val="Compact"/>
                    <w:jc w:val="left"/>
                    <w:jc w:val="left"/>
                  </w:pPr>
                  <w:r>
                    <w:t xml:space="preserve">-0.299</w:t>
                  </w:r>
                </w:p>
              </w:tc>
              <w:tc>
                <w:tcPr/>
                <w:p>
                  <w:pPr>
                    <w:pStyle w:val="Compact"/>
                    <w:jc w:val="left"/>
                    <w:jc w:val="left"/>
                  </w:pPr>
                  <w:r>
                    <w:t xml:space="preserve">0.933</w:t>
                  </w:r>
                </w:p>
              </w:tc>
              <w:tc>
                <w:tcPr/>
                <w:p>
                  <w:pPr>
                    <w:pStyle w:val="Compact"/>
                    <w:jc w:val="left"/>
                    <w:jc w:val="left"/>
                  </w:pPr>
                  <w:r>
                    <w:t xml:space="preserve">[-0.355, -0.231]</w:t>
                  </w:r>
                </w:p>
              </w:tc>
            </w:tr>
          </w:tbl>
          <w:p>
            <w:pPr>
              <w:jc w:val="left"/>
            </w:pPr>
            <w:pPr>
              <w:jc w:val="start"/>
              <w:spacing w:before="200"/>
              <w:pStyle w:val="ImageCaption"/>
            </w:pPr>
            <w:r>
              <w:t xml:space="preserve">Table 2: Table of the results per phase for the Mantel test between a Jaccard dissimilarity matrix of sign type diversity and a geographic distance matrix. The 95% confidence interval comes from an object-within-site bootstrap (B = 1,000).</w:t>
            </w:r>
          </w:p>
          <w:bookmarkEnd w:id="29"/>
        </w:tc>
      </w:tr>
    </w:tbl>
    <w:bookmarkStart w:id="30" w:name="X1768755924d8862cced21d5157dbe2f8ac80203"/>
    <w:p>
      <w:pPr>
        <w:pStyle w:val="Heading2"/>
      </w:pPr>
      <w:r>
        <w:t xml:space="preserve">Sign Group Detection Using Seriation and Network Analysis</w:t>
      </w:r>
    </w:p>
    <w:p>
      <w:pPr>
        <w:pStyle w:val="FirstParagraph"/>
      </w:pPr>
      <w:r>
        <w:t xml:space="preserve">Seriation arranges data into a linear order to reveal patterns</w:t>
      </w:r>
      <w:r>
        <w:t xml:space="preserve"> </w:t>
      </w:r>
      <w:r>
        <w:t xml:space="preserve">[34]</w:t>
      </w:r>
      <w:r>
        <w:t xml:space="preserve">. We used the Brower-Kile</w:t>
      </w:r>
      <w:r>
        <w:t xml:space="preserve"> </w:t>
      </w:r>
      <w:r>
        <w:t xml:space="preserve">[35]</w:t>
      </w:r>
      <w:r>
        <w:t xml:space="preserve"> </w:t>
      </w:r>
      <w:r>
        <w:t xml:space="preserve">seriation algorithm implemented as an iterative reordering procedure that arranges rows and columns to group the presences along the diagonal. This algorithm was adapted from the original Brower-Kile approach and implemented in R, the code is openly available in our research compendium.</w:t>
      </w:r>
    </w:p>
    <w:p>
      <w:pPr>
        <w:pStyle w:val="BodyText"/>
      </w:pPr>
      <w:r>
        <w:t xml:space="preserve">To investigate connectivity among the sites the seriation grouped, we used network analysis</w:t>
      </w:r>
      <w:r>
        <w:t xml:space="preserve"> </w:t>
      </w:r>
      <w:r>
        <w:t xml:space="preserve">[36]</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(S1 §</w:t>
      </w:r>
      <w:r>
        <w:t xml:space="preserve">S1.2</w:t>
      </w:r>
      <w:r>
        <w:t xml:space="preserve"> </w:t>
      </w:r>
      <w:r>
        <w:t xml:space="preserve">and §</w:t>
      </w:r>
      <w:r>
        <w:t xml:space="preserve">S1.3</w:t>
      </w:r>
      <w:r>
        <w:t xml:space="preserve">). Results were plotted with the Fruchterman-Reingold layout</w:t>
      </w:r>
      <w:r>
        <w:t xml:space="preserve"> </w:t>
      </w:r>
      <w:r>
        <w:t xml:space="preserve">[37]</w:t>
      </w:r>
      <w:r>
        <w:t xml:space="preserve">, a force-directed graph layout for uniform edge lengths, and network analysis was performed using the vegan</w:t>
      </w:r>
      <w:r>
        <w:t xml:space="preserve"> </w:t>
      </w:r>
      <w:r>
        <w:t xml:space="preserve">[31]</w:t>
      </w:r>
      <w:r>
        <w:t xml:space="preserve">, statnet</w:t>
      </w:r>
      <w:r>
        <w:t xml:space="preserve"> </w:t>
      </w:r>
      <w:r>
        <w:t xml:space="preserve">[38]</w:t>
      </w:r>
      <w:r>
        <w:t xml:space="preserve"> </w:t>
      </w:r>
      <w:r>
        <w:t xml:space="preserve">and igraph</w:t>
      </w:r>
      <w:r>
        <w:t xml:space="preserve"> </w:t>
      </w:r>
      <w:r>
        <w:t xml:space="preserve">[39]</w:t>
      </w:r>
      <w:r>
        <w:t xml:space="preserve"> </w:t>
      </w:r>
      <w:r>
        <w:t xml:space="preserve">packages.</w:t>
      </w:r>
    </w:p>
    <w:bookmarkEnd w:id="30"/>
    <w:bookmarkStart w:id="31" w:name="X6b0efb31d4a2a46c04db3d8b213974bdd2f584b"/>
    <w:p>
      <w:pPr>
        <w:pStyle w:val="Heading2"/>
      </w:pPr>
      <w:r>
        <w:t xml:space="preserve">PerMANOVA for Sign Composition Differences Between Groups</w:t>
      </w:r>
    </w:p>
    <w:p>
      <w:pPr>
        <w:pStyle w:val="FirstParagraph"/>
      </w:pPr>
      <w:r>
        <w:t xml:space="preserve">PerMANOVA quantifies the level of variation between groups versus the level of variation within groups</w:t>
      </w:r>
      <w:r>
        <w:t xml:space="preserve"> </w:t>
      </w:r>
      <w:r>
        <w:t xml:space="preserve">[40,41]</w:t>
      </w:r>
      <w:r>
        <w:t xml:space="preserve"> </w:t>
      </w:r>
      <w:r>
        <w:t xml:space="preserve">and is used here as exploratory, rather than confirmatory.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[31]</w:t>
      </w:r>
      <w:r>
        <w:t xml:space="preserve"> </w:t>
      </w:r>
      <w:r>
        <w:t xml:space="preserve">package.</w:t>
      </w:r>
    </w:p>
    <w:p>
      <w:pPr>
        <w:pStyle w:val="BodyText"/>
      </w:pPr>
      <w:r>
        <w:t xml:space="preserve">Because the restricted/broad group assignments were derived from visual inspection of the seriation results using the same sign data tested here, the PerMANOVA p-values therefore cannot be presented as independent confirmation that the groups differ. Thus we interrogate these assignments with several additional cross-validation and permutation methods. These are described in our S1 §</w:t>
      </w:r>
      <w:r>
        <w:t xml:space="preserve">S1.10</w:t>
      </w:r>
      <w:r>
        <w:t xml:space="preserve"> </w:t>
      </w:r>
      <w:r>
        <w:t xml:space="preserve">and §</w:t>
      </w:r>
      <w:r>
        <w:t xml:space="preserve">S1.10.3</w:t>
      </w:r>
      <w:r>
        <w:t xml:space="preserve"> </w:t>
      </w:r>
      <w:r>
        <w:t xml:space="preserve">and reported briefly below.</w:t>
      </w:r>
    </w:p>
    <w:bookmarkEnd w:id="31"/>
    <w:bookmarkEnd w:id="32"/>
    <w:bookmarkStart w:id="33"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https://doi.org/10.5281/zenodo.21829663.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S1-supplement-sensitivity.qmd</w:t>
      </w:r>
      <w:r>
        <w:t xml:space="preserve">, and</w:t>
      </w:r>
      <w:r>
        <w:t xml:space="preserve"> </w:t>
      </w:r>
      <w:r>
        <w:rPr>
          <w:rStyle w:val="VerbatimChar"/>
        </w:rPr>
        <w:t xml:space="preserve">S2-supplement-site-assignment.qmd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[42,43]</w:t>
      </w:r>
      <w:r>
        <w:t xml:space="preserve">.</w:t>
      </w:r>
    </w:p>
    <w:bookmarkEnd w:id="33"/>
    <w:bookmarkStart w:id="53" w:name="results"/>
    <w:p>
      <w:pPr>
        <w:pStyle w:val="Heading1"/>
      </w:pPr>
      <w:r>
        <w:t xml:space="preserve">Results</w:t>
      </w:r>
    </w:p>
    <w:bookmarkStart w:id="50" w:name="X139fdd43ada6f49bb2732b513cbf3cc22c88790"/>
    <w:p>
      <w:pPr>
        <w:pStyle w:val="Heading2"/>
      </w:pPr>
      <w:r>
        <w:t xml:space="preserve">Detection of Groups Differentiated by Sign Repertoire</w:t>
      </w:r>
    </w:p>
    <w:tbl>
      <w:tblPr>
        <w:tblStyle w:val="Table"/>
        <w:tblW w:type="pct" w:w="5000"/>
        <w:tblLook w:firstRow="0" w:lastRow="0" w:firstColumn="0" w:lastColumn="0" w:noHBand="0" w:noVBand="0" w:val="0000"/>
        <w:jc w:val="start"/>
        <w:tblLayout w:type="fixed"/>
      </w:tblPr>
      <w:tblGrid>
        <w:gridCol w:w="7920"/>
      </w:tblGrid>
      <w:tr>
        <w:tc>
          <w:tcPr/>
          <w:bookmarkStart w:id="37" w:name="fig-seriation"/>
          <w:p>
            <w:pPr>
              <w:pStyle w:val="Compact"/>
              <w:jc w:val="left"/>
            </w:pPr>
            <w:r>
              <w:drawing>
                <wp:inline>
                  <wp:extent cx="5943600" cy="7429499"/>
                  <wp:effectExtent b="0" l="0" r="0" t="0"/>
                  <wp:docPr descr="" title="" id="35" name="Picture"/>
                  <a:graphic>
                    <a:graphicData uri="http://schemas.openxmlformats.org/drawingml/2006/picture">
                      <pic:pic>
                        <pic:nvPicPr>
                          <pic:cNvPr descr="../figures/seriation-plot.png" id="36" name="Picture"/>
                          <pic:cNvPicPr>
                            <a:picLocks noChangeArrowheads="1" noChangeAspect="1"/>
                          </pic:cNvPicPr>
                        </pic:nvPicPr>
                        <pic:blipFill>
                          <a:blip r:embed="rId34"/>
                          <a:stretch>
                            <a:fillRect/>
                          </a:stretch>
                        </pic:blipFill>
                        <pic:spPr bwMode="auto">
                          <a:xfrm>
                            <a:off x="0" y="0"/>
                            <a:ext cx="5943600" cy="7429499"/>
                          </a:xfrm>
                          <a:prstGeom prst="rect">
                            <a:avLst/>
                          </a:prstGeom>
                          <a:noFill/>
                          <a:ln w="9525">
                            <a:noFill/>
                            <a:headEnd/>
                            <a:tailEnd/>
                          </a:ln>
                        </pic:spPr>
                      </pic:pic>
                    </a:graphicData>
                  </a:graphic>
                </wp:inline>
              </w:drawing>
            </w:r>
          </w:p>
          <w:p>
            <w:pPr>
              <w:jc w:val="left"/>
            </w:pPr>
            <w:pPr>
              <w:jc w:val="start"/>
              <w:spacing w:before="200"/>
              <w:pStyle w:val="ImageCaption"/>
            </w:pPr>
            <w:r>
              <w:t xml:space="preserve">Figure 2: Presence–absence matrices of geometric sign types reordered using Brower‑Kile seriation for (A) Aur-P1 and (B) Aur-P2 phases. Rows represent sites and columns represent sign types. Hypothesized site grouping indicated by colour: restricted group is in red, broader group is in blue.</w:t>
            </w:r>
          </w:p>
          <w:bookmarkEnd w:id="37"/>
        </w:tc>
      </w:tr>
    </w:tbl>
    <w:p>
      <w:pPr>
        <w:pStyle w:val="BodyText"/>
      </w:pPr>
      <w:r>
        <w:t xml:space="preserve">From visual inspection of our seriation results, we can hypothesize two groups of sign type composition for each of the two phases. One group has a restricted range of sign types (1-3 types), which tend to be visually simpler.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inferring a two-group structure from the Aur-P1 seriation results seems straightforward, this is less clear for Aur-P2 where the partition rests on only 9 sites (S1 §</w:t>
      </w:r>
      <w:r>
        <w:t xml:space="preserve">S1.13</w:t>
      </w:r>
      <w:r>
        <w:t xml:space="preserve">).</w:t>
      </w:r>
    </w:p>
    <w:p>
      <w:pPr>
        <w:pStyle w:val="BodyText"/>
      </w:pPr>
      <w:r>
        <w:t xml:space="preserve">To quantitatively evaluate the two-group hypothesis inferred from the seriation analysis, we used bootstrap resampling and stochastic block models, which we describe in detail in S1 §</w:t>
      </w:r>
      <w:r>
        <w:t xml:space="preserve">S1.9.2</w:t>
      </w:r>
      <w:r>
        <w:t xml:space="preserve"> </w:t>
      </w:r>
      <w:r>
        <w:t xml:space="preserve">and §</w:t>
      </w:r>
      <w:r>
        <w:t xml:space="preserve">S1.9.3</w:t>
      </w:r>
      <w:r>
        <w:t xml:space="preserve">. Bootstrap resampling tests the stability of the two groups as an imposed partition. It shows that for Aur-P1, mean within-block co-clustering is 0.75 for the restricted-range block and 0.97 for the broader-range block, against 0.2 across the two blocks. The within-block values substantially exceed the across-block value. This pattern shows that the imposed restricted/broad labels remain stable under object-within-site resampling. It does not test whether two discrete groups exist beyond richness differences. The strength of this signal is much lower for Aur-P2, where the pattern is 0.49 within the restricted block and 0.92 within the broader block, against 0.4 across the blocks. We also reran the Brower–Kile seriation on 999 Curveball matrices, this preserves site richness and sign frequency while randomising associations (S1 §</w:t>
      </w:r>
      <w:r>
        <w:t xml:space="preserve">S1.9.5</w:t>
      </w:r>
      <w:r>
        <w:t xml:space="preserve">). Neither diagonal concentration nor path length exceeded the richness-preserving null in either phase, so the visually compelling diagonal pattern in both phases is not statistically distinguishable from what the fixed-fixed Curveball null generates. These results support interpreting the seriation patterns as a descriptive richness-related trend rather than evidence for a discrete group structure.</w:t>
      </w:r>
    </w:p>
    <w:p>
      <w:pPr>
        <w:pStyle w:val="BodyText"/>
      </w:pPr>
      <w:r>
        <w:t xml:space="preserve">The stochastic block model analysis, which tests whether the proposed groups emerge as latent blocks from the data without being supplied to the model in advance, shows that all three emission models select more than two blocks as optimal in Aur-P1: Bernoulli K = 3 (ICL = -110.1), Gaussian K = 4 (ICL = 73.5), Poisson K = 3 (ICL = -263.3). In each model the restricted/broad split is recovered as the two largest blocks; Bernoulli and Gaussian additionally isolate Labeko Koba, Les Cottés, and Trou al’Wesse as a small third block, while under Poisson the same two broad sites pair off and Grotte du Renne joins the large mixed block (S1 §</w:t>
      </w:r>
      <w:r>
        <w:t xml:space="preserve">S1.9.3</w:t>
      </w:r>
      <w:r>
        <w:t xml:space="preserve">). In Aur-P2 the Bernoulli and Poisson models select a single block and only the Gaussian model selects two blocks, by a marginal 0.9 ICL points. We additionally compared the SBM preference for multiple blocks with a fixed-fixed Curveball null, across 499 null replicates and six phase-by-emission-model tests, no observed ICL improvement over the one-block model remained significant after Benjamini–Hochberg correction (S1 §</w:t>
      </w:r>
      <w:r>
        <w:t xml:space="preserve">S1.9.4</w:t>
      </w:r>
      <w:r>
        <w:t xml:space="preserve">). We therefore consider the restricted/broad division as a dominant axis of sign type composition variation (rich vs. poor sign repertoires), rather than a well-defined two-group partition.</w:t>
      </w:r>
    </w:p>
    <w:tbl>
      <w:tblPr>
        <w:tblStyle w:val="Table"/>
        <w:tblW w:type="pct" w:w="5000"/>
        <w:tblLook w:firstRow="0" w:lastRow="0" w:firstColumn="0" w:lastColumn="0" w:noHBand="0" w:noVBand="0" w:val="0000"/>
        <w:jc w:val="start"/>
        <w:tblLayout w:type="fixed"/>
      </w:tblPr>
      <w:tblGrid>
        <w:gridCol w:w="7920"/>
      </w:tblGrid>
      <w:tr>
        <w:tc>
          <w:tcPr/>
          <w:bookmarkStart w:id="41" w:name="fig-neighbor-net"/>
          <w:p>
            <w:pPr>
              <w:pStyle w:val="Compact"/>
              <w:jc w:val="left"/>
            </w:pPr>
            <w:r>
              <w:drawing>
                <wp:inline>
                  <wp:extent cx="5943600" cy="3566160"/>
                  <wp:effectExtent b="0" l="0" r="0" t="0"/>
                  <wp:docPr descr="" title="" id="39" name="Picture"/>
                  <a:graphic>
                    <a:graphicData uri="http://schemas.openxmlformats.org/drawingml/2006/picture">
                      <pic:pic>
                        <pic:nvPicPr>
                          <pic:cNvPr descr="../figures/network-plot.png" id="40" name="Picture"/>
                          <pic:cNvPicPr>
                            <a:picLocks noChangeArrowheads="1" noChangeAspect="1"/>
                          </pic:cNvPicPr>
                        </pic:nvPicPr>
                        <pic:blipFill>
                          <a:blip r:embed="rId38"/>
                          <a:stretch>
                            <a:fillRect/>
                          </a:stretch>
                        </pic:blipFill>
                        <pic:spPr bwMode="auto">
                          <a:xfrm>
                            <a:off x="0" y="0"/>
                            <a:ext cx="5943600" cy="3566160"/>
                          </a:xfrm>
                          <a:prstGeom prst="rect">
                            <a:avLst/>
                          </a:prstGeom>
                          <a:noFill/>
                          <a:ln w="9525">
                            <a:noFill/>
                            <a:headEnd/>
                            <a:tailEnd/>
                          </a:ln>
                        </pic:spPr>
                      </pic:pic>
                    </a:graphicData>
                  </a:graphic>
                </wp:inline>
              </w:drawing>
            </w:r>
          </w:p>
          <w:p>
            <w:pPr>
              <w:jc w:val="left"/>
            </w:pPr>
            <w:pPr>
              <w:jc w:val="start"/>
              <w:spacing w:before="200"/>
              <w:pStyle w:val="ImageCaption"/>
            </w:pPr>
            <w:r>
              <w:t xml:space="preserve">Figure 3: Networks depicting inter‑site affinity in geometric‑sign repertoires for each phase, derived from the Jaccard similarity of sign presence/absence. Nodes represent sites and edges connect pairs whose Jaccard similarity is ≥0.2 (i.e., the intersection of their sign types is at least 20% of their union). Node size reflects degree centrality, and edge thickness corresponds to similarity strength.</w:t>
            </w:r>
          </w:p>
          <w:bookmarkEnd w:id="41"/>
        </w:tc>
      </w:tr>
    </w:tbl>
    <w:tbl>
      <w:tblPr>
        <w:tblStyle w:val="Table"/>
        <w:tblW w:type="pct" w:w="5000"/>
        <w:tblLook w:firstRow="0" w:lastRow="0" w:firstColumn="0" w:lastColumn="0" w:noHBand="0" w:noVBand="0" w:val="0000"/>
        <w:jc w:val="start"/>
        <w:tblLayout w:type="fixed"/>
      </w:tblPr>
      <w:tblGrid>
        <w:gridCol w:w="7920"/>
      </w:tblGrid>
      <w:tr>
        <w:tc>
          <w:tcPr/>
          <w:bookmarkStart w:id="45" w:name="fig-neighbor-net-stats"/>
          <w:p>
            <w:pPr>
              <w:pStyle w:val="Compact"/>
              <w:jc w:val="left"/>
            </w:pPr>
            <w:r>
              <w:drawing>
                <wp:inline>
                  <wp:extent cx="5943600" cy="4086225"/>
                  <wp:effectExtent b="0" l="0" r="0" t="0"/>
                  <wp:docPr descr="" title="" id="43" name="Picture"/>
                  <a:graphic>
                    <a:graphicData uri="http://schemas.openxmlformats.org/drawingml/2006/picture">
                      <pic:pic>
                        <pic:nvPicPr>
                          <pic:cNvPr descr="../figures/network-stats-plot.png" id="44" name="Picture"/>
                          <pic:cNvPicPr>
                            <a:picLocks noChangeArrowheads="1" noChangeAspect="1"/>
                          </pic:cNvPicPr>
                        </pic:nvPicPr>
                        <pic:blipFill>
                          <a:blip r:embed="rId42"/>
                          <a:stretch>
                            <a:fillRect/>
                          </a:stretch>
                        </pic:blipFill>
                        <pic:spPr bwMode="auto">
                          <a:xfrm>
                            <a:off x="0" y="0"/>
                            <a:ext cx="5943600" cy="4086225"/>
                          </a:xfrm>
                          <a:prstGeom prst="rect">
                            <a:avLst/>
                          </a:prstGeom>
                          <a:noFill/>
                          <a:ln w="9525">
                            <a:noFill/>
                            <a:headEnd/>
                            <a:tailEnd/>
                          </a:ln>
                        </pic:spPr>
                      </pic:pic>
                    </a:graphicData>
                  </a:graphic>
                </wp:inline>
              </w:drawing>
            </w:r>
          </w:p>
          <w:p>
            <w:pPr>
              <w:jc w:val="left"/>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phase-randomized null distribution). The horizontal brackets at the top of each panel show p-values of pairwise randomisation tests for significant differences in network statistics between phases.</w:t>
            </w:r>
          </w:p>
          <w:bookmarkEnd w:id="45"/>
        </w:tc>
      </w:tr>
    </w:tbl>
    <w:p>
      <w:pPr>
        <w:pStyle w:val="BodyText"/>
      </w:pPr>
      <w:r>
        <w:t xml:space="preserve">Distinct groups of sites are not evident in</w:t>
      </w:r>
      <w:r>
        <w:t xml:space="preserve"> </w:t>
      </w:r>
      <w:hyperlink w:anchor="fig-neighbor-net">
        <w:r>
          <w:rPr>
            <w:rStyle w:val="Hyperlink"/>
          </w:rPr>
          <w:t xml:space="preserve">Figure 3</w:t>
        </w:r>
      </w:hyperlink>
      <w:r>
        <w:t xml:space="preserve">, supporting the hypothesis of a gradient of sign type composition variation.</w:t>
      </w:r>
      <w:r>
        <w:t xml:space="preserve"> </w:t>
      </w:r>
      <w:hyperlink w:anchor="fig-neighbor-net-stats">
        <w:r>
          <w:rPr>
            <w:rStyle w:val="Hyperlink"/>
          </w:rPr>
          <w:t xml:space="preserve">Figure 4</w:t>
        </w:r>
      </w:hyperlink>
      <w:r>
        <w:t xml:space="preserve"> </w:t>
      </w:r>
      <w:r>
        <w:t xml:space="preserve">shows the results of permutation tests (n = 10,000) assessing whether the observed statistics differ from a phase-randomized null distribution, and pairwise randomisation tests comparing the two phases. Under phase-label permutation, which shuffles site phase assignments while preserving phase sizes, none of the network statistics, edge density, modularity (Louvain), mean betweenness, or component count, differs significantly from its null distribution in either phase. All observed values fall within the null 95% confidence intervals and all Benjamini–Hochberg-adjusted p-values are ≥ 0.05. A separate assemblage-permutation modularity test (S1 §</w:t>
      </w:r>
      <w:r>
        <w:t xml:space="preserve">S1.7.2</w:t>
      </w:r>
      <w:r>
        <w:t xml:space="preserve">), which permutes site-level sign vectors among phases while preserving phase sizes, shows that Aur-P1’s observed modularity (0.336 at threshold 0.2) significantly exceeds that null expectation (p = 0.000), while Aur-P2’s observed modularity (0.161) does not (p = 0.078), consistent with Aur-P2’s small sample size. The Aur-P1–Aur-P2 contrast is therefore primarily one of network scale rather than a statistically distinguishable community structure. Object-within-site bootstrap stability bands likewise overlap between phases for both mean degree and modularity (S1 §</w:t>
      </w:r>
      <w:r>
        <w:t xml:space="preserve">S1.7.4</w:t>
      </w:r>
      <w:r>
        <w:t xml:space="preserve">), so the phase contrast could be produced by within-site object sampling alone.</w:t>
      </w:r>
    </w:p>
    <w:p>
      <w:pPr>
        <w:pStyle w:val="BodyText"/>
      </w:pPr>
      <w:r>
        <w:t xml:space="preserve">We assessed the sensitivity of our network analysis to site assignment criteria in three ways: (1) reverting to purely date-based assignment; (2) excluding Vogelherd entirely, as a site with an unusually large sign assemblage; (3) excluding figurines concentrated at Vogelherd (S1 §</w:t>
      </w:r>
      <w:r>
        <w:t xml:space="preserve">S1.5.5</w:t>
      </w:r>
      <w:r>
        <w:t xml:space="preserve"> </w:t>
      </w:r>
      <w:r>
        <w:t xml:space="preserve">and §</w:t>
      </w:r>
      <w:r>
        <w:t xml:space="preserve">S1.12.7</w:t>
      </w:r>
      <w:r>
        <w:t xml:space="preserve">).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pattern. Because the principal results are unchanged when Vogelherd is excluded entirely, our conclusions do not depend on its inclusion or on its precise archaeological attribution. That said, this connectivity ordering reflects Aur-P1’s larger site sample, not higher intrinsic connectivity (size-normalized MD ratios are ~1.0 for both phases, see S1 §</w:t>
      </w:r>
      <w:r>
        <w:t xml:space="preserve">S1.7.6</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9" w:name="fig-group-map"/>
          <w:p>
            <w:pPr>
              <w:pStyle w:val="Compact"/>
              <w:jc w:val="left"/>
            </w:pPr>
            <w:r>
              <w:drawing>
                <wp:inline>
                  <wp:extent cx="5943600" cy="4754880"/>
                  <wp:effectExtent b="0" l="0" r="0" t="0"/>
                  <wp:docPr descr="" title="" id="47" name="Picture"/>
                  <a:graphic>
                    <a:graphicData uri="http://schemas.openxmlformats.org/drawingml/2006/picture">
                      <pic:pic>
                        <pic:nvPicPr>
                          <pic:cNvPr descr="paper_files/figure-docx/fig-group-map-1.png" id="48" name="Picture"/>
                          <pic:cNvPicPr>
                            <a:picLocks noChangeArrowheads="1" noChangeAspect="1"/>
                          </pic:cNvPicPr>
                        </pic:nvPicPr>
                        <pic:blipFill>
                          <a:blip r:embed="rId46"/>
                          <a:stretch>
                            <a:fillRect/>
                          </a:stretch>
                        </pic:blipFill>
                        <pic:spPr bwMode="auto">
                          <a:xfrm>
                            <a:off x="0" y="0"/>
                            <a:ext cx="5943600" cy="4754880"/>
                          </a:xfrm>
                          <a:prstGeom prst="rect">
                            <a:avLst/>
                          </a:prstGeom>
                          <a:noFill/>
                          <a:ln w="9525">
                            <a:noFill/>
                            <a:headEnd/>
                            <a:tailEnd/>
                          </a:ln>
                        </pic:spPr>
                      </pic:pic>
                    </a:graphicData>
                  </a:graphic>
                </wp:inline>
              </w:drawing>
            </w:r>
          </w:p>
          <w:p>
            <w:pPr>
              <w:jc w:val="left"/>
            </w:pPr>
            <w:pPr>
              <w:jc w:val="start"/>
              <w:spacing w:before="200"/>
              <w:pStyle w:val="ImageCaption"/>
            </w:pPr>
            <w:r>
              <w:t xml:space="preserve">Figure 5: Geographic distribution of sites with signs in the two Aurignacian phases (Aur-P1, Aur-P2). Sites are colored according to their hypothesized group membership (Restricted-range or Broader range) as inferred from the seriation. The spatial arrangement shows that sites belonging to the same sign-use group are not strictly clustered geographically, consistent with the Mantel test results that did not detect a significant correlation between geographic proximity and geometric sign similarity. Map data from naturalearthdata.com and</w:t>
            </w:r>
            <w:r>
              <w:t xml:space="preserve"> </w:t>
            </w:r>
            <w:r>
              <w:t xml:space="preserve">[27]</w:t>
            </w:r>
          </w:p>
          <w:bookmarkEnd w:id="49"/>
        </w:tc>
      </w:tr>
    </w:tbl>
    <w:p>
      <w:pPr>
        <w:pStyle w:val="BodyText"/>
      </w:pPr>
      <w:r>
        <w:t xml:space="preserve">Spatial clusters of sites are not evident in the sites with signs (</w:t>
      </w:r>
      <w:hyperlink w:anchor="fig-group-map">
        <w:r>
          <w:rPr>
            <w:rStyle w:val="Hyperlink"/>
          </w:rPr>
          <w:t xml:space="preserve">Figure 5</w:t>
        </w:r>
      </w:hyperlink>
      <w:r>
        <w:t xml:space="preserve">), likely due to the small numbers of sites in each phase . In Aur-P1, sites are distributed widely across Western and Central Europe, with some geographical overlapping between the restricted- and broad-range groups, consistent with the connectivity between sign-use groups evident in the network analysis. In Aur-P2, the surviving sites appear more widely dispersed in the map. This appearance reflects the much smaller sample of this phase. It does not support a demographic expansion claim from these data. Partitions Around Medoids on geodesic distances between sites finds two groups as a parsimonious grouping for Aur-P1 only (S1 §</w:t>
      </w:r>
      <w:r>
        <w:t xml:space="preserve">S1.8.4</w:t>
      </w:r>
      <w:r>
        <w:t xml:space="preserve">). These two groups are roughly West versus Central Europe, separating the Dordogne bloc tradition from the Swabian ivory tradition, and likely reflective research effort history rather than past cultural groups with distinctive sign repertoires.</w:t>
      </w:r>
    </w:p>
    <w:bookmarkEnd w:id="50"/>
    <w:bookmarkStart w:id="52" w:name="Xe37851f0b0c22898e5f832a67b7154932fb4d35"/>
    <w:p>
      <w:pPr>
        <w:pStyle w:val="Heading2"/>
      </w:pPr>
      <w:r>
        <w:t xml:space="preserve">Sign Composition Differences Between Groups</w:t>
      </w:r>
    </w:p>
    <w:tbl>
      <w:tblPr>
        <w:tblStyle w:val="Table"/>
        <w:tblW w:type="pct" w:w="5000"/>
        <w:tblLook w:firstRow="0" w:lastRow="0" w:firstColumn="0" w:lastColumn="0" w:noHBand="0" w:noVBand="0" w:val="0000"/>
        <w:jc w:val="start"/>
        <w:tblLayout w:type="fixed"/>
      </w:tblPr>
      <w:tblGrid>
        <w:gridCol w:w="7920"/>
      </w:tblGrid>
      <w:tr>
        <w:tc>
          <w:tcPr/>
          <w:bookmarkStart w:id="51" w:name="tbl-strength-table"/>
          <w:tbl>
            <w:tblPr>
              <w:tblStyle w:val="Table"/>
              <w:tblW w:type="pct" w:w="5000"/>
              <w:tblLook w:firstRow="1" w:lastRow="0" w:firstColumn="0" w:lastColumn="0" w:noHBand="0" w:noVBand="0" w:val="0020"/>
              <w:jc w:val="start"/>
              <w:tblLayout w:type="fixed"/>
            </w:tblPr>
            <w:tblGrid>
              <w:gridCol w:w="2059"/>
              <w:gridCol w:w="1425"/>
              <w:gridCol w:w="1267"/>
              <w:gridCol w:w="1267"/>
              <w:gridCol w:w="1900"/>
            </w:tblGrid>
            <w:tr>
              <w:trPr>
                <w:tblHeader w:val="true"/>
              </w:trPr>
              <w:tc>
                <w:tcPr/>
                <w:p>
                  <w:pPr>
                    <w:pStyle w:val="Compact"/>
                    <w:jc w:val="left"/>
                    <w:jc w:val="left"/>
                  </w:pPr>
                  <w:r>
                    <w:t xml:space="preserve">Aurignacian phase</w:t>
                  </w:r>
                </w:p>
              </w:tc>
              <w:tc>
                <w:tcPr/>
                <w:p>
                  <w:pPr>
                    <w:pStyle w:val="Compact"/>
                    <w:jc w:val="left"/>
                    <w:jc w:val="left"/>
                  </w:pPr>
                  <w:r>
                    <w:t xml:space="preserve">PerMANOVA R2</w:t>
                  </w:r>
                </w:p>
              </w:tc>
              <w:tc>
                <w:tcPr/>
                <w:p>
                  <w:pPr>
                    <w:pStyle w:val="Compact"/>
                    <w:jc w:val="left"/>
                    <w:jc w:val="left"/>
                  </w:pPr>
                  <w:r>
                    <w:t xml:space="preserve">PerMANOVA F</w:t>
                  </w:r>
                </w:p>
              </w:tc>
              <w:tc>
                <w:tcPr/>
                <w:p>
                  <w:pPr>
                    <w:pStyle w:val="Compact"/>
                    <w:jc w:val="left"/>
                    <w:jc w:val="left"/>
                  </w:pPr>
                  <w:r>
                    <w:t xml:space="preserve">PerMANOVA p</w:t>
                  </w:r>
                </w:p>
              </w:tc>
              <w:tc>
                <w:tcPr/>
                <w:p>
                  <w:pPr>
                    <w:pStyle w:val="Compact"/>
                    <w:jc w:val="left"/>
                    <w:jc w:val="left"/>
                  </w:pPr>
                  <w:r>
                    <w:t xml:space="preserve">PerMANOVA R2 95% CI</w:t>
                  </w:r>
                </w:p>
              </w:tc>
            </w:tr>
            <w:tr>
              <w:tc>
                <w:tcPr/>
                <w:p>
                  <w:pPr>
                    <w:pStyle w:val="Compact"/>
                    <w:jc w:val="left"/>
                    <w:jc w:val="left"/>
                  </w:pPr>
                  <w:r>
                    <w:t xml:space="preserve">Aur-P1</w:t>
                  </w:r>
                </w:p>
              </w:tc>
              <w:tc>
                <w:tcPr/>
                <w:p>
                  <w:pPr>
                    <w:pStyle w:val="Compact"/>
                    <w:jc w:val="left"/>
                    <w:jc w:val="left"/>
                  </w:pPr>
                  <w:r>
                    <w:t xml:space="preserve">0.196</w:t>
                  </w:r>
                </w:p>
              </w:tc>
              <w:tc>
                <w:tcPr/>
                <w:p>
                  <w:pPr>
                    <w:pStyle w:val="Compact"/>
                    <w:jc w:val="left"/>
                    <w:jc w:val="left"/>
                  </w:pPr>
                  <w:r>
                    <w:t xml:space="preserve">4.382</w:t>
                  </w:r>
                </w:p>
              </w:tc>
              <w:tc>
                <w:tcPr/>
                <w:p>
                  <w:pPr>
                    <w:pStyle w:val="Compact"/>
                    <w:jc w:val="left"/>
                    <w:jc w:val="left"/>
                  </w:pPr>
                  <w:r>
                    <w:t xml:space="preserve">0.001</w:t>
                  </w:r>
                </w:p>
              </w:tc>
              <w:tc>
                <w:tcPr/>
                <w:p>
                  <w:pPr>
                    <w:pStyle w:val="Compact"/>
                    <w:jc w:val="left"/>
                    <w:jc w:val="left"/>
                  </w:pPr>
                  <w:r>
                    <w:t xml:space="preserve">[0.145, 0.206]</w:t>
                  </w:r>
                </w:p>
              </w:tc>
            </w:tr>
            <w:tr>
              <w:tc>
                <w:tcPr/>
                <w:p>
                  <w:pPr>
                    <w:pStyle w:val="Compact"/>
                    <w:jc w:val="left"/>
                    <w:jc w:val="left"/>
                  </w:pPr>
                  <w:r>
                    <w:t xml:space="preserve">Aur-P2</w:t>
                  </w:r>
                </w:p>
              </w:tc>
              <w:tc>
                <w:tcPr/>
                <w:p>
                  <w:pPr>
                    <w:pStyle w:val="Compact"/>
                    <w:jc w:val="left"/>
                    <w:jc w:val="left"/>
                  </w:pPr>
                  <w:r>
                    <w:t xml:space="preserve">0.223</w:t>
                  </w:r>
                </w:p>
              </w:tc>
              <w:tc>
                <w:tcPr/>
                <w:p>
                  <w:pPr>
                    <w:pStyle w:val="Compact"/>
                    <w:jc w:val="left"/>
                    <w:jc w:val="left"/>
                  </w:pPr>
                  <w:r>
                    <w:t xml:space="preserve">2.008</w:t>
                  </w:r>
                </w:p>
              </w:tc>
              <w:tc>
                <w:tcPr/>
                <w:p>
                  <w:pPr>
                    <w:pStyle w:val="Compact"/>
                    <w:jc w:val="left"/>
                    <w:jc w:val="left"/>
                  </w:pPr>
                  <w:r>
                    <w:t xml:space="preserve">0.076</w:t>
                  </w:r>
                </w:p>
              </w:tc>
              <w:tc>
                <w:tcPr/>
                <w:p>
                  <w:pPr>
                    <w:pStyle w:val="Compact"/>
                    <w:jc w:val="left"/>
                    <w:jc w:val="left"/>
                  </w:pPr>
                  <w:r>
                    <w:t xml:space="preserve">[0.132, 0.229]</w:t>
                  </w:r>
                </w:p>
              </w:tc>
            </w:tr>
          </w:tbl>
          <w:p>
            <w:pPr>
              <w:jc w:val="left"/>
            </w:pPr>
            <w:pPr>
              <w:jc w:val="start"/>
              <w:spacing w:before="200"/>
              <w:pStyle w:val="ImageCaption"/>
            </w:pPr>
            <w:r>
              <w:t xml:space="preserve">Table 3: Table of the results per phase for the perMANOVA. The R² 95% confidence interval comes from an object-within-site bootstrap (B = 1,000). The bootstrap interval measures R² stability under object resampling with fixed labels, they are not a null-hypothesis test</w:t>
            </w:r>
          </w:p>
          <w:bookmarkEnd w:id="51"/>
        </w:tc>
      </w:tr>
    </w:tbl>
    <w:p>
      <w:pPr>
        <w:pStyle w:val="BodyText"/>
      </w:pPr>
      <w:r>
        <w:t xml:space="preserve">Because the restricted/broad labels were defined from the same sign data used in the PerMANOVA, we treat this analysis as exploratory rather than confirmatory. The PerMANOVA showed a nominal difference in Jaccard sign composition between the groups in Aur-P1 and a weaker difference in Aur-P2 (</w:t>
      </w:r>
      <w:hyperlink w:anchor="tbl-strength-table">
        <w:r>
          <w:rPr>
            <w:rStyle w:val="Hyperlink"/>
          </w:rPr>
          <w:t xml:space="preserve">Table 3</w:t>
        </w:r>
      </w:hyperlink>
      <w:r>
        <w:t xml:space="preserve">). However, this separation vanishes under Simpson turnover dissimilarity (which removes the nestedness/richness component), indicating the Jaccard signal comes from the nestedness component—rich versus poor repertoires—rather than by compositional turnover between the groups (S1 §</w:t>
      </w:r>
      <w:r>
        <w:t xml:space="preserve">S1.10.3</w:t>
      </w:r>
      <w:r>
        <w:t xml:space="preserve">). Beta dispersion analysis did not detect a significant difference in within-group dispersion in either phase; this does not establish equal dispersions, so the PerMANOVA results should be interpreted cautiously. Leave-one-out classification indicates that the labels vary smoothly across the Jaccard composition space rather than independently confirming a discrete partition (S1 §</w:t>
      </w:r>
      <w:r>
        <w:t xml:space="preserve">S1.10</w:t>
      </w:r>
      <w:r>
        <w:t xml:space="preserve">), and the fixed-fixed Curveball test does not show that the optimised split exceeds richness-preserving expectations (S1 §</w:t>
      </w:r>
      <w:r>
        <w:t xml:space="preserve">S1.10</w:t>
      </w:r>
      <w:r>
        <w:t xml:space="preserve">). Taken together, these results support the hypothesis of the restricted/broad pattern as a descriptive richness gradient that is strongest for well-sampled sites, and do not support the hypothesis of a discrete two-group structure.</w:t>
      </w:r>
    </w:p>
    <w:bookmarkEnd w:id="52"/>
    <w:bookmarkEnd w:id="53"/>
    <w:bookmarkStart w:id="60" w:name="discussion"/>
    <w:p>
      <w:pPr>
        <w:pStyle w:val="Heading1"/>
      </w:pPr>
      <w:r>
        <w:t xml:space="preserve">Discussion</w:t>
      </w:r>
    </w:p>
    <w:bookmarkStart w:id="58"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initially suggested a hypothesis of two main sign-use groups, with sign type frequency and diversity serving as the major dividing factor. This parallels a richness-driven split found in sites with ornaments by</w:t>
      </w:r>
      <w:r>
        <w:t xml:space="preserve"> </w:t>
      </w:r>
      <w:r>
        <w:t xml:space="preserve">[2]</w:t>
      </w:r>
      <w:r>
        <w:t xml:space="preserve">, whose k-means with silhouette criterion divided those sites into &gt;10 vs ≤10 types regardless of geography, similar to our seriation-inferred divide. However, quantitative investigation of our sign type composition groups indicates the two group contrast is recoverable only as gradual axis rather than a sharp partition. Group size differed between phases: in Aur-P1 the restricted-range group (9 sites) was slightly smaller than the broad-range group (11 sites), whereas in the much smaller Aur-P2 the restricted-range group (6 sites) exceeded the broad-range group (3 sites). The removal of Vogelherd, as a site with an unusually high number of signs, does not change the gradient observation (S1 §</w:t>
      </w:r>
      <w:r>
        <w:t xml:space="preserve">S1.5.5</w:t>
      </w:r>
      <w:r>
        <w:t xml:space="preserve"> </w:t>
      </w:r>
      <w:r>
        <w:t xml:space="preserve">and §</w:t>
      </w:r>
      <w:r>
        <w:t xml:space="preserve">S1.12.7</w:t>
      </w:r>
      <w:r>
        <w:t xml:space="preserve">). Sensitivity checks strengthen this reading from two further angles. Algorithmic partitions of the same data explain at least as much compositional variance as the manual grouping, so the manual contrast understates rather than overstates the structure, while cross-algorithm agreement holds in Aur-P1 and breaks down in the small Aur-P2 sample (S1 §</w:t>
      </w:r>
      <w:r>
        <w:t xml:space="preserve">S1.6.6</w:t>
      </w:r>
      <w:r>
        <w:t xml:space="preserve"> </w:t>
      </w:r>
      <w:r>
        <w:t xml:space="preserve">and §</w:t>
      </w:r>
      <w:r>
        <w:t xml:space="preserve">S1.6.7</w:t>
      </w:r>
      <w:r>
        <w:t xml:space="preserve">). Communities differ mainly in the frequency of the most widespread sign types, with no type exclusive to one community, which favours graded repertoires over discrete provinces (S1 §</w:t>
      </w:r>
      <w:r>
        <w:t xml:space="preserve">S1.11.3</w:t>
      </w:r>
      <w:r>
        <w:t xml:space="preserve">).</w:t>
      </w:r>
    </w:p>
    <w:p>
      <w:pPr>
        <w:pStyle w:val="BodyText"/>
      </w:pPr>
      <w:hyperlink w:anchor="fig-neighbor-net">
        <w:r>
          <w:rPr>
            <w:rStyle w:val="Hyperlink"/>
          </w:rPr>
          <w:t xml:space="preserve">Figure 3</w:t>
        </w:r>
      </w:hyperlink>
      <w:r>
        <w:t xml:space="preserve"> </w:t>
      </w:r>
      <w:r>
        <w:t xml:space="preserve">suggests apparent differences in connectivity between the phases. At first glance, Aur-P1 appears the more edge-rich network with the higher mean degree (7.50) and a hub structure centred on key sites, while Aur-P2 shows fewer edges and a lower mean degree (4.22). However, pairwise permutation tests indicate no significant phase differences in any network statistic (edge density, modularity, mean betweenness, or component count), and size-normalized mean degree ratios are equivalent (~1.0 for both phases; S1 §</w:t>
      </w:r>
      <w:r>
        <w:t xml:space="preserve">S1.7.6</w:t>
      </w:r>
      <w:r>
        <w:t xml:space="preserve">), indicating the Aur-P1–Aur-P2 contrast cannot distinguish a difference in network scale from a difference in connectedness or community structure at these sample sizes (S1 §</w:t>
      </w:r>
      <w:r>
        <w:t xml:space="preserve">S1.13</w:t>
      </w:r>
      <w:r>
        <w:t xml:space="preserve">). An exploratory PerMANOVA returns a nominal separation of the restricted- and broad-range groups in Aur-P1 sign composition (R² = 0.196, p = 0.001) but not in Aur-P2 (R² = 0.223, p = 0.076), consistent with the smaller Aur-P2 sample. That said, our sensitivity analyses show that this result is best taken as a gradual axis of variation (S1 §</w:t>
      </w:r>
      <w:r>
        <w:t xml:space="preserve">S1.10</w:t>
      </w:r>
      <w:r>
        <w:t xml:space="preserve"> </w:t>
      </w:r>
      <w:r>
        <w:t xml:space="preserve">and §</w:t>
      </w:r>
      <w:r>
        <w:t xml:space="preserve">S1.10.3</w:t>
      </w:r>
      <w:r>
        <w:t xml:space="preserve">).</w:t>
      </w:r>
    </w:p>
    <w:p>
      <w:pPr>
        <w:pStyle w:val="BodyText"/>
      </w:pPr>
      <w:r>
        <w:t xml:space="preserve">Sampling effort is a major qualification on interpreting our results: object count and sign-type richness are strongly correlated, and the absence of a detectable association between node degree and richness does not establish that the restricted/broad assignments are independent of sampling effort. Object-level downsampling shows that assignments are retained mainly by the best-sampled sites, whereas small-site assignments often approach chance, demonstrating that the division is, at least in part, a sampling-intensity effect rather than a fully stable cultural partition (S1 §</w:t>
      </w:r>
      <w:r>
        <w:t xml:space="preserve">S1.12.3</w:t>
      </w:r>
      <w:r>
        <w:t xml:space="preserve">). Among the subset of sites that attain comparable coverage (S1 §</w:t>
      </w:r>
      <w:r>
        <w:t xml:space="preserve">S1.12.4</w:t>
      </w:r>
      <w:r>
        <w:t xml:space="preserve">), broad-range sites remain richer in the observed sample. A negative-binomial model with an estimated exponent estimates higher richness for broad-range sites at equal object count (rate ratio = 2.31, p = 0.003; S1 §</w:t>
      </w:r>
      <w:r>
        <w:t xml:space="preserve">S1.12.5</w:t>
      </w:r>
      <w:r>
        <w:t xml:space="preserve">). This estimate is imprecise because the sample is small and group membership is strongly collinear with object count. A negative-binomial model with a fixed exponent of 1 as an offset shows no effect (rate ratio = 0.72, p = 0.292; S1 §</w:t>
      </w:r>
      <w:r>
        <w:t xml:space="preserve">S1.12.5</w:t>
      </w:r>
      <w:r>
        <w:t xml:space="preserve">). The two fits describe sensitivity to the exponent assumption. They do not demonstrate independence from sampling effort. At the phase level, the Jaccard separation is not greater than expected under a fixed-margin null preserving site richness and sign-type frequencies, and no separation remains on Simpson turnover, which removes the nestedness component of Jaccard (S1 §</w:t>
      </w:r>
      <w:r>
        <w:t xml:space="preserve">S1.10.3</w:t>
      </w:r>
      <w:r>
        <w:t xml:space="preserve">). The restricted/broad pattern is therefore best treated as a descriptive richness gradient that is most credible for well-sampled assemblages. Assignments for small assemblages remain provisional. The analyses do not provide strong support for discrete social structures in the sign data.</w:t>
      </w:r>
    </w:p>
    <w:p>
      <w:pPr>
        <w:pStyle w:val="BodyText"/>
      </w:pPr>
      <w:r>
        <w:t xml:space="preserve">This restricted/broader gradient may be influenced by variation in social structure. Variation in hunter-gatherer social structures is well-known from ethnographic and archaeological research</w:t>
      </w:r>
      <w:r>
        <w:t xml:space="preserve"> </w:t>
      </w:r>
      <w:r>
        <w:t xml:space="preserve">[44–51]</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[4,51–62]</w:t>
      </w:r>
      <w:r>
        <w:t xml:space="preserve">. Drawing on this work, we might speculate that the broader/restricted gradient in the geometric sign data may be consistent with variation in social structure. For example, the broader range groups, with a higher variety of signs and visually complex signs, may indicate communities with a greater variety of formalized social roles, whereas the sites with a restricted range of signs may indicate communities with fewer formalized social roles.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be consistent with possible non-utilitarian mobility among these larger communities, among other processes. Previous studies have shown a range of variation in magnitudes and types of mobility among hunter-gatherer groups</w:t>
      </w:r>
      <w:r>
        <w:t xml:space="preserve"> </w:t>
      </w:r>
      <w:r>
        <w:t xml:space="preserve">[49,50,63–65]</w:t>
      </w:r>
      <w:r>
        <w:t xml:space="preserve">. Non-utilitarian mobility establishes regional social networks which facilitate the spread of information and the survival of hunter-gatherers in uncertain environments</w:t>
      </w:r>
      <w:r>
        <w:t xml:space="preserve"> </w:t>
      </w:r>
      <w:r>
        <w:t xml:space="preserve">[66–70]</w:t>
      </w:r>
      <w:r>
        <w:t xml:space="preserve">. The exchange and production of decorative items, such as objects with geometric signs, has been associated with non-utilitarian mobility and recognized as an indicator of social contact</w:t>
      </w:r>
      <w:r>
        <w:t xml:space="preserve"> </w:t>
      </w:r>
      <w:r>
        <w:t xml:space="preserve">[71–74]</w:t>
      </w:r>
      <w:r>
        <w:t xml:space="preserve">.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(S1 §</w:t>
      </w:r>
      <w:r>
        <w:t xml:space="preserve">S1.13</w:t>
      </w:r>
      <w:r>
        <w:t xml:space="preserve"> </w:t>
      </w:r>
      <w:r>
        <w:t xml:space="preserve">and §</w:t>
      </w:r>
      <w:r>
        <w:t xml:space="preserve">S1.4.3</w:t>
      </w:r>
      <w:r>
        <w:t xml:space="preserve">), and bootstrap confidence intervals on the Mantel R show that a moderate geographic correlation could not be excluded at these sample sizes (S1 §</w:t>
      </w:r>
      <w:r>
        <w:t xml:space="preserve">S1.4.3</w:t>
      </w:r>
      <w:r>
        <w:t xml:space="preserve">). A non-significant Mantel result cannot establish any particular social process: it indicates only that isolation-by-distance was not detected. Non-utilitarian mobility thus remains a possible interpretation of the network structure, but it is not specifically demonstrated by this analysis.</w:t>
      </w:r>
    </w:p>
    <w:p>
      <w:pPr>
        <w:pStyle w:val="BodyText"/>
      </w:pPr>
      <w:r>
        <w:t xml:space="preserve">Non-utilitarian mobility can be divided into shorter-term information exchange and longer-term residential movement. One form of longer-term residential movement that may be related to non-utilitarian mobility is aggregation/dispersion patterns, which are a type of hunter-gatherer settlement pattern in which groups both disperse and congregate in large groups, typically for subsistence or social reasons</w:t>
      </w:r>
      <w:r>
        <w:t xml:space="preserve"> </w:t>
      </w:r>
      <w:r>
        <w:t xml:space="preserve">[75]</w:t>
      </w:r>
      <w:r>
        <w:t xml:space="preserve">. Aggregation sites are the places where group fragments or individuals congregate. In the archaeological literature, aggregation sites are often associated with high degrees of social connectivity and identified by indicators including proximity to certain environmental resources and a more diverse artifact assemblage, including, in some cases, decorative objects</w:t>
      </w:r>
      <w:r>
        <w:t xml:space="preserve"> </w:t>
      </w:r>
      <w:r>
        <w:t xml:space="preserve">[2,71,76–82]</w:t>
      </w:r>
      <w:r>
        <w:t xml:space="preserve">. Of these indicators, only assemblage diversity is testable in our data. Notably, our results complicate the association between aggregation and high connectivity: the sites whose diversity lies above the simulated mean (a possible indicator of aggregation)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connectivity in sign repertoires, which we discuss further below.</w:t>
      </w:r>
    </w:p>
    <w:p>
      <w:pPr>
        <w:pStyle w:val="BodyText"/>
      </w:pPr>
      <w:r>
        <w:t xml:space="preserve">One way to potentially identify aggregation sites is by measuring sign diversity. Sites with a higher than expected sign diversity index may be consistent with aggregation. However, a limitation of this approach is that while higher diversity may be consistent with interpretation as an aggregation site,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[83,84]</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highly connected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pattern raises the hypothesis of a distinction between shorter-term information exchange (for example the highly interconnected sites in</w:t>
      </w:r>
      <w:r>
        <w:t xml:space="preserve"> </w:t>
      </w:r>
      <w:hyperlink w:anchor="fig-neighbor-net">
        <w:r>
          <w:rPr>
            <w:rStyle w:val="Hyperlink"/>
          </w:rPr>
          <w:t xml:space="preserve">Figure 3</w:t>
        </w:r>
      </w:hyperlink>
      <w:r>
        <w:t xml:space="preserve">) and longer-term residential movement for aggregation (for example the sites with higher than average diversity in</w:t>
      </w:r>
      <w:r>
        <w:t xml:space="preserve"> </w:t>
      </w:r>
      <w:hyperlink w:anchor="fig-div-plot">
        <w:r>
          <w:rPr>
            <w:rStyle w:val="Hyperlink"/>
          </w:rPr>
          <w:t xml:space="preserve">Figure 6</w:t>
        </w:r>
      </w:hyperlink>
      <w:r>
        <w:t xml:space="preserve">). Testing this hypothesis, sites whose diversity lies above the simulated mean showed a weak non-significant association with network degree after Benjamini-Hochberg correction (ρ = -0.35, p = 0.095). Because this association is not significant, it provides no evidence either way about whether these sites are more or less connected. Object count was weak, non-significantly positively correlated with degree centrality after correction (degree: ρ = 0.35, p = 0.095). The sites’ diversity excess (how much more diverse a site is than the randomised null would predict for its sample size) is distributed significantly differently for the restricted‑range group versus the broad‑range group (Wilcoxon W = 59, p = 0.044), so the diversity-excess measure tracks position on the broad-to-restricted gradient.</w:t>
      </w:r>
    </w:p>
    <w:tbl>
      <w:tblPr>
        <w:tblStyle w:val="Table"/>
        <w:tblW w:type="pct" w:w="5000"/>
        <w:tblLook w:firstRow="0" w:lastRow="0" w:firstColumn="0" w:lastColumn="0" w:noHBand="0" w:noVBand="0" w:val="0000"/>
        <w:jc w:val="start"/>
        <w:tblLayout w:type="fixed"/>
      </w:tblPr>
      <w:tblGrid>
        <w:gridCol w:w="7920"/>
      </w:tblGrid>
      <w:tr>
        <w:tc>
          <w:tcPr/>
          <w:bookmarkStart w:id="57" w:name="fig-div-plot"/>
          <w:p>
            <w:pPr>
              <w:pStyle w:val="Compact"/>
              <w:jc w:val="left"/>
            </w:pPr>
            <w:r>
              <w:drawing>
                <wp:inline>
                  <wp:extent cx="3669832" cy="7339665"/>
                  <wp:effectExtent b="0" l="0" r="0" t="0"/>
                  <wp:docPr descr="" title="" id="55" name="Picture"/>
                  <a:graphic>
                    <a:graphicData uri="http://schemas.openxmlformats.org/drawingml/2006/picture">
                      <pic:pic>
                        <pic:nvPicPr>
                          <pic:cNvPr descr="../figures/diversity-plot.png" id="56" name="Picture"/>
                          <pic:cNvPicPr>
                            <a:picLocks noChangeArrowheads="1" noChangeAspect="1"/>
                          </pic:cNvPicPr>
                        </pic:nvPicPr>
                        <pic:blipFill>
                          <a:blip r:embed="rId54"/>
                          <a:stretch>
                            <a:fillRect/>
                          </a:stretch>
                        </pic:blipFill>
                        <pic:spPr bwMode="auto">
                          <a:xfrm>
                            <a:off x="0" y="0"/>
                            <a:ext cx="3669832" cy="7339665"/>
                          </a:xfrm>
                          <a:prstGeom prst="rect">
                            <a:avLst/>
                          </a:prstGeom>
                          <a:noFill/>
                          <a:ln w="9525">
                            <a:noFill/>
                            <a:headEnd/>
                            <a:tailEnd/>
                          </a:ln>
                        </pic:spPr>
                      </pic:pic>
                    </a:graphicData>
                  </a:graphic>
                </wp:inline>
              </w:drawing>
            </w:r>
          </w:p>
          <w:p>
            <w:pPr>
              <w:jc w:val="left"/>
            </w:pPr>
            <w:pPr>
              <w:jc w:val="start"/>
              <w:spacing w:before="200"/>
              <w:pStyle w:val="ImageCaption"/>
            </w:pPr>
            <w:r>
              <w:t xml:space="preserve">Figure 6: Observed geometric sign diversity at each site compared with expectations derived from randomised assemblages controlling for sample size. The blue expectation curve is the mean simulated diversity index per sample size. The red lines enclose a band that is the 95% confidence interval of the null distribution (no sites exceed this interval). Sites above the blue expectation curve have higher than average diversity, given their sample size. Site names are shown for sites with a sample size of three or more to avoid label overlap. Per-site values for every site are given in S1 §</w:t>
            </w:r>
            <w:r>
              <w:t xml:space="preserve">S1.12.2</w:t>
            </w:r>
            <w:r>
              <w:t xml:space="preserve">.</w:t>
            </w:r>
          </w:p>
          <w:bookmarkEnd w:id="57"/>
        </w:tc>
      </w:tr>
    </w:tbl>
    <w:bookmarkEnd w:id="58"/>
    <w:bookmarkStart w:id="59"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phases do not have detectable differences in size-adjusted network statistics. Raw differences in inter-site connectivity mainly reflect the early Aurignacian (Aur-P1) having more sites.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 This null result reflects limited statistical power at these sample sizes rather than positive evidence that geography is irrelevant, as quantified by bootstrap confidence intervals on the Mantel R (S1 §</w:t>
      </w:r>
      <w:r>
        <w:t xml:space="preserve">S1.4.3</w:t>
      </w:r>
      <w:r>
        <w:t xml:space="preserve"> </w:t>
      </w:r>
      <w:r>
        <w:t xml:space="preserve">and §</w:t>
      </w:r>
      <w:r>
        <w:t xml:space="preserve">S1.13</w:t>
      </w:r>
      <w:r>
        <w:t xml:space="preserve">).</w:t>
      </w:r>
      <w:r>
        <w:t xml:space="preserve"> </w:t>
      </w:r>
      <w:r>
        <w:t xml:space="preserve">[2]</w:t>
      </w:r>
      <w:r>
        <w:t xml:space="preserve"> </w:t>
      </w:r>
      <w:r>
        <w:t xml:space="preserve">report a similar pattern for ornaments, a non-significant, near-zero global Mantel with spatial structure only in correlograms at short lags (≤~300 km). We did not find structure in correlograms at short lags (S1 §</w:t>
      </w:r>
      <w:r>
        <w:t xml:space="preserve">S1.4.3</w:t>
      </w:r>
      <w:r>
        <w:t xml:space="preserve">).</w:t>
      </w:r>
    </w:p>
    <w:p>
      <w:pPr>
        <w:pStyle w:val="BodyText"/>
      </w:pPr>
      <w:r>
        <w:t xml:space="preserve">How do our results align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[85]</w:t>
      </w:r>
      <w:r>
        <w:t xml:space="preserve">. This was followed by rapid expansion from 43.25–41 ka cal BP, with the maximum extent of early Aurignacian (Aur-P1) settlement being reached around 41 ka cal BP (</w:t>
      </w:r>
      <w:r>
        <w:t xml:space="preserve">[21]</w:t>
      </w:r>
      <w:r>
        <w:t xml:space="preserve">). Other studies have also found similar associations in other regions and time periods between increases in quantity and diversity of art, and increases in population density</w:t>
      </w:r>
      <w:r>
        <w:t xml:space="preserve"> </w:t>
      </w:r>
      <w:r>
        <w:t xml:space="preserve">[86–94]</w:t>
      </w:r>
      <w:r>
        <w:t xml:space="preserve">. Although population growth is one condition under which sign systems typically gain a communicative function, our results do not establish a causal link between demographic expansion and the emergence of geometric signs as a group-membership marker in the Aurignacian. Quantitative demographic reconstructions suggest that western and central European Aurignacian populations numbered approximately 1500 individuals</w:t>
      </w:r>
      <w:r>
        <w:t xml:space="preserve"> </w:t>
      </w:r>
      <w:r>
        <w:t xml:space="preserve">[21]</w:t>
      </w:r>
      <w:r>
        <w:t xml:space="preserve">, a relatively small number that may partly explain why our networks remain small and sparsely connected across both phases.</w:t>
      </w:r>
      <w:r>
        <w:t xml:space="preserve"> </w:t>
      </w:r>
      <w:r>
        <w:t xml:space="preserve">[21]</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such as the Dordogne. As a speculative analogy, the Core/Extended framework would place highly connected Dordogne sites in Core Areas and lower-connectivity peripheral sites in periodically visited Extended Areas. The smaller Aur-P2 network would then correspond to more localised interaction under consolidation. These analogies are not tested by our analyses, which detected no significant size-adjusted network differences and no significant geographic signal. That said, the contraction of the geometric sign-type pool from Aur-P1 (26 types) to Aur-P2 (15 types) does not survive sensitivity testing. At equal sampling effort with incidence-frequency rarefaction to 63 objects (all types and shared object types only), the rarefied Aur-P1 pool overlaps the Aur-P2 pool, so the raw difference in the number of sign types is not distinguishable from sampling variation (S1 §</w:t>
      </w:r>
      <w:r>
        <w:t xml:space="preserve">S1.12.6</w:t>
      </w:r>
      <w:r>
        <w:t xml:space="preserve">). Neither the networks or sign diversity patterns can be clearly linked to demographic dynamics with the current sample.</w:t>
      </w:r>
    </w:p>
    <w:p>
      <w:pPr>
        <w:pStyle w:val="BodyText"/>
      </w:pPr>
      <w:r>
        <w:t xml:space="preserve">[22]</w:t>
      </w:r>
      <w:r>
        <w:t xml:space="preserve"> </w:t>
      </w:r>
      <w:r>
        <w:t xml:space="preserve">used eco-cultural niche modeling to show that Heinrich Stadial 4 (HS4) at the very beginning of the Early Aurignacian resulted in an expansion of people into new environmental niches, hypothesised to involve an expansion of social networks both within and between populations. Our finding of no significant changes in networks over time suggests that if</w:t>
      </w:r>
      <w:r>
        <w:t xml:space="preserve"> </w:t>
      </w:r>
      <w:r>
        <w:t xml:space="preserve">[22]</w:t>
      </w:r>
      <w:r>
        <w:t xml:space="preserve">’s model is accurate, we do not see a signal of it in the geometric sign data. Neither phase shows a significant geographic signal (Aur-P1 Mantel R = 0.046, Aur-P2 Mantel R = -0.299). We therefore did not detect sign sharing driven primarily by expansion into new, spatially structured niches in this sample. Similarly,</w:t>
      </w:r>
      <w:r>
        <w:t xml:space="preserve"> </w:t>
      </w:r>
      <w:r>
        <w:t xml:space="preserve">[12]</w:t>
      </w:r>
      <w:r>
        <w:t xml:space="preserve"> </w:t>
      </w:r>
      <w:r>
        <w:t xml:space="preserve">developed a human-existence probability model for the Aurignacian, finding an expanded, more dispersed settlement area for the Evolved/Late Aurignacian, and</w:t>
      </w:r>
      <w:r>
        <w:t xml:space="preserve"> </w:t>
      </w:r>
      <w:r>
        <w:t xml:space="preserve">[85]</w:t>
      </w:r>
      <w:r>
        <w:t xml:space="preserve"> </w:t>
      </w:r>
      <w:r>
        <w:t xml:space="preserve">also identifies increased expansion marking the beginning of the Evolved Aurignacian. In our data the apparent wider spatial spread of the small Aur-P2 sample was not accompanied by stronger sign-type sharing. These patterns of connectivity and geographic structure also have implications for understanding how geometric signs functioned as markers of group identity.</w:t>
      </w:r>
    </w:p>
    <w:p>
      <w:pPr>
        <w:pStyle w:val="BodyText"/>
      </w:pPr>
      <w:r>
        <w:t xml:space="preserve">Although previous work has argued for geometric signs as a form of cultural identification and communication during the Palaeolithic</w:t>
      </w:r>
      <w:r>
        <w:t xml:space="preserve"> </w:t>
      </w:r>
      <w:r>
        <w:t xml:space="preserve">[3]</w:t>
      </w:r>
      <w:r>
        <w:t xml:space="preserve">, our results did not identify geographically distinct groups differentiated by sign repertoire. Geographic distance had little influence on sign distribution in either phase (Aur-P1: R = 0.046; Aur-P2: R = -0.299). Further analysis of sign composition differences across sites grouped by geography alone (Partitioning Around Medoids on geodesic distances, k=2 to 5, with Jaccard dissimilarity and PerMANOVA) found no significant differences across geographic groups (S1 §</w:t>
      </w:r>
      <w:r>
        <w:t xml:space="preserve">S1.8.4</w:t>
      </w:r>
      <w:r>
        <w:t xml:space="preserve">). Thus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readily identifiable geographically distinct cultural groups in the Gravettian, as reported by</w:t>
      </w:r>
      <w:r>
        <w:t xml:space="preserve"> </w:t>
      </w:r>
      <w:r>
        <w:t xml:space="preserve">[3]</w:t>
      </w:r>
      <w:r>
        <w:t xml:space="preserve">. Future work could explore the hypothesis that the distribution found in Aur-P2 (</w:t>
      </w:r>
      <w:hyperlink w:anchor="fig-group-map">
        <w:r>
          <w:rPr>
            <w:rStyle w:val="Hyperlink"/>
          </w:rPr>
          <w:t xml:space="preserve">Figure 5</w:t>
        </w:r>
      </w:hyperlink>
      <w:r>
        <w:t xml:space="preserve">) eventually evolved into the clusters proposed by</w:t>
      </w:r>
      <w:r>
        <w:t xml:space="preserve"> </w:t>
      </w:r>
      <w:r>
        <w:t xml:space="preserve">[3]</w:t>
      </w:r>
      <w:r>
        <w:t xml:space="preserve"> </w:t>
      </w:r>
      <w:r>
        <w:t xml:space="preserve">for the Gravettian period.</w:t>
      </w:r>
    </w:p>
    <w:p>
      <w:pPr>
        <w:pStyle w:val="BodyText"/>
      </w:pPr>
      <w:r>
        <w:t xml:space="preserve">The data used by</w:t>
      </w:r>
      <w:r>
        <w:t xml:space="preserve"> </w:t>
      </w:r>
      <w:r>
        <w:t xml:space="preserve">[6]</w:t>
      </w:r>
      <w:r>
        <w:t xml:space="preserve"> </w:t>
      </w:r>
      <w:r>
        <w:t xml:space="preserve">was also analyzed by</w:t>
      </w:r>
      <w:r>
        <w:t xml:space="preserve"> </w:t>
      </w:r>
      <w:r>
        <w:t xml:space="preserve">[95]</w:t>
      </w:r>
      <w:r>
        <w:t xml:space="preserve">, who used Approximate Bayesian Computation to simulate and compare Aurignacian personal ornament distribution as a result of structured ethnic identity versus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[95]</w:t>
      </w:r>
      <w:r>
        <w:t xml:space="preserve"> </w:t>
      </w:r>
      <w:r>
        <w:t xml:space="preserve">complicate claims by</w:t>
      </w:r>
      <w:r>
        <w:t xml:space="preserve"> </w:t>
      </w:r>
      <w:r>
        <w:t xml:space="preserve">[6]</w:t>
      </w:r>
      <w:r>
        <w:t xml:space="preserve"> </w:t>
      </w:r>
      <w:r>
        <w:t xml:space="preserve">for geographically distinct cultural groups in the Aurignacian. Like our data, it does not establish the absence of geographically structured identity because our analyses are underpowered for that claim (S1 §</w:t>
      </w:r>
      <w:r>
        <w:t xml:space="preserve">S1.4.3</w:t>
      </w:r>
      <w:r>
        <w:t xml:space="preserve">).</w:t>
      </w:r>
    </w:p>
    <w:p>
      <w:pPr>
        <w:pStyle w:val="BodyText"/>
      </w:pPr>
      <w:r>
        <w:t xml:space="preserve">Our results can be interpreted through the lens of cultural transmission theory</w:t>
      </w:r>
      <w:r>
        <w:t xml:space="preserve"> </w:t>
      </w:r>
      <w:r>
        <w:t xml:space="preserve">[96–98]</w:t>
      </w:r>
      <w:r>
        <w:t xml:space="preserve">. Smaller populations are predicted to experience greater drift and reduced capacity to maintain complex cultural repertoires</w:t>
      </w:r>
      <w:r>
        <w:t xml:space="preserve"> </w:t>
      </w:r>
      <w:r>
        <w:t xml:space="preserve">[99]</w:t>
      </w:r>
      <w:r>
        <w:t xml:space="preserve">. We can hypothesize this as the underlying process behind the larger the sign-type pool in the Aur-P1 phase (26 types) compared to the Aur-P2 phase (15 types). However, our equal-effort sensitivity analysis shows the sign-type pool sizes overlap once sample size is standardized (S1 §</w:t>
      </w:r>
      <w:r>
        <w:t xml:space="preserve">S1.12.6</w:t>
      </w:r>
      <w:r>
        <w:t xml:space="preserve">). So the differences are not distinguishable from sampling variation at equal effort, and the hypothesis is not supported with the current data.</w:t>
      </w:r>
    </w:p>
    <w:p>
      <w:pPr>
        <w:pStyle w:val="BodyText"/>
      </w:pPr>
      <w:r>
        <w:t xml:space="preserve">Previous work has argued that network structure also shapes cultural information flow: highly connected networks with high-degree node structures facilitate rapid transmission and reduce drift</w:t>
      </w:r>
      <w:r>
        <w:t xml:space="preserve"> </w:t>
      </w:r>
      <w:r>
        <w:t xml:space="preserve">[100,101]</w:t>
      </w:r>
      <w:r>
        <w:t xml:space="preserve">, while more clustered networks promote localised conformist transmission and differentiation within subgroups</w:t>
      </w:r>
      <w:r>
        <w:t xml:space="preserve"> </w:t>
      </w:r>
      <w:r>
        <w:t xml:space="preserve">[102]</w:t>
      </w:r>
      <w:r>
        <w:t xml:space="preserve">. Our finding of no statistically significant differences in connectivity metrics across the two phases suggests that relative interaction levels remained consistent over time, even as populations consolidated into fewer sites. However the low power of our analysis (S1 §</w:t>
      </w:r>
      <w:r>
        <w:t xml:space="preserve">S1.13</w:t>
      </w:r>
      <w:r>
        <w:t xml:space="preserve">) means this remains a hypothesis. This maintenance of interaction level through demographic consolidation parallels the Iberian Mesolithic, where peninsular-scale ornament networks persisted without topological change from the Early to Late Mesolithic despite population growth and technocomplex replacement</w:t>
      </w:r>
      <w:r>
        <w:t xml:space="preserve"> </w:t>
      </w:r>
      <w:r>
        <w:t xml:space="preserve">[103]</w:t>
      </w:r>
      <w:r>
        <w:t xml:space="preserve">. The lack of significant geographic structure in either phase contradicts simple isolation-by-distance models</w:t>
      </w:r>
      <w:r>
        <w:t xml:space="preserve"> </w:t>
      </w:r>
      <w:r>
        <w:t xml:space="preserve">[99,104]</w:t>
      </w:r>
      <w:r>
        <w:t xml:space="preserve">. Our non-significant Mantel result cannot establish which social process generated the pattern; ritual gatherings or ceremonial exchange remain speculative possibilities. The network structures reported here reflect sign-sharing patterns, not direct evidence of social organisation, and sign types may reflect independent invention or functional constraints rather than social transmission. Our caution matches</w:t>
      </w:r>
      <w:r>
        <w:t xml:space="preserve"> </w:t>
      </w:r>
      <w:r>
        <w:t xml:space="preserve">[105]</w:t>
      </w:r>
      <w:r>
        <w:t xml:space="preserve">, who treats stable bison-horse-ibex centrality in Magdalenian parietal art along the Bay of Biscayas an organisational grammar and refrains from claims about symbolic meaning, narrative content, or cultural meaning.</w:t>
      </w:r>
    </w:p>
    <w:p>
      <w:pPr>
        <w:pStyle w:val="BodyText"/>
      </w:pPr>
      <w:r>
        <w:t xml:space="preserve">The contrast with personal ornaments, such as the decorated ivory pendant from Stajnia Cave</w:t>
      </w:r>
      <w:r>
        <w:t xml:space="preserve"> </w:t>
      </w:r>
      <w:r>
        <w:t xml:space="preserve">[11]</w:t>
      </w:r>
      <w:r>
        <w:t xml:space="preserve">, is informative.</w:t>
      </w:r>
      <w:r>
        <w:t xml:space="preserve"> </w:t>
      </w:r>
      <w:r>
        <w:t xml:space="preserve">[6]</w:t>
      </w:r>
      <w:r>
        <w:t xml:space="preserve"> </w:t>
      </w:r>
      <w:r>
        <w:t xml:space="preserve">identified fourteen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Future work should explore whether these different material classes encode different identity dimensions, for example, ornaments may signal ethnic affiliation, while geometric signs could serve functions such as notation, calendrical recording, or information storage. For example, following</w:t>
      </w:r>
      <w:r>
        <w:t xml:space="preserve"> </w:t>
      </w:r>
      <w:r>
        <w:t xml:space="preserve">[106]</w:t>
      </w:r>
      <w:r>
        <w:t xml:space="preserve">’s proposal that sign sequences have protocuneiform-like information density, suggesting notational function, or</w:t>
      </w:r>
      <w:r>
        <w:t xml:space="preserve"> </w:t>
      </w:r>
      <w:r>
        <w:t xml:space="preserve">[107]</w:t>
      </w:r>
      <w:r>
        <w:t xml:space="preserve">’s claim that some signs record seasonal prey information. However, these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 on their potential future contributions.</w:t>
      </w:r>
    </w:p>
    <w:bookmarkEnd w:id="59"/>
    <w:bookmarkEnd w:id="60"/>
    <w:bookmarkStart w:id="61" w:name="conclusion"/>
    <w:p>
      <w:pPr>
        <w:pStyle w:val="Heading1"/>
      </w:pPr>
      <w:r>
        <w:t xml:space="preserve">Conclusion</w:t>
      </w:r>
    </w:p>
    <w:p>
      <w:pPr>
        <w:pStyle w:val="FirstParagraph"/>
      </w:pPr>
      <w:r>
        <w:t xml:space="preserve">Previous work</w:t>
      </w:r>
      <w:r>
        <w:t xml:space="preserve"> </w:t>
      </w:r>
      <w:r>
        <w:t xml:space="preserve">[3,77,112–115]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[2,70,116–120]</w:t>
      </w:r>
      <w:r>
        <w:t xml:space="preserve">. Our results show that the current sample of geometric signs is not sufficient to detect change over the Aurignacian. What initially appears to be evidence for discrete cultural groups in the geometric-sign record is substantially explained by variation in repertoire richness, and this apparent structure does not survive tests designed to distinguish discrete grouping from richness-driven gradients.</w:t>
      </w:r>
    </w:p>
    <w:p>
      <w:pPr>
        <w:pStyle w:val="BodyText"/>
      </w:pPr>
      <w:r>
        <w:t xml:space="preserve">A restricted/broad repertoire axis is visible in seriation and bootstrap co-clustering, and stochastic block models recover it as the two largest blocks in Aur-P1. The split does not exceed fixed-fixed Curveball expectations in either phase, and the Jaccard separation disappears under Simpson turnover which removes the nestedness component (S1 §</w:t>
      </w:r>
      <w:r>
        <w:t xml:space="preserve">S1.9.5</w:t>
      </w:r>
      <w:r>
        <w:t xml:space="preserve"> </w:t>
      </w:r>
      <w:r>
        <w:t xml:space="preserve">and §</w:t>
      </w:r>
      <w:r>
        <w:t xml:space="preserve">S1.10.3</w:t>
      </w:r>
      <w:r>
        <w:t xml:space="preserve">). The division is therefore a descriptive richness gradient whose independence from object count is not demonstrated for sites with small numbers of signs.</w:t>
      </w:r>
    </w:p>
    <w:p>
      <w:pPr>
        <w:pStyle w:val="BodyText"/>
      </w:pPr>
      <w:r>
        <w:t xml:space="preserve">No significant isolation-by-distance signal is detected in either phase (Mantel R = 0.046, p = 0.301; R = -0.299, p = 0.933). However, bootstrap confidence intervals (S1 §</w:t>
      </w:r>
      <w:r>
        <w:t xml:space="preserve">S1.4.3</w:t>
      </w:r>
      <w:r>
        <w:t xml:space="preserve">) show the tests are underpowered, so these are null results reflecting limited power, not evidence of geographic irrelevance. There is weak evidence for a broad geographic gradient in Aur-P1, but insufficient evidence for discrete geographic clustering analogous to those reported for personal ornaments</w:t>
      </w:r>
      <w:r>
        <w:t xml:space="preserve"> </w:t>
      </w:r>
      <w:r>
        <w:t xml:space="preserve">[3,6]</w:t>
      </w:r>
      <w:r>
        <w:t xml:space="preserve">. Whether the signs encode different identity dimensions or have other functions (notation, calendrical recording, information storage) remains speculative</w:t>
      </w:r>
      <w:r>
        <w:t xml:space="preserve"> </w:t>
      </w:r>
      <w:r>
        <w:t xml:space="preserve">[106–111]</w:t>
      </w:r>
      <w:r>
        <w:t xml:space="preserve">.</w:t>
      </w:r>
    </w:p>
    <w:p>
      <w:pPr>
        <w:pStyle w:val="BodyText"/>
      </w:pPr>
      <w:r>
        <w:t xml:space="preserve">Our study has three limitations. First is the ambiguity of some of the sign types. While</w:t>
      </w:r>
      <w:r>
        <w:t xml:space="preserve"> </w:t>
      </w:r>
      <w:r>
        <w:t xml:space="preserve">[121]</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connectivity in sign repertoires regardless of function, even if it is random copying</w:t>
      </w:r>
      <w:r>
        <w:t xml:space="preserve"> </w:t>
      </w:r>
      <w:r>
        <w:t xml:space="preserve">[122]</w:t>
      </w:r>
      <w:r>
        <w:t xml:space="preserve">, and additionally, greater quantities of included sign types serve to establish stronger connections</w:t>
      </w:r>
      <w:r>
        <w:t xml:space="preserve"> </w:t>
      </w:r>
      <w:r>
        <w:t xml:space="preserve">[123]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second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[65]</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inferring social organisation patterns from the analyses discussed above.</w:t>
      </w:r>
    </w:p>
    <w:p>
      <w:pPr>
        <w:pStyle w:val="BodyText"/>
      </w:pPr>
      <w:r>
        <w:t xml:space="preserve">A third limitation relates to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[125,126]</w:t>
      </w:r>
      <w:r>
        <w:t xml:space="preserve">, La Ferrassie’s Aurignacian begins with the Early Aurignacian directly above the Châtelperronian</w:t>
      </w:r>
      <w:r>
        <w:t xml:space="preserve"> </w:t>
      </w:r>
      <w:r>
        <w:t xml:space="preserve">[127]</w:t>
      </w:r>
      <w:r>
        <w:t xml:space="preserve">, and Mladeč’s massive-base bone points and ~31 ka ¹⁴C BP (~35–36 ka cal BP) dates indicate an Evolved (Aur-P2) attribution</w:t>
      </w:r>
      <w:r>
        <w:t xml:space="preserve"> </w:t>
      </w:r>
      <w:r>
        <w:t xml:space="preserve">[128]</w:t>
      </w:r>
      <w:r>
        <w:t xml:space="preserve">. Additionally, Vogelherd Cave’s stratigraphy is compromised by excavation methodology and post-depositional disturbance, with documented mixing between Aurignacian, Gravettian, and Magdalenian layers</w:t>
      </w:r>
      <w:r>
        <w:t xml:space="preserve"> </w:t>
      </w:r>
      <w:r>
        <w:t xml:space="preserve">[129]</w:t>
      </w:r>
      <w:r>
        <w:t xml:space="preserve">. After exclusions, Aur-P2 rests on only 9 sites and 63 objects, so its two-group structure and network statistics have limited power. Date parsing itself removes assemblages whose reported dates lack uncertainties, including a large assemblage that would otherwise fall late, so the small Aur-P2 sample partly reflects dating-quality filtering rather than only archaeology (S1 §</w:t>
      </w:r>
      <w:r>
        <w:t xml:space="preserve">S1.1</w:t>
      </w:r>
      <w:r>
        <w:t xml:space="preserve">). Alternative calibrations move a few boundary sites between phases without changing the phase ordering (S1 §</w:t>
      </w:r>
      <w:r>
        <w:t xml:space="preserve">S1.5.4</w:t>
      </w:r>
      <w:r>
        <w:t xml:space="preserve">).</w:t>
      </w:r>
    </w:p>
    <w:bookmarkEnd w:id="61"/>
    <w:bookmarkStart w:id="309" w:name="references"/>
    <w:p>
      <w:pPr>
        <w:pStyle w:val="Heading1"/>
      </w:pPr>
      <w:r>
        <w:t xml:space="preserve">References</w:t>
      </w:r>
    </w:p>
    <w:bookmarkStart w:id="308"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2025;20:e0323148.</w:t>
      </w:r>
      <w:r>
        <w:t xml:space="preserve"> </w:t>
      </w:r>
      <w:hyperlink r:id="rId64">
        <w:r>
          <w:rPr>
            <w:rStyle w:val="Hyperlink"/>
          </w:rPr>
          <w:t xml:space="preserve">https://doi.org/10.1371/journal.pone.0323148</w:t>
        </w:r>
      </w:hyperlink>
      <w:r>
        <w:t xml:space="preserve">.</w:t>
      </w:r>
    </w:p>
    <w:bookmarkEnd w:id="65"/>
    <w:bookmarkStart w:id="67"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r>
        <w:t xml:space="preserve"> </w:t>
      </w:r>
      <w:hyperlink r:id="rId66">
        <w:r>
          <w:rPr>
            <w:rStyle w:val="Hyperlink"/>
          </w:rPr>
          <w:t xml:space="preserve">https://doi.org/10.1038/s41562-023-01803-6</w:t>
        </w:r>
      </w:hyperlink>
      <w:r>
        <w:t xml:space="preserve">.</w:t>
      </w:r>
    </w:p>
    <w:bookmarkEnd w:id="67"/>
    <w:bookmarkStart w:id="69"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8">
        <w:r>
          <w:rPr>
            <w:rStyle w:val="Hyperlink"/>
          </w:rPr>
          <w:t xml:space="preserve">https://doi.org/10.1016/j.quaint.2017.01.039</w:t>
        </w:r>
      </w:hyperlink>
      <w:r>
        <w:t xml:space="preserve">.</w:t>
      </w:r>
    </w:p>
    <w:bookmarkEnd w:id="69"/>
    <w:bookmarkStart w:id="71"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70">
        <w:r>
          <w:rPr>
            <w:rStyle w:val="Hyperlink"/>
          </w:rPr>
          <w:t xml:space="preserve">https://doi.org/10.1177/0392192107076870</w:t>
        </w:r>
      </w:hyperlink>
      <w:r>
        <w:t xml:space="preserve">.</w:t>
      </w:r>
    </w:p>
    <w:bookmarkEnd w:id="71"/>
    <w:bookmarkStart w:id="73"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2">
        <w:r>
          <w:rPr>
            <w:rStyle w:val="Hyperlink"/>
          </w:rPr>
          <w:t xml:space="preserve">https://doi.org/10.1016/j.jas.2005.11.017</w:t>
        </w:r>
      </w:hyperlink>
      <w:r>
        <w:t xml:space="preserve">.</w:t>
      </w:r>
    </w:p>
    <w:bookmarkEnd w:id="73"/>
    <w:bookmarkStart w:id="75"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4">
        <w:r>
          <w:rPr>
            <w:rStyle w:val="Hyperlink"/>
          </w:rPr>
          <w:t xml:space="preserve">https://doi.org/10.1016/j.quaint.2017.12.017</w:t>
        </w:r>
      </w:hyperlink>
      <w:r>
        <w:t xml:space="preserve">.</w:t>
      </w:r>
    </w:p>
    <w:bookmarkEnd w:id="75"/>
    <w:bookmarkStart w:id="77"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6">
        <w:r>
          <w:rPr>
            <w:rStyle w:val="Hyperlink"/>
          </w:rPr>
          <w:t xml:space="preserve">https://doi.org/10.1016/j.jas.2015.05.003</w:t>
        </w:r>
      </w:hyperlink>
      <w:r>
        <w:t xml:space="preserve">.</w:t>
      </w:r>
    </w:p>
    <w:bookmarkEnd w:id="77"/>
    <w:bookmarkStart w:id="79"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8">
        <w:r>
          <w:rPr>
            <w:rStyle w:val="Hyperlink"/>
          </w:rPr>
          <w:t xml:space="preserve">https://doi.org/10.1016/j.jas.2012.02.003</w:t>
        </w:r>
      </w:hyperlink>
      <w:r>
        <w:t xml:space="preserve">.</w:t>
      </w:r>
    </w:p>
    <w:bookmarkEnd w:id="79"/>
    <w:bookmarkStart w:id="81"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80">
        <w:r>
          <w:rPr>
            <w:rStyle w:val="Hyperlink"/>
          </w:rPr>
          <w:t xml:space="preserve">https://doi.org/10.1038/s41597-020-00704-x</w:t>
        </w:r>
      </w:hyperlink>
      <w:r>
        <w:t xml:space="preserve">.</w:t>
      </w:r>
    </w:p>
    <w:bookmarkEnd w:id="81"/>
    <w:bookmarkStart w:id="83" w:name="ref-Talamo_2022"/>
    <w:p>
      <w:pPr>
        <w:pStyle w:val="Bibliography"/>
      </w:pPr>
      <w:r>
        <w:t xml:space="preserve">[11]</w:t>
      </w:r>
      <w:r>
        <w:t xml:space="preserve"> </w:t>
      </w:r>
      <w:r>
        <w:t xml:space="preserve">	</w:t>
      </w:r>
      <w:r>
        <w:t xml:space="preserve">Talamo S, Nowaczewska W, Picin A, Vazzana A, Binkowski M, Bosch MD,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2021;11:22078.</w:t>
      </w:r>
      <w:r>
        <w:t xml:space="preserve"> </w:t>
      </w:r>
      <w:hyperlink r:id="rId82">
        <w:r>
          <w:rPr>
            <w:rStyle w:val="Hyperlink"/>
          </w:rPr>
          <w:t xml:space="preserve">https://doi.org/10.1038/s41598-021-01221-6</w:t>
        </w:r>
      </w:hyperlink>
      <w:r>
        <w:t xml:space="preserve">.</w:t>
      </w:r>
    </w:p>
    <w:bookmarkEnd w:id="83"/>
    <w:bookmarkStart w:id="85" w:name="X68cdd7ba62fc5dd3e1e9b497937717305f7b9a0"/>
    <w:p>
      <w:pPr>
        <w:pStyle w:val="Bibliography"/>
      </w:pPr>
      <w:r>
        <w:t xml:space="preserve">[12]</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84">
        <w:r>
          <w:rPr>
            <w:rStyle w:val="Hyperlink"/>
          </w:rPr>
          <w:t xml:space="preserve">https://doi.org/10.1016/j.quascirev.2021.106995</w:t>
        </w:r>
      </w:hyperlink>
      <w:r>
        <w:t xml:space="preserve">.</w:t>
      </w:r>
    </w:p>
    <w:bookmarkEnd w:id="85"/>
    <w:bookmarkStart w:id="87" w:name="ref-doyon2022"/>
    <w:p>
      <w:pPr>
        <w:pStyle w:val="Bibliography"/>
      </w:pPr>
      <w:r>
        <w:t xml:space="preserve">[13]</w:t>
      </w:r>
      <w:r>
        <w:t xml:space="preserve"> </w:t>
      </w:r>
      <w:r>
        <w:t xml:space="preserve">	</w:t>
      </w:r>
      <w:r>
        <w:t xml:space="preserve">Doyon L.</w:t>
      </w:r>
      <w:r>
        <w:t xml:space="preserve"> </w:t>
      </w:r>
      <w:hyperlink r:id="rId86">
        <w:r>
          <w:rPr>
            <w:rStyle w:val="Hyperlink"/>
          </w:rPr>
          <w:t xml:space="preserve">Le paysage socio-symbolique aurignacien : Regards crois</w:t>
        </w:r>
        <w:r>
          <w:rPr>
            <w:rStyle w:val="Hyperlink"/>
          </w:rPr>
          <w:t xml:space="preserve">é</w:t>
        </w:r>
        <w:r>
          <w:rPr>
            <w:rStyle w:val="Hyperlink"/>
          </w:rPr>
          <w:t xml:space="preserve">s entre les parures, les symboles et la morphologie des armatures en mati</w:t>
        </w:r>
        <w:r>
          <w:rPr>
            <w:rStyle w:val="Hyperlink"/>
          </w:rPr>
          <w:t xml:space="preserve">è</w:t>
        </w:r>
        <w:r>
          <w:rPr>
            <w:rStyle w:val="Hyperlink"/>
          </w:rPr>
          <w:t xml:space="preserve">re osseuse</w:t>
        </w:r>
      </w:hyperlink>
      <w:r>
        <w:t xml:space="preserve">. Bulletin Du Mus</w:t>
      </w:r>
      <w:r>
        <w:t xml:space="preserve">é</w:t>
      </w:r>
      <w:r>
        <w:t xml:space="preserve">e d’Anthropologie Pr</w:t>
      </w:r>
      <w:r>
        <w:t xml:space="preserve">é</w:t>
      </w:r>
      <w:r>
        <w:t xml:space="preserve">historique de Monaco 2022.</w:t>
      </w:r>
    </w:p>
    <w:bookmarkEnd w:id="87"/>
    <w:bookmarkStart w:id="89" w:name="ref-Chu_Richter_2020"/>
    <w:p>
      <w:pPr>
        <w:pStyle w:val="Bibliography"/>
      </w:pPr>
      <w:r>
        <w:t xml:space="preserve">[14]</w:t>
      </w:r>
      <w:r>
        <w:t xml:space="preserve"> </w:t>
      </w:r>
      <w:r>
        <w:t xml:space="preserve">	</w:t>
      </w:r>
      <w:r>
        <w:t xml:space="preserve">Chu W, Richter J.</w:t>
      </w:r>
      <w:r>
        <w:t xml:space="preserve"> </w:t>
      </w:r>
      <w:r>
        <w:t xml:space="preserve">Aurignacian</w:t>
      </w:r>
      <w:r>
        <w:t xml:space="preserve"> </w:t>
      </w:r>
      <w:r>
        <w:t xml:space="preserve">cultural unit. In: Smith C, editor. Encyclopedia of global archaeology. 2nd ed., Cham: Springer International Publishing; 2020, p. 1–10.</w:t>
      </w:r>
      <w:r>
        <w:t xml:space="preserve"> </w:t>
      </w:r>
      <w:hyperlink r:id="rId88">
        <w:r>
          <w:rPr>
            <w:rStyle w:val="Hyperlink"/>
          </w:rPr>
          <w:t xml:space="preserve">https://doi.org/10.1007/978-3-319-51726-1_3441-1</w:t>
        </w:r>
      </w:hyperlink>
      <w:r>
        <w:t xml:space="preserve">.</w:t>
      </w:r>
    </w:p>
    <w:bookmarkEnd w:id="89"/>
    <w:bookmarkStart w:id="91" w:name="ref-Dinnis_et_al_2019"/>
    <w:p>
      <w:pPr>
        <w:pStyle w:val="Bibliography"/>
      </w:pPr>
      <w:r>
        <w:t xml:space="preserve">[15]</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90">
        <w:r>
          <w:rPr>
            <w:rStyle w:val="Hyperlink"/>
          </w:rPr>
          <w:t xml:space="preserve">https://doi.org/10.1017/ppr.2019.11</w:t>
        </w:r>
      </w:hyperlink>
      <w:r>
        <w:t xml:space="preserve">.</w:t>
      </w:r>
    </w:p>
    <w:bookmarkEnd w:id="91"/>
    <w:bookmarkStart w:id="93" w:name="ref-falcucci2020breaking"/>
    <w:p>
      <w:pPr>
        <w:pStyle w:val="Bibliography"/>
      </w:pPr>
      <w:r>
        <w:t xml:space="preserve">[16]</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92">
        <w:r>
          <w:rPr>
            <w:rStyle w:val="Hyperlink"/>
          </w:rPr>
          <w:t xml:space="preserve">https://doi.org/10.4436/JASS.98021</w:t>
        </w:r>
      </w:hyperlink>
      <w:r>
        <w:t xml:space="preserve">.</w:t>
      </w:r>
    </w:p>
    <w:bookmarkEnd w:id="93"/>
    <w:bookmarkStart w:id="94" w:name="ref-clark200917"/>
    <w:p>
      <w:pPr>
        <w:pStyle w:val="Bibliography"/>
      </w:pPr>
      <w:r>
        <w:t xml:space="preserve">[17]</w:t>
      </w:r>
      <w:r>
        <w:t xml:space="preserve"> </w:t>
      </w:r>
      <w:r>
        <w:t xml:space="preserve">	</w:t>
      </w:r>
      <w:r>
        <w:t xml:space="preserve">Clark GA, Riel-Salvatore J. What’s in a name? Observations on the compositional integrity of the</w:t>
      </w:r>
      <w:r>
        <w:t xml:space="preserve"> </w:t>
      </w:r>
      <w:r>
        <w:t xml:space="preserve">Aurignacian</w:t>
      </w:r>
      <w:r>
        <w:t xml:space="preserve">. In: Camps M, Szmidt C, editors. The</w:t>
      </w:r>
      <w:r>
        <w:t xml:space="preserve"> </w:t>
      </w:r>
      <w:r>
        <w:t xml:space="preserve">Mediterranean</w:t>
      </w:r>
      <w:r>
        <w:t xml:space="preserve"> </w:t>
      </w:r>
      <w:r>
        <w:t xml:space="preserve">from 50 000 to 25 000</w:t>
      </w:r>
      <w:r>
        <w:t xml:space="preserve"> </w:t>
      </w:r>
      <w:r>
        <w:t xml:space="preserve">BP</w:t>
      </w:r>
      <w:r>
        <w:t xml:space="preserve">: Turning points and new directions, Oxford: Oxbow Books; 2009, p. 323–38.</w:t>
      </w:r>
    </w:p>
    <w:bookmarkEnd w:id="94"/>
    <w:bookmarkStart w:id="96" w:name="ref-zilhao2024data"/>
    <w:p>
      <w:pPr>
        <w:pStyle w:val="Bibliography"/>
      </w:pPr>
      <w:r>
        <w:t xml:space="preserve">[18]</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r>
        <w:t xml:space="preserve"> </w:t>
      </w:r>
      <w:hyperlink r:id="rId95">
        <w:r>
          <w:rPr>
            <w:rStyle w:val="Hyperlink"/>
          </w:rPr>
          <w:t xml:space="preserve">https://doi.org/10.1016/j.qeh.2024.100037</w:t>
        </w:r>
      </w:hyperlink>
      <w:r>
        <w:t xml:space="preserve">.</w:t>
      </w:r>
    </w:p>
    <w:bookmarkEnd w:id="96"/>
    <w:bookmarkStart w:id="97" w:name="ref-bordes2006news"/>
    <w:p>
      <w:pPr>
        <w:pStyle w:val="Bibliography"/>
      </w:pPr>
      <w:r>
        <w:t xml:space="preserve">[19]</w:t>
      </w:r>
      <w:r>
        <w:t xml:space="preserve"> </w:t>
      </w:r>
      <w:r>
        <w:t xml:space="preserve">	</w:t>
      </w:r>
      <w:r>
        <w:t xml:space="preserve">Bordes J-G. News from the</w:t>
      </w:r>
      <w:r>
        <w:t xml:space="preserve"> </w:t>
      </w:r>
      <w:r>
        <w:t xml:space="preserve">West</w:t>
      </w:r>
      <w:r>
        <w:t xml:space="preserve">: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In: Bar-Yosef O, Zilhão J, editors. Towards a definition of the</w:t>
      </w:r>
      <w:r>
        <w:t xml:space="preserve"> </w:t>
      </w:r>
      <w:r>
        <w:t xml:space="preserve">Aurignacian</w:t>
      </w:r>
      <w:r>
        <w:t xml:space="preserve">, vol. 45, Instituto Portugu</w:t>
      </w:r>
      <w:r>
        <w:t xml:space="preserve">ê</w:t>
      </w:r>
      <w:r>
        <w:t xml:space="preserve">s de Arqueologia Lisbon; 2006, p. 147–71.</w:t>
      </w:r>
    </w:p>
    <w:bookmarkEnd w:id="97"/>
    <w:bookmarkStart w:id="99" w:name="ref-canessa2026unpacking"/>
    <w:p>
      <w:pPr>
        <w:pStyle w:val="Bibliography"/>
      </w:pPr>
      <w:r>
        <w:t xml:space="preserve">[20]</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r>
        <w:t xml:space="preserve"> </w:t>
      </w:r>
      <w:hyperlink r:id="rId98">
        <w:r>
          <w:rPr>
            <w:rStyle w:val="Hyperlink"/>
          </w:rPr>
          <w:t xml:space="preserve">https://doi.org/10.1371/journal.pone.0345202</w:t>
        </w:r>
      </w:hyperlink>
      <w:r>
        <w:t xml:space="preserve">.</w:t>
      </w:r>
    </w:p>
    <w:bookmarkEnd w:id="99"/>
    <w:bookmarkStart w:id="101" w:name="ref-Schmidt_Zimmermann_2019"/>
    <w:p>
      <w:pPr>
        <w:pStyle w:val="Bibliography"/>
      </w:pPr>
      <w:r>
        <w:t xml:space="preserve">[21]</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100">
        <w:r>
          <w:rPr>
            <w:rStyle w:val="Hyperlink"/>
          </w:rPr>
          <w:t xml:space="preserve">https://doi.org/10.1371/journal.pone.0211562</w:t>
        </w:r>
      </w:hyperlink>
      <w:r>
        <w:t xml:space="preserve">.</w:t>
      </w:r>
    </w:p>
    <w:bookmarkEnd w:id="101"/>
    <w:bookmarkStart w:id="103" w:name="ref-Banks_dErrico_Zilhao_2013"/>
    <w:p>
      <w:pPr>
        <w:pStyle w:val="Bibliography"/>
      </w:pPr>
      <w:r>
        <w:t xml:space="preserve">[22]</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w:t>
      </w:r>
      <w:r>
        <w:t xml:space="preserve"> </w:t>
      </w:r>
      <w:hyperlink r:id="rId102">
        <w:r>
          <w:rPr>
            <w:rStyle w:val="Hyperlink"/>
          </w:rPr>
          <w:t xml:space="preserve">https://doi.org/10.1016/j.jhevol.2012.10.001</w:t>
        </w:r>
      </w:hyperlink>
      <w:r>
        <w:t xml:space="preserve">.</w:t>
      </w:r>
    </w:p>
    <w:bookmarkEnd w:id="103"/>
    <w:bookmarkStart w:id="105" w:name="ref-Falcucci_Peresani_2017"/>
    <w:p>
      <w:pPr>
        <w:pStyle w:val="Bibliography"/>
      </w:pPr>
      <w:r>
        <w:t xml:space="preserve">[23]</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104">
        <w:r>
          <w:rPr>
            <w:rStyle w:val="Hyperlink"/>
          </w:rPr>
          <w:t xml:space="preserve">https://doi.org/10.1371/journal.pone.0189241</w:t>
        </w:r>
      </w:hyperlink>
      <w:r>
        <w:t xml:space="preserve">.</w:t>
      </w:r>
    </w:p>
    <w:bookmarkEnd w:id="105"/>
    <w:bookmarkStart w:id="107" w:name="ref-Bataille_Conard_2019"/>
    <w:p>
      <w:pPr>
        <w:pStyle w:val="Bibliography"/>
      </w:pPr>
      <w:r>
        <w:t xml:space="preserve">[24]</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106">
        <w:r>
          <w:rPr>
            <w:rStyle w:val="Hyperlink"/>
          </w:rPr>
          <w:t xml:space="preserve">https://doi.org/10.7485/QU65_1</w:t>
        </w:r>
      </w:hyperlink>
      <w:r>
        <w:t xml:space="preserve">.</w:t>
      </w:r>
    </w:p>
    <w:bookmarkEnd w:id="107"/>
    <w:bookmarkStart w:id="109" w:name="ref-Fletcher_Sánchez"/>
    <w:p>
      <w:pPr>
        <w:pStyle w:val="Bibliography"/>
      </w:pPr>
      <w:r>
        <w:t xml:space="preserve">[25]</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08">
        <w:r>
          <w:rPr>
            <w:rStyle w:val="Hyperlink"/>
          </w:rPr>
          <w:t xml:space="preserve">https://doi.org/10.1016/j.quascirev.2009.11.015</w:t>
        </w:r>
      </w:hyperlink>
      <w:r>
        <w:t xml:space="preserve">.</w:t>
      </w:r>
    </w:p>
    <w:bookmarkEnd w:id="109"/>
    <w:bookmarkStart w:id="111" w:name="ref-Pebesma_2018"/>
    <w:p>
      <w:pPr>
        <w:pStyle w:val="Bibliography"/>
      </w:pPr>
      <w:r>
        <w:t xml:space="preserve">[26]</w:t>
      </w:r>
      <w:r>
        <w:t xml:space="preserve"> </w:t>
      </w:r>
      <w:r>
        <w:t xml:space="preserve">	</w:t>
      </w:r>
      <w:r>
        <w:t xml:space="preserve">Pebesma E. Simple features for</w:t>
      </w:r>
      <w:r>
        <w:t xml:space="preserve"> </w:t>
      </w:r>
      <w:r>
        <w:t xml:space="preserve">R</w:t>
      </w:r>
      <w:r>
        <w:t xml:space="preserve">: Standardized support for spatial vector data. The R Journal 2018;10:439–46.</w:t>
      </w:r>
      <w:r>
        <w:t xml:space="preserve"> </w:t>
      </w:r>
      <w:hyperlink r:id="rId110">
        <w:r>
          <w:rPr>
            <w:rStyle w:val="Hyperlink"/>
          </w:rPr>
          <w:t xml:space="preserve">https://doi.org/10.32614/rj-2018-009</w:t>
        </w:r>
      </w:hyperlink>
      <w:r>
        <w:t xml:space="preserve">.</w:t>
      </w:r>
    </w:p>
    <w:bookmarkEnd w:id="111"/>
    <w:bookmarkStart w:id="113" w:name="ref-rnaturalearth"/>
    <w:p>
      <w:pPr>
        <w:pStyle w:val="Bibliography"/>
      </w:pPr>
      <w:r>
        <w:t xml:space="preserve">[27]</w:t>
      </w:r>
      <w:r>
        <w:t xml:space="preserve"> </w:t>
      </w:r>
      <w:r>
        <w:t xml:space="preserve">	</w:t>
      </w:r>
      <w:r>
        <w:t xml:space="preserve">Massicotte P, South A. Rnaturalearth: World map data from</w:t>
      </w:r>
      <w:r>
        <w:t xml:space="preserve"> </w:t>
      </w:r>
      <w:r>
        <w:t xml:space="preserve">Natural Earth</w:t>
      </w:r>
      <w:r>
        <w:t xml:space="preserve">. 2026.</w:t>
      </w:r>
      <w:r>
        <w:t xml:space="preserve"> </w:t>
      </w:r>
      <w:hyperlink r:id="rId112">
        <w:r>
          <w:rPr>
            <w:rStyle w:val="Hyperlink"/>
          </w:rPr>
          <w:t xml:space="preserve">https://doi.org/10.32614/CRAN.package.rnaturalearth</w:t>
        </w:r>
      </w:hyperlink>
      <w:r>
        <w:t xml:space="preserve">.</w:t>
      </w:r>
    </w:p>
    <w:bookmarkEnd w:id="113"/>
    <w:bookmarkStart w:id="115" w:name="ref-Crema_Bevan_2021"/>
    <w:p>
      <w:pPr>
        <w:pStyle w:val="Bibliography"/>
      </w:pPr>
      <w:r>
        <w:t xml:space="preserve">[28]</w:t>
      </w:r>
      <w:r>
        <w:t xml:space="preserve"> </w:t>
      </w:r>
      <w:r>
        <w:t xml:space="preserve">	</w:t>
      </w:r>
      <w:r>
        <w:t xml:space="preserve">Crema ER, Bevan A. Inference from large sets of radiocarbon dates: Software and methods. Radiocarbon 2021;63:23–39.</w:t>
      </w:r>
      <w:r>
        <w:t xml:space="preserve"> </w:t>
      </w:r>
      <w:hyperlink r:id="rId114">
        <w:r>
          <w:rPr>
            <w:rStyle w:val="Hyperlink"/>
          </w:rPr>
          <w:t xml:space="preserve">https://doi.org/10.1017/RDC.2020.95</w:t>
        </w:r>
      </w:hyperlink>
      <w:r>
        <w:t xml:space="preserve">.</w:t>
      </w:r>
    </w:p>
    <w:bookmarkEnd w:id="115"/>
    <w:bookmarkStart w:id="117" w:name="ref-Lycett_2019"/>
    <w:p>
      <w:pPr>
        <w:pStyle w:val="Bibliography"/>
      </w:pPr>
      <w:r>
        <w:t xml:space="preserve">[29]</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16">
        <w:r>
          <w:rPr>
            <w:rStyle w:val="Hyperlink"/>
          </w:rPr>
          <w:t xml:space="preserve">https://doi.org/10.1007/s12520-018-0742-3</w:t>
        </w:r>
      </w:hyperlink>
      <w:r>
        <w:t xml:space="preserve">.</w:t>
      </w:r>
    </w:p>
    <w:bookmarkEnd w:id="117"/>
    <w:bookmarkStart w:id="119" w:name="ref-Mantel_Smouse"/>
    <w:p>
      <w:pPr>
        <w:pStyle w:val="Bibliography"/>
      </w:pPr>
      <w:r>
        <w:t xml:space="preserve">[30]</w:t>
      </w:r>
      <w:r>
        <w:t xml:space="preserve"> </w:t>
      </w:r>
      <w:r>
        <w:t xml:space="preserve">	</w:t>
      </w:r>
      <w:r>
        <w:t xml:space="preserve">Smouse PE, Long JC. Matrix correlation analysis in anthropology and genetics. American Journal of Physical Anthropology 1992;35:187–213.</w:t>
      </w:r>
      <w:r>
        <w:t xml:space="preserve"> </w:t>
      </w:r>
      <w:hyperlink r:id="rId118">
        <w:r>
          <w:rPr>
            <w:rStyle w:val="Hyperlink"/>
          </w:rPr>
          <w:t xml:space="preserve">https://doi.org/10.1002/ajpa.1330350608</w:t>
        </w:r>
      </w:hyperlink>
      <w:r>
        <w:t xml:space="preserve">.</w:t>
      </w:r>
    </w:p>
    <w:bookmarkEnd w:id="119"/>
    <w:bookmarkStart w:id="121" w:name="ref-Vegan2001"/>
    <w:p>
      <w:pPr>
        <w:pStyle w:val="Bibliography"/>
      </w:pPr>
      <w:r>
        <w:t xml:space="preserve">[31]</w:t>
      </w:r>
      <w:r>
        <w:t xml:space="preserve"> </w:t>
      </w:r>
      <w:r>
        <w:t xml:space="preserve">	</w:t>
      </w:r>
      <w:r>
        <w:t xml:space="preserve">Oksanen J, Simpson GL, Blanchet FG, Kindt R, Legendre P, Minchin PR, et al. Vegan: Community ecology package 2022.</w:t>
      </w:r>
      <w:r>
        <w:t xml:space="preserve"> </w:t>
      </w:r>
      <w:hyperlink r:id="rId120">
        <w:r>
          <w:rPr>
            <w:rStyle w:val="Hyperlink"/>
          </w:rPr>
          <w:t xml:space="preserve">https://doi.org/10.32614/CRAN.package.vegan</w:t>
        </w:r>
      </w:hyperlink>
      <w:r>
        <w:t xml:space="preserve">.</w:t>
      </w:r>
    </w:p>
    <w:bookmarkEnd w:id="121"/>
    <w:bookmarkStart w:id="123" w:name="ref-Rigaud_dErrico_Vanhaeren_2015"/>
    <w:p>
      <w:pPr>
        <w:pStyle w:val="Bibliography"/>
      </w:pPr>
      <w:r>
        <w:t xml:space="preserve">[32]</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2">
        <w:r>
          <w:rPr>
            <w:rStyle w:val="Hyperlink"/>
          </w:rPr>
          <w:t xml:space="preserve">https://doi.org/10.1371/journal.pone.0121166</w:t>
        </w:r>
      </w:hyperlink>
      <w:r>
        <w:t xml:space="preserve">.</w:t>
      </w:r>
    </w:p>
    <w:bookmarkEnd w:id="123"/>
    <w:bookmarkStart w:id="125" w:name="ref-Legendre_Anderson_1999"/>
    <w:p>
      <w:pPr>
        <w:pStyle w:val="Bibliography"/>
      </w:pPr>
      <w:r>
        <w:t xml:space="preserve">[33]</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124">
        <w:r>
          <w:rPr>
            <w:rStyle w:val="Hyperlink"/>
          </w:rPr>
          <w:t xml:space="preserve">https://doi.org/10.1890/0012-9615(1999)069[0001:DBRATM]2.0.CO;2</w:t>
        </w:r>
      </w:hyperlink>
      <w:r>
        <w:t xml:space="preserve">.</w:t>
      </w:r>
    </w:p>
    <w:bookmarkEnd w:id="125"/>
    <w:bookmarkStart w:id="127" w:name="ref-seriation_pckge"/>
    <w:p>
      <w:pPr>
        <w:pStyle w:val="Bibliography"/>
      </w:pPr>
      <w:r>
        <w:t xml:space="preserve">[34]</w:t>
      </w:r>
      <w:r>
        <w:t xml:space="preserve"> </w:t>
      </w:r>
      <w:r>
        <w:t xml:space="preserve">	</w:t>
      </w:r>
      <w:r>
        <w:t xml:space="preserve">Hahsler M, Hornik K, Buchta C. Getting things in order: An introduction to the</w:t>
      </w:r>
      <w:r>
        <w:t xml:space="preserve"> </w:t>
      </w:r>
      <w:r>
        <w:t xml:space="preserve">R</w:t>
      </w:r>
      <w:r>
        <w:t xml:space="preserve"> </w:t>
      </w:r>
      <w:r>
        <w:t xml:space="preserve">package seriation. Journal of Statistical Software 2008;25:1–34.</w:t>
      </w:r>
      <w:r>
        <w:t xml:space="preserve"> </w:t>
      </w:r>
      <w:hyperlink r:id="rId126">
        <w:r>
          <w:rPr>
            <w:rStyle w:val="Hyperlink"/>
          </w:rPr>
          <w:t xml:space="preserve">https://doi.org/10.18637/jss.v025.i03</w:t>
        </w:r>
      </w:hyperlink>
      <w:r>
        <w:t xml:space="preserve">.</w:t>
      </w:r>
    </w:p>
    <w:bookmarkEnd w:id="127"/>
    <w:bookmarkStart w:id="129" w:name="ref-Brower_Kile_1988"/>
    <w:p>
      <w:pPr>
        <w:pStyle w:val="Bibliography"/>
      </w:pPr>
      <w:r>
        <w:t xml:space="preserve">[35]</w:t>
      </w:r>
      <w:r>
        <w:t xml:space="preserve"> </w:t>
      </w:r>
      <w:r>
        <w:t xml:space="preserve">	</w:t>
      </w:r>
      <w:r>
        <w:t xml:space="preserve">Brower JC, Kile KM. Seriation of an original data matrix as applied to paleoecology. Lethaia 1988;21:79–93.</w:t>
      </w:r>
      <w:r>
        <w:t xml:space="preserve"> </w:t>
      </w:r>
      <w:hyperlink r:id="rId128">
        <w:r>
          <w:rPr>
            <w:rStyle w:val="Hyperlink"/>
          </w:rPr>
          <w:t xml:space="preserve">https://doi.org/10.1111/j.1502-3931.1988.tb01756.x</w:t>
        </w:r>
      </w:hyperlink>
      <w:r>
        <w:t xml:space="preserve">.</w:t>
      </w:r>
    </w:p>
    <w:bookmarkEnd w:id="129"/>
    <w:bookmarkStart w:id="131" w:name="ref-Mills_2017"/>
    <w:p>
      <w:pPr>
        <w:pStyle w:val="Bibliography"/>
      </w:pPr>
      <w:r>
        <w:t xml:space="preserve">[36]</w:t>
      </w:r>
      <w:r>
        <w:t xml:space="preserve"> </w:t>
      </w:r>
      <w:r>
        <w:t xml:space="preserve">	</w:t>
      </w:r>
      <w:r>
        <w:t xml:space="preserve">Mills BJ. Social network analysis in archaeology. Annual Review of Anthropology 2017;46:379–97.</w:t>
      </w:r>
      <w:r>
        <w:t xml:space="preserve"> </w:t>
      </w:r>
      <w:hyperlink r:id="rId130">
        <w:r>
          <w:rPr>
            <w:rStyle w:val="Hyperlink"/>
          </w:rPr>
          <w:t xml:space="preserve">https://doi.org/10.1146/annurev-anthro-102116-041423</w:t>
        </w:r>
      </w:hyperlink>
      <w:r>
        <w:t xml:space="preserve">.</w:t>
      </w:r>
    </w:p>
    <w:bookmarkEnd w:id="131"/>
    <w:bookmarkStart w:id="133" w:name="ref-Fruchterman_Reingold_1991"/>
    <w:p>
      <w:pPr>
        <w:pStyle w:val="Bibliography"/>
      </w:pPr>
      <w:r>
        <w:t xml:space="preserve">[37]</w:t>
      </w:r>
      <w:r>
        <w:t xml:space="preserve"> </w:t>
      </w:r>
      <w:r>
        <w:t xml:space="preserve">	</w:t>
      </w:r>
      <w:r>
        <w:t xml:space="preserve">Fruchterman TMJ, Reingold EM. Graph drawing by force-directed placement. Software: Practice and Experience 1991;21:1129–64.</w:t>
      </w:r>
      <w:r>
        <w:t xml:space="preserve"> </w:t>
      </w:r>
      <w:hyperlink r:id="rId132">
        <w:r>
          <w:rPr>
            <w:rStyle w:val="Hyperlink"/>
          </w:rPr>
          <w:t xml:space="preserve">https://doi.org/10.1002/spe.4380211102</w:t>
        </w:r>
      </w:hyperlink>
      <w:r>
        <w:t xml:space="preserve">.</w:t>
      </w:r>
    </w:p>
    <w:bookmarkEnd w:id="133"/>
    <w:bookmarkStart w:id="135" w:name="ref-statnet_package"/>
    <w:p>
      <w:pPr>
        <w:pStyle w:val="Bibliography"/>
      </w:pPr>
      <w:r>
        <w:t xml:space="preserve">[38]</w:t>
      </w:r>
      <w:r>
        <w:t xml:space="preserve"> </w:t>
      </w:r>
      <w:r>
        <w:t xml:space="preserve">	</w:t>
      </w:r>
      <w:r>
        <w:t xml:space="preserve">Handcock MS, Hunter DR, Butts CT, Goodreau SM, Krivitsky PN, Bender-deMoll S, et al. Statnet: Software tools for the statistical analysis of network data 2019.</w:t>
      </w:r>
      <w:r>
        <w:t xml:space="preserve"> </w:t>
      </w:r>
      <w:hyperlink r:id="rId134">
        <w:r>
          <w:rPr>
            <w:rStyle w:val="Hyperlink"/>
          </w:rPr>
          <w:t xml:space="preserve">https://doi.org/10.32614/CRAN.package.statnet</w:t>
        </w:r>
      </w:hyperlink>
      <w:r>
        <w:t xml:space="preserve">.</w:t>
      </w:r>
    </w:p>
    <w:bookmarkEnd w:id="135"/>
    <w:bookmarkStart w:id="137" w:name="ref-igraph_package"/>
    <w:p>
      <w:pPr>
        <w:pStyle w:val="Bibliography"/>
      </w:pPr>
      <w:r>
        <w:t xml:space="preserve">[39]</w:t>
      </w:r>
      <w:r>
        <w:t xml:space="preserve"> </w:t>
      </w:r>
      <w:r>
        <w:t xml:space="preserve">	</w:t>
      </w:r>
      <w:r>
        <w:t xml:space="preserve">Csardi G, Nepusz T.</w:t>
      </w:r>
      <w:r>
        <w:t xml:space="preserve"> </w:t>
      </w:r>
      <w:hyperlink r:id="rId136">
        <w:r>
          <w:rPr>
            <w:rStyle w:val="Hyperlink"/>
          </w:rPr>
          <w:t xml:space="preserve">The igraph software package for complex network research</w:t>
        </w:r>
      </w:hyperlink>
      <w:r>
        <w:t xml:space="preserve">. InterJournal 2006;Complex Systems:1695.</w:t>
      </w:r>
    </w:p>
    <w:bookmarkEnd w:id="137"/>
    <w:bookmarkStart w:id="139" w:name="ref-Anderson_2017"/>
    <w:p>
      <w:pPr>
        <w:pStyle w:val="Bibliography"/>
      </w:pPr>
      <w:r>
        <w:t xml:space="preserve">[40]</w:t>
      </w:r>
      <w:r>
        <w:t xml:space="preserve"> </w:t>
      </w:r>
      <w:r>
        <w:t xml:space="preserve">	</w:t>
      </w:r>
      <w:r>
        <w:t xml:space="preserve">Anderson MJ. Permutational multivariate analysis of variance (</w:t>
      </w:r>
      <w:r>
        <w:t xml:space="preserve">PERMANOVA</w:t>
      </w:r>
      <w:r>
        <w:t xml:space="preserve">). Wiley StatsRef: Statistics reference online, John Wiley &amp; Sons, Ltd; 2017, p. 1–15.</w:t>
      </w:r>
      <w:r>
        <w:t xml:space="preserve"> </w:t>
      </w:r>
      <w:hyperlink r:id="rId138">
        <w:r>
          <w:rPr>
            <w:rStyle w:val="Hyperlink"/>
          </w:rPr>
          <w:t xml:space="preserve">https://doi.org/10.1002/9781118445112.stat07841</w:t>
        </w:r>
      </w:hyperlink>
      <w:r>
        <w:t xml:space="preserve">.</w:t>
      </w:r>
    </w:p>
    <w:bookmarkEnd w:id="139"/>
    <w:bookmarkStart w:id="141" w:name="ref-Shennan_Crema_Kerig_2015"/>
    <w:p>
      <w:pPr>
        <w:pStyle w:val="Bibliography"/>
      </w:pPr>
      <w:r>
        <w:t xml:space="preserve">[41]</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0">
        <w:r>
          <w:rPr>
            <w:rStyle w:val="Hyperlink"/>
          </w:rPr>
          <w:t xml:space="preserve">https://doi.org/10.1016/j.evolhumbehav.2014.09.006</w:t>
        </w:r>
      </w:hyperlink>
      <w:r>
        <w:t xml:space="preserve">.</w:t>
      </w:r>
    </w:p>
    <w:bookmarkEnd w:id="141"/>
    <w:bookmarkStart w:id="143" w:name="ref-Marwick2017"/>
    <w:p>
      <w:pPr>
        <w:pStyle w:val="Bibliography"/>
      </w:pPr>
      <w:r>
        <w:t xml:space="preserve">[42]</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142">
        <w:r>
          <w:rPr>
            <w:rStyle w:val="Hyperlink"/>
          </w:rPr>
          <w:t xml:space="preserve">https://doi.org/10.1007/s10816-015-9272-9</w:t>
        </w:r>
      </w:hyperlink>
      <w:r>
        <w:t xml:space="preserve">.</w:t>
      </w:r>
    </w:p>
    <w:bookmarkEnd w:id="143"/>
    <w:bookmarkStart w:id="145" w:name="ref-Marwick_2025"/>
    <w:p>
      <w:pPr>
        <w:pStyle w:val="Bibliography"/>
      </w:pPr>
      <w:r>
        <w:t xml:space="preserve">[43]</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144">
        <w:r>
          <w:rPr>
            <w:rStyle w:val="Hyperlink"/>
          </w:rPr>
          <w:t xml:space="preserve">https://doi.org/10.1016/j.jas.2025.106281</w:t>
        </w:r>
      </w:hyperlink>
      <w:r>
        <w:t xml:space="preserve">.</w:t>
      </w:r>
    </w:p>
    <w:bookmarkEnd w:id="145"/>
    <w:bookmarkStart w:id="147" w:name="ref-Finlayson_Warren_2017"/>
    <w:p>
      <w:pPr>
        <w:pStyle w:val="Bibliography"/>
      </w:pPr>
      <w:r>
        <w:t xml:space="preserve">[44]</w:t>
      </w:r>
      <w:r>
        <w:t xml:space="preserve"> </w:t>
      </w:r>
      <w:r>
        <w:t xml:space="preserve">	</w:t>
      </w:r>
      <w:r>
        <w:t xml:space="preserve">Finlayson B, Warren G.</w:t>
      </w:r>
      <w:r>
        <w:t xml:space="preserve"> </w:t>
      </w:r>
      <w:hyperlink r:id="rId146">
        <w:r>
          <w:rPr>
            <w:rStyle w:val="Hyperlink"/>
          </w:rPr>
          <w:t xml:space="preserve">The diversity of hunter-gatherer pasts: An introduction</w:t>
        </w:r>
      </w:hyperlink>
      <w:r>
        <w:t xml:space="preserve">. In: Finlayson B, Warren G, editors. The diversity of hunter gatherer pasts. 1st ed., Oxbow Books; 2017, p. 1–14.</w:t>
      </w:r>
    </w:p>
    <w:bookmarkEnd w:id="147"/>
    <w:bookmarkStart w:id="149" w:name="ref-Riches_1995"/>
    <w:p>
      <w:pPr>
        <w:pStyle w:val="Bibliography"/>
      </w:pPr>
      <w:r>
        <w:t xml:space="preserve">[45]</w:t>
      </w:r>
      <w:r>
        <w:t xml:space="preserve"> </w:t>
      </w:r>
      <w:r>
        <w:t xml:space="preserve">	</w:t>
      </w:r>
      <w:r>
        <w:t xml:space="preserve">Riches D. Hunter-gatherer structural transformations. The Journal of the Royal Anthropological Institute 1995;1:679–701.</w:t>
      </w:r>
      <w:r>
        <w:t xml:space="preserve"> </w:t>
      </w:r>
      <w:hyperlink r:id="rId148">
        <w:r>
          <w:rPr>
            <w:rStyle w:val="Hyperlink"/>
          </w:rPr>
          <w:t xml:space="preserve">https://doi.org/10.2307/3034956</w:t>
        </w:r>
      </w:hyperlink>
      <w:r>
        <w:t xml:space="preserve">.</w:t>
      </w:r>
    </w:p>
    <w:bookmarkEnd w:id="149"/>
    <w:bookmarkStart w:id="151" w:name="ref-Price_Brown_1985"/>
    <w:p>
      <w:pPr>
        <w:pStyle w:val="Bibliography"/>
      </w:pPr>
      <w:r>
        <w:t xml:space="preserve">[46]</w:t>
      </w:r>
      <w:r>
        <w:t xml:space="preserve"> </w:t>
      </w:r>
      <w:r>
        <w:t xml:space="preserve">	</w:t>
      </w:r>
      <w:r>
        <w:t xml:space="preserve">Price TD, Brown JA. Aspects of hunter–gatherer complexity. In: Price TD, Brown JA, editors. Prehistoric hunters-gatherers, Academic Press; 1985, p. 3–20.</w:t>
      </w:r>
      <w:r>
        <w:t xml:space="preserve"> </w:t>
      </w:r>
      <w:hyperlink r:id="rId150">
        <w:r>
          <w:rPr>
            <w:rStyle w:val="Hyperlink"/>
          </w:rPr>
          <w:t xml:space="preserve">https://doi.org/10.1016/B978-0-12-564750-2.50006-8</w:t>
        </w:r>
      </w:hyperlink>
      <w:r>
        <w:t xml:space="preserve">.</w:t>
      </w:r>
    </w:p>
    <w:bookmarkEnd w:id="151"/>
    <w:bookmarkStart w:id="153" w:name="ref-Lane_2017"/>
    <w:p>
      <w:pPr>
        <w:pStyle w:val="Bibliography"/>
      </w:pPr>
      <w:r>
        <w:t xml:space="preserve">[47]</w:t>
      </w:r>
      <w:r>
        <w:t xml:space="preserve"> </w:t>
      </w:r>
      <w:r>
        <w:t xml:space="preserve">	</w:t>
      </w:r>
      <w:r>
        <w:t xml:space="preserve">Lane PJ.</w:t>
      </w:r>
      <w:r>
        <w:t xml:space="preserve"> </w:t>
      </w:r>
      <w:hyperlink r:id="rId152">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3"/>
    <w:bookmarkStart w:id="154" w:name="ref-Pate_2006"/>
    <w:p>
      <w:pPr>
        <w:pStyle w:val="Bibliography"/>
      </w:pPr>
      <w:r>
        <w:t xml:space="preserve">[48]</w:t>
      </w:r>
      <w:r>
        <w:t xml:space="preserve"> </w:t>
      </w:r>
      <w:r>
        <w:t xml:space="preserve">	</w:t>
      </w:r>
      <w:r>
        <w:t xml:space="preserve">Pate F. Hunter-gatherer social complexity at</w:t>
      </w:r>
      <w:r>
        <w:t xml:space="preserve"> </w:t>
      </w:r>
      <w:r>
        <w:t xml:space="preserve">Roonka Flat</w:t>
      </w:r>
      <w:r>
        <w:t xml:space="preserve">,</w:t>
      </w:r>
      <w:r>
        <w:t xml:space="preserve"> </w:t>
      </w:r>
      <w:r>
        <w:t xml:space="preserve">South Australia</w:t>
      </w:r>
      <w:r>
        <w:t xml:space="preserve">. In: David B, Barker B, McNiven IJ, editors. The social archaeology of</w:t>
      </w:r>
      <w:r>
        <w:t xml:space="preserve"> </w:t>
      </w:r>
      <w:r>
        <w:t xml:space="preserve">Australian</w:t>
      </w:r>
      <w:r>
        <w:t xml:space="preserve"> </w:t>
      </w:r>
      <w:r>
        <w:t xml:space="preserve">Indigenous</w:t>
      </w:r>
      <w:r>
        <w:t xml:space="preserve"> </w:t>
      </w:r>
      <w:r>
        <w:t xml:space="preserve">societies, Aboriginal Studies Press; 2006, p. 226–41.</w:t>
      </w:r>
    </w:p>
    <w:bookmarkEnd w:id="154"/>
    <w:bookmarkStart w:id="156" w:name="ref-Johnson_2014"/>
    <w:p>
      <w:pPr>
        <w:pStyle w:val="Bibliography"/>
      </w:pPr>
      <w:r>
        <w:t xml:space="preserve">[49]</w:t>
      </w:r>
      <w:r>
        <w:t xml:space="preserve"> </w:t>
      </w:r>
      <w:r>
        <w:t xml:space="preserve">	</w:t>
      </w:r>
      <w:r>
        <w:t xml:space="preserve">Johnson AL. Exploring adaptive variation among hunter-gatherers with</w:t>
      </w:r>
      <w:r>
        <w:t xml:space="preserve"> </w:t>
      </w:r>
      <w:r>
        <w:t xml:space="preserve">Binford</w:t>
      </w:r>
      <w:r>
        <w:t xml:space="preserve">’s frames of reference. Journal of Archaeological Research 2014;22:1–42.</w:t>
      </w:r>
      <w:r>
        <w:t xml:space="preserve"> </w:t>
      </w:r>
      <w:hyperlink r:id="rId155">
        <w:r>
          <w:rPr>
            <w:rStyle w:val="Hyperlink"/>
          </w:rPr>
          <w:t xml:space="preserve">https://doi.org/10.1007/s10814-013-9068-y</w:t>
        </w:r>
      </w:hyperlink>
      <w:r>
        <w:t xml:space="preserve">.</w:t>
      </w:r>
    </w:p>
    <w:bookmarkEnd w:id="156"/>
    <w:bookmarkStart w:id="158" w:name="ref-Singh_Glowacki_2022"/>
    <w:p>
      <w:pPr>
        <w:pStyle w:val="Bibliography"/>
      </w:pPr>
      <w:r>
        <w:t xml:space="preserve">[50]</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w:t>
      </w:r>
      <w:r>
        <w:t xml:space="preserve"> </w:t>
      </w:r>
      <w:hyperlink r:id="rId157">
        <w:r>
          <w:rPr>
            <w:rStyle w:val="Hyperlink"/>
          </w:rPr>
          <w:t xml:space="preserve">https://doi.org/10.1016/j.evolhumbehav.2022.07.003</w:t>
        </w:r>
      </w:hyperlink>
      <w:r>
        <w:t xml:space="preserve">.</w:t>
      </w:r>
    </w:p>
    <w:bookmarkEnd w:id="158"/>
    <w:bookmarkStart w:id="160" w:name="ref-Schwendler_2012"/>
    <w:p>
      <w:pPr>
        <w:pStyle w:val="Bibliography"/>
      </w:pPr>
      <w:r>
        <w:t xml:space="preserve">[51]</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w:t>
      </w:r>
      <w:r>
        <w:t xml:space="preserve"> </w:t>
      </w:r>
      <w:r>
        <w:t xml:space="preserve">BP</w:t>
      </w:r>
      <w:r>
        <w:t xml:space="preserve">. Quaternary International 2012;272–273:333–53.</w:t>
      </w:r>
      <w:r>
        <w:t xml:space="preserve"> </w:t>
      </w:r>
      <w:hyperlink r:id="rId159">
        <w:r>
          <w:rPr>
            <w:rStyle w:val="Hyperlink"/>
          </w:rPr>
          <w:t xml:space="preserve">https://doi.org/10.1016/j.quaint.2012.03.054</w:t>
        </w:r>
      </w:hyperlink>
      <w:r>
        <w:t xml:space="preserve">.</w:t>
      </w:r>
    </w:p>
    <w:bookmarkEnd w:id="160"/>
    <w:bookmarkStart w:id="162" w:name="ref-Morwood_1987"/>
    <w:p>
      <w:pPr>
        <w:pStyle w:val="Bibliography"/>
      </w:pPr>
      <w:r>
        <w:t xml:space="preserve">[52]</w:t>
      </w:r>
      <w:r>
        <w:t xml:space="preserve"> </w:t>
      </w:r>
      <w:r>
        <w:t xml:space="preserve">	</w:t>
      </w:r>
      <w:r>
        <w:t xml:space="preserve">Morwood MJ. The archaeology of social complexity in</w:t>
      </w:r>
      <w:r>
        <w:t xml:space="preserve"> </w:t>
      </w:r>
      <w:r>
        <w:t xml:space="preserve">South</w:t>
      </w:r>
      <w:r>
        <w:t xml:space="preserve">-east</w:t>
      </w:r>
      <w:r>
        <w:t xml:space="preserve"> </w:t>
      </w:r>
      <w:r>
        <w:t xml:space="preserve">Queensland</w:t>
      </w:r>
      <w:r>
        <w:t xml:space="preserve">. Proceedings of the Prehistoric Society 1987;53:337–50.</w:t>
      </w:r>
      <w:r>
        <w:t xml:space="preserve"> </w:t>
      </w:r>
      <w:hyperlink r:id="rId161">
        <w:r>
          <w:rPr>
            <w:rStyle w:val="Hyperlink"/>
          </w:rPr>
          <w:t xml:space="preserve">https://doi.org/10.1017/S0079497X00006265</w:t>
        </w:r>
      </w:hyperlink>
      <w:r>
        <w:t xml:space="preserve">.</w:t>
      </w:r>
    </w:p>
    <w:bookmarkEnd w:id="162"/>
    <w:bookmarkStart w:id="164" w:name="ref-Mattson_2021"/>
    <w:p>
      <w:pPr>
        <w:pStyle w:val="Bibliography"/>
      </w:pPr>
      <w:r>
        <w:t xml:space="preserve">[53]</w:t>
      </w:r>
      <w:r>
        <w:t xml:space="preserve"> </w:t>
      </w:r>
      <w:r>
        <w:t xml:space="preserve">	</w:t>
      </w:r>
      <w:r>
        <w:t xml:space="preserve">Mattson HV. Personal adornment and identity construction in archaeology: An introduction. In: Mattson HV, editor. Personal adornment and the construction of identity, Oxbow Books; 2021, p. 1–24.</w:t>
      </w:r>
      <w:r>
        <w:t xml:space="preserve"> </w:t>
      </w:r>
      <w:hyperlink r:id="rId163">
        <w:r>
          <w:rPr>
            <w:rStyle w:val="Hyperlink"/>
          </w:rPr>
          <w:t xml:space="preserve">https://doi.org/10.2307/j.ctv24q4z2g.5</w:t>
        </w:r>
      </w:hyperlink>
      <w:r>
        <w:t xml:space="preserve">.</w:t>
      </w:r>
    </w:p>
    <w:bookmarkEnd w:id="164"/>
    <w:bookmarkStart w:id="165" w:name="ref-Larsson_2006"/>
    <w:p>
      <w:pPr>
        <w:pStyle w:val="Bibliography"/>
      </w:pPr>
      <w:r>
        <w:t xml:space="preserve">[54]</w:t>
      </w:r>
      <w:r>
        <w:t xml:space="preserve"> </w:t>
      </w:r>
      <w:r>
        <w:t xml:space="preserve">	</w:t>
      </w:r>
      <w:r>
        <w:t xml:space="preserve">Larsson L. A tooth for a tooth: Tooth ornaments from the graves at the cemeteries of</w:t>
      </w:r>
      <w:r>
        <w:t xml:space="preserve"> </w:t>
      </w:r>
      <w:r>
        <w:t xml:space="preserve">Zvejnieki</w:t>
      </w:r>
      <w:r>
        <w:t xml:space="preserve">. In: Larsson L, Zagorska I, editors. Back to the origin: New research in the</w:t>
      </w:r>
      <w:r>
        <w:t xml:space="preserve"> </w:t>
      </w:r>
      <w:r>
        <w:t xml:space="preserve">Mesolithic</w:t>
      </w:r>
      <w:r>
        <w:t xml:space="preserve">-</w:t>
      </w:r>
      <w:r>
        <w:t xml:space="preserve">Neolithic</w:t>
      </w:r>
      <w:r>
        <w:t xml:space="preserve"> </w:t>
      </w:r>
      <w:r>
        <w:t xml:space="preserve">Zvejnieki</w:t>
      </w:r>
      <w:r>
        <w:t xml:space="preserve"> </w:t>
      </w:r>
      <w:r>
        <w:t xml:space="preserve">cemetery and environment,</w:t>
      </w:r>
      <w:r>
        <w:t xml:space="preserve"> </w:t>
      </w:r>
      <w:r>
        <w:t xml:space="preserve">Northern Latvia</w:t>
      </w:r>
      <w:r>
        <w:t xml:space="preserve">, vol. 52, Almqvist &amp; Wiksell International; 2006, p. 253–87.</w:t>
      </w:r>
    </w:p>
    <w:bookmarkEnd w:id="165"/>
    <w:bookmarkStart w:id="167" w:name="ref-Moore_2010"/>
    <w:p>
      <w:pPr>
        <w:pStyle w:val="Bibliography"/>
      </w:pPr>
      <w:r>
        <w:t xml:space="preserve">[55]</w:t>
      </w:r>
      <w:r>
        <w:t xml:space="preserve"> </w:t>
      </w:r>
      <w:r>
        <w:t xml:space="preserve">	</w:t>
      </w:r>
      <w:r>
        <w:t xml:space="preserve">Moore CR. A macroscopic investigation of technological style and the production of</w:t>
      </w:r>
      <w:r>
        <w:t xml:space="preserve"> </w:t>
      </w:r>
      <w:r>
        <w:t xml:space="preserve">Middle to Late Archaic</w:t>
      </w:r>
      <w:r>
        <w:t xml:space="preserve"> </w:t>
      </w:r>
      <w:r>
        <w:t xml:space="preserve">fishhooks at the</w:t>
      </w:r>
      <w:r>
        <w:t xml:space="preserve"> </w:t>
      </w:r>
      <w:r>
        <w:t xml:space="preserve">Chiggerville</w:t>
      </w:r>
      <w:r>
        <w:t xml:space="preserve">,</w:t>
      </w:r>
      <w:r>
        <w:t xml:space="preserve"> </w:t>
      </w:r>
      <w:r>
        <w:t xml:space="preserve">Read</w:t>
      </w:r>
      <w:r>
        <w:t xml:space="preserve">, and</w:t>
      </w:r>
      <w:r>
        <w:t xml:space="preserve"> </w:t>
      </w:r>
      <w:r>
        <w:t xml:space="preserve">Baker</w:t>
      </w:r>
      <w:r>
        <w:t xml:space="preserve"> </w:t>
      </w:r>
      <w:r>
        <w:t xml:space="preserve">sites,</w:t>
      </w:r>
      <w:r>
        <w:t xml:space="preserve"> </w:t>
      </w:r>
      <w:r>
        <w:t xml:space="preserve">Western Kentucky</w:t>
      </w:r>
      <w:r>
        <w:t xml:space="preserve">. Southeastern Archaeology 2010;29:197–221.</w:t>
      </w:r>
      <w:r>
        <w:t xml:space="preserve"> </w:t>
      </w:r>
      <w:hyperlink r:id="rId166">
        <w:r>
          <w:rPr>
            <w:rStyle w:val="Hyperlink"/>
          </w:rPr>
          <w:t xml:space="preserve">https://doi.org/10.1179/sea.2010.29.1.013</w:t>
        </w:r>
      </w:hyperlink>
      <w:r>
        <w:t xml:space="preserve">.</w:t>
      </w:r>
    </w:p>
    <w:bookmarkEnd w:id="167"/>
    <w:bookmarkStart w:id="169" w:name="ref-Alfonso-Durrruty_Giles_Misarti2015"/>
    <w:p>
      <w:pPr>
        <w:pStyle w:val="Bibliography"/>
      </w:pPr>
      <w:r>
        <w:t xml:space="preserve">[56]</w:t>
      </w:r>
      <w:r>
        <w:t xml:space="preserve"> </w:t>
      </w:r>
      <w:r>
        <w:t xml:space="preserve">	</w:t>
      </w:r>
      <w:r>
        <w:t xml:space="preserve">Alfonso-Durrruty MP, Giles BT, Misarti N, San Roman M, Morello F. Antiquity and geographic distribution of cranial modification among the prehistoric groups of</w:t>
      </w:r>
      <w:r>
        <w:t xml:space="preserve"> </w:t>
      </w:r>
      <w:r>
        <w:t xml:space="preserve">Fuego-Patagonia</w:t>
      </w:r>
      <w:r>
        <w:t xml:space="preserve">,</w:t>
      </w:r>
      <w:r>
        <w:t xml:space="preserve"> </w:t>
      </w:r>
      <w:r>
        <w:t xml:space="preserve">Chile</w:t>
      </w:r>
      <w:r>
        <w:t xml:space="preserve">. American Journal of Physical Anthropology 2015;158:607–23.</w:t>
      </w:r>
      <w:r>
        <w:t xml:space="preserve"> </w:t>
      </w:r>
      <w:hyperlink r:id="rId168">
        <w:r>
          <w:rPr>
            <w:rStyle w:val="Hyperlink"/>
          </w:rPr>
          <w:t xml:space="preserve">https://doi.org/10.1002/ajpa.22832</w:t>
        </w:r>
      </w:hyperlink>
      <w:r>
        <w:t xml:space="preserve">.</w:t>
      </w:r>
    </w:p>
    <w:bookmarkEnd w:id="169"/>
    <w:bookmarkStart w:id="170" w:name="ref-Vanhaeren_2005"/>
    <w:p>
      <w:pPr>
        <w:pStyle w:val="Bibliography"/>
      </w:pPr>
      <w:r>
        <w:t xml:space="preserve">[57]</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0"/>
    <w:bookmarkStart w:id="172" w:name="ref-Conkey_1985"/>
    <w:p>
      <w:pPr>
        <w:pStyle w:val="Bibliography"/>
      </w:pPr>
      <w:r>
        <w:t xml:space="preserve">[58]</w:t>
      </w:r>
      <w:r>
        <w:t xml:space="preserve"> </w:t>
      </w:r>
      <w:r>
        <w:t xml:space="preserve">	</w:t>
      </w:r>
      <w:r>
        <w:t xml:space="preserve">Conkey MW.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w:t>
      </w:r>
      <w:r>
        <w:t xml:space="preserve"> </w:t>
      </w:r>
      <w:hyperlink r:id="rId171">
        <w:r>
          <w:rPr>
            <w:rStyle w:val="Hyperlink"/>
          </w:rPr>
          <w:t xml:space="preserve">https://doi.org/10.1016/B978-0-12-564750-2.50016-0</w:t>
        </w:r>
      </w:hyperlink>
      <w:r>
        <w:t xml:space="preserve">.</w:t>
      </w:r>
    </w:p>
    <w:bookmarkEnd w:id="172"/>
    <w:bookmarkStart w:id="173" w:name="ref-Conkey_1978"/>
    <w:p>
      <w:pPr>
        <w:pStyle w:val="Bibliography"/>
      </w:pPr>
      <w:r>
        <w:t xml:space="preserve">[59]</w:t>
      </w:r>
      <w:r>
        <w:t xml:space="preserve"> </w:t>
      </w:r>
      <w:r>
        <w:t xml:space="preserve">	</w:t>
      </w:r>
      <w:r>
        <w:t xml:space="preserve">Conkey M. Style and information in cultural evolution: Toward a predictive model for the</w:t>
      </w:r>
      <w:r>
        <w:t xml:space="preserve"> </w:t>
      </w:r>
      <w:r>
        <w:t xml:space="preserve">Paleolithic</w:t>
      </w:r>
      <w:r>
        <w:t xml:space="preserve">. In: Redman CL, Berman MJ, Curtin EV, Langhorne Jr William T., Versaggi NM, Wanser JC, editors. Social archaeology: Beyond subsistence and dating, New York: Academic Press; 1978, p. 61–85.</w:t>
      </w:r>
    </w:p>
    <w:bookmarkEnd w:id="173"/>
    <w:bookmarkStart w:id="175" w:name="ref-Tilley_1982"/>
    <w:p>
      <w:pPr>
        <w:pStyle w:val="Bibliography"/>
      </w:pPr>
      <w:r>
        <w:t xml:space="preserve">[60]</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4">
        <w:r>
          <w:rPr>
            <w:rStyle w:val="Hyperlink"/>
          </w:rPr>
          <w:t xml:space="preserve">https://doi.org/10.1017/CBO9780511558252.004</w:t>
        </w:r>
      </w:hyperlink>
      <w:r>
        <w:t xml:space="preserve">.</w:t>
      </w:r>
    </w:p>
    <w:bookmarkEnd w:id="175"/>
    <w:bookmarkStart w:id="177" w:name="ref-Hodder1979"/>
    <w:p>
      <w:pPr>
        <w:pStyle w:val="Bibliography"/>
      </w:pPr>
      <w:r>
        <w:t xml:space="preserve">[61]</w:t>
      </w:r>
      <w:r>
        <w:t xml:space="preserve"> </w:t>
      </w:r>
      <w:r>
        <w:t xml:space="preserve">	</w:t>
      </w:r>
      <w:r>
        <w:t xml:space="preserve">Hodder I. Economic and social stress and material culture patterning. American Antiquity 1979;44:446–54.</w:t>
      </w:r>
      <w:r>
        <w:t xml:space="preserve"> </w:t>
      </w:r>
      <w:hyperlink r:id="rId176">
        <w:r>
          <w:rPr>
            <w:rStyle w:val="Hyperlink"/>
          </w:rPr>
          <w:t xml:space="preserve">https://doi.org/10.2307/279544</w:t>
        </w:r>
      </w:hyperlink>
      <w:r>
        <w:t xml:space="preserve">.</w:t>
      </w:r>
    </w:p>
    <w:bookmarkEnd w:id="177"/>
    <w:bookmarkStart w:id="179" w:name="ref-Hodder1977"/>
    <w:p>
      <w:pPr>
        <w:pStyle w:val="Bibliography"/>
      </w:pPr>
      <w:r>
        <w:t xml:space="preserve">[62]</w:t>
      </w:r>
      <w:r>
        <w:t xml:space="preserve"> </w:t>
      </w:r>
      <w:r>
        <w:t xml:space="preserve">	</w:t>
      </w:r>
      <w:r>
        <w:t xml:space="preserve">Hodder I. The distribution of material culture items in the</w:t>
      </w:r>
      <w:r>
        <w:t xml:space="preserve"> </w:t>
      </w:r>
      <w:r>
        <w:t xml:space="preserve">Baringo District</w:t>
      </w:r>
      <w:r>
        <w:t xml:space="preserve">,</w:t>
      </w:r>
      <w:r>
        <w:t xml:space="preserve"> </w:t>
      </w:r>
      <w:r>
        <w:t xml:space="preserve">Western Kenya</w:t>
      </w:r>
      <w:r>
        <w:t xml:space="preserve">. Man 1977;12:239–69.</w:t>
      </w:r>
      <w:r>
        <w:t xml:space="preserve"> </w:t>
      </w:r>
      <w:hyperlink r:id="rId178">
        <w:r>
          <w:rPr>
            <w:rStyle w:val="Hyperlink"/>
          </w:rPr>
          <w:t xml:space="preserve">https://doi.org/10.2307/2800797</w:t>
        </w:r>
      </w:hyperlink>
      <w:r>
        <w:t xml:space="preserve">.</w:t>
      </w:r>
    </w:p>
    <w:bookmarkEnd w:id="179"/>
    <w:bookmarkStart w:id="181" w:name="ref-Binford_1990"/>
    <w:p>
      <w:pPr>
        <w:pStyle w:val="Bibliography"/>
      </w:pPr>
      <w:r>
        <w:t xml:space="preserve">[63]</w:t>
      </w:r>
      <w:r>
        <w:t xml:space="preserve"> </w:t>
      </w:r>
      <w:r>
        <w:t xml:space="preserve">	</w:t>
      </w:r>
      <w:r>
        <w:t xml:space="preserve">Binford LR. Mobility, housing, and environment: A comparative study. Journal of Anthropological Research 1990;46:119–52.</w:t>
      </w:r>
      <w:r>
        <w:t xml:space="preserve"> </w:t>
      </w:r>
      <w:hyperlink r:id="rId180">
        <w:r>
          <w:rPr>
            <w:rStyle w:val="Hyperlink"/>
          </w:rPr>
          <w:t xml:space="preserve">https://doi.org/10.1086/jar.46.2.3630069</w:t>
        </w:r>
      </w:hyperlink>
      <w:r>
        <w:t xml:space="preserve">.</w:t>
      </w:r>
    </w:p>
    <w:bookmarkEnd w:id="181"/>
    <w:bookmarkStart w:id="183" w:name="ref-Kelly_1983"/>
    <w:p>
      <w:pPr>
        <w:pStyle w:val="Bibliography"/>
      </w:pPr>
      <w:r>
        <w:t xml:space="preserve">[64]</w:t>
      </w:r>
      <w:r>
        <w:t xml:space="preserve"> </w:t>
      </w:r>
      <w:r>
        <w:t xml:space="preserve">	</w:t>
      </w:r>
      <w:r>
        <w:t xml:space="preserve">Kelly RL. Hunter-gatherer mobility strategies. Journal of Anthropological Research 1983;39:277–306.</w:t>
      </w:r>
      <w:r>
        <w:t xml:space="preserve"> </w:t>
      </w:r>
      <w:hyperlink r:id="rId182">
        <w:r>
          <w:rPr>
            <w:rStyle w:val="Hyperlink"/>
          </w:rPr>
          <w:t xml:space="preserve">https://doi.org/10.1086/jar.39.3.3629672</w:t>
        </w:r>
      </w:hyperlink>
      <w:r>
        <w:t xml:space="preserve">.</w:t>
      </w:r>
    </w:p>
    <w:bookmarkEnd w:id="183"/>
    <w:bookmarkStart w:id="185" w:name="ref-Padilla-Iglesias_Bischoff_2024"/>
    <w:p>
      <w:pPr>
        <w:pStyle w:val="Bibliography"/>
      </w:pPr>
      <w:r>
        <w:t xml:space="preserve">[65]</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w:t>
      </w:r>
      <w:r>
        <w:t xml:space="preserve"> </w:t>
      </w:r>
      <w:hyperlink r:id="rId184">
        <w:r>
          <w:rPr>
            <w:rStyle w:val="Hyperlink"/>
          </w:rPr>
          <w:t xml:space="preserve">https://doi.org/10.1016/j.jasrep.2024.104798</w:t>
        </w:r>
      </w:hyperlink>
      <w:r>
        <w:t xml:space="preserve">.</w:t>
      </w:r>
    </w:p>
    <w:bookmarkEnd w:id="185"/>
    <w:bookmarkStart w:id="187" w:name="ref-Whallon_2006"/>
    <w:p>
      <w:pPr>
        <w:pStyle w:val="Bibliography"/>
      </w:pPr>
      <w:r>
        <w:t xml:space="preserve">[66]</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6">
        <w:r>
          <w:rPr>
            <w:rStyle w:val="Hyperlink"/>
          </w:rPr>
          <w:t xml:space="preserve">https://doi.org/10.1016/j.jaa.2005.11.004</w:t>
        </w:r>
      </w:hyperlink>
      <w:r>
        <w:t xml:space="preserve">.</w:t>
      </w:r>
    </w:p>
    <w:bookmarkEnd w:id="187"/>
    <w:bookmarkStart w:id="189" w:name="ref-Fitzhugh_Phillips_Gjesfeld_2011"/>
    <w:p>
      <w:pPr>
        <w:pStyle w:val="Bibliography"/>
      </w:pPr>
      <w:r>
        <w:t xml:space="preserve">[67]</w:t>
      </w:r>
      <w:r>
        <w:t xml:space="preserve"> </w:t>
      </w:r>
      <w:r>
        <w:t xml:space="preserve">	</w:t>
      </w:r>
      <w:r>
        <w:t xml:space="preserve">Fitzhugh B, Phillips SC, Gjesfjeld E. Modeling hunter-gatherer information networks: An archaeological case study from the</w:t>
      </w:r>
      <w:r>
        <w:t xml:space="preserve"> </w:t>
      </w:r>
      <w:r>
        <w:t xml:space="preserve">Kuril Islands</w:t>
      </w:r>
      <w:r>
        <w:t xml:space="preserve">. In: Whallon R, Lovis WA, Hitchcock RK, editors. Information and its role in hunter-gatherer bands, Cotsen Institute of Archaeology Press at UCLA; 2011, p. 85–116.</w:t>
      </w:r>
      <w:r>
        <w:t xml:space="preserve"> </w:t>
      </w:r>
      <w:hyperlink r:id="rId188">
        <w:r>
          <w:rPr>
            <w:rStyle w:val="Hyperlink"/>
          </w:rPr>
          <w:t xml:space="preserve">https://doi.org/10.2307/j.ctvdmwwz4.8</w:t>
        </w:r>
      </w:hyperlink>
      <w:r>
        <w:t xml:space="preserve">.</w:t>
      </w:r>
    </w:p>
    <w:bookmarkEnd w:id="189"/>
    <w:bookmarkStart w:id="191" w:name="ref-Lovis_Donahue_2011"/>
    <w:p>
      <w:pPr>
        <w:pStyle w:val="Bibliography"/>
      </w:pPr>
      <w:r>
        <w:t xml:space="preserve">[68]</w:t>
      </w:r>
      <w:r>
        <w:t xml:space="preserve"> </w:t>
      </w:r>
      <w:r>
        <w:t xml:space="preserve">	</w:t>
      </w:r>
      <w:r>
        <w:t xml:space="preserve">Lovis WA, Donahue RE. Space, information and knowledge: Ethnocartography and</w:t>
      </w:r>
      <w:r>
        <w:t xml:space="preserve"> </w:t>
      </w:r>
      <w:r>
        <w:t xml:space="preserve">North American</w:t>
      </w:r>
      <w:r>
        <w:t xml:space="preserve"> </w:t>
      </w:r>
      <w:r>
        <w:t xml:space="preserve">Boreal Forest</w:t>
      </w:r>
      <w:r>
        <w:t xml:space="preserve"> </w:t>
      </w:r>
      <w:r>
        <w:t xml:space="preserve">hunter-gatherers. In: Whallon R, Lovis WA, Hitchcock RK, editors. Information and its role in hunter-gatherer bands, Cotsen Institute of Archaeology Press at UCLA; 2011, p. 59–84.</w:t>
      </w:r>
      <w:r>
        <w:t xml:space="preserve"> </w:t>
      </w:r>
      <w:hyperlink r:id="rId190">
        <w:r>
          <w:rPr>
            <w:rStyle w:val="Hyperlink"/>
          </w:rPr>
          <w:t xml:space="preserve">https://doi.org/10.2307/j.ctvdmwwz4.7</w:t>
        </w:r>
      </w:hyperlink>
      <w:r>
        <w:t xml:space="preserve">.</w:t>
      </w:r>
    </w:p>
    <w:bookmarkEnd w:id="191"/>
    <w:bookmarkStart w:id="193" w:name="ref-Hitchcock_Ebert_2011"/>
    <w:p>
      <w:pPr>
        <w:pStyle w:val="Bibliography"/>
      </w:pPr>
      <w:r>
        <w:t xml:space="preserve">[69]</w:t>
      </w:r>
      <w:r>
        <w:t xml:space="preserve"> </w:t>
      </w:r>
      <w:r>
        <w:t xml:space="preserve">	</w:t>
      </w:r>
      <w:r>
        <w:t xml:space="preserve">Hitchcock RK, Ebert JI. Where is that job? Hunter-gatherer information systems in complex social environments in the</w:t>
      </w:r>
      <w:r>
        <w:t xml:space="preserve"> </w:t>
      </w:r>
      <w:r>
        <w:t xml:space="preserve">Eastern Kalahari Desert</w:t>
      </w:r>
      <w:r>
        <w:t xml:space="preserve">,</w:t>
      </w:r>
      <w:r>
        <w:t xml:space="preserve"> </w:t>
      </w:r>
      <w:r>
        <w:t xml:space="preserve">Botswana</w:t>
      </w:r>
      <w:r>
        <w:t xml:space="preserve">. In: Whallon R, Lovis WA, Hitchcock RK, editors. Information and its role in hunter-gatherer bands, Cotsen Institute of Archaeology Press at UCLA; 2011, p. 133–66.</w:t>
      </w:r>
      <w:r>
        <w:t xml:space="preserve"> </w:t>
      </w:r>
      <w:hyperlink r:id="rId192">
        <w:r>
          <w:rPr>
            <w:rStyle w:val="Hyperlink"/>
          </w:rPr>
          <w:t xml:space="preserve">https://doi.org/10.2307/j.ctvdmwwz4.10</w:t>
        </w:r>
      </w:hyperlink>
      <w:r>
        <w:t xml:space="preserve">.</w:t>
      </w:r>
    </w:p>
    <w:bookmarkEnd w:id="193"/>
    <w:bookmarkStart w:id="195" w:name="ref-Romano_Lozano_Fern2022"/>
    <w:p>
      <w:pPr>
        <w:pStyle w:val="Bibliography"/>
      </w:pPr>
      <w:r>
        <w:t xml:space="preserve">[70]</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2022;377:20200318.</w:t>
      </w:r>
      <w:r>
        <w:t xml:space="preserve"> </w:t>
      </w:r>
      <w:hyperlink r:id="rId194">
        <w:r>
          <w:rPr>
            <w:rStyle w:val="Hyperlink"/>
          </w:rPr>
          <w:t xml:space="preserve">https://doi.org/10.1098/rstb.2020.0318</w:t>
        </w:r>
      </w:hyperlink>
      <w:r>
        <w:t xml:space="preserve">.</w:t>
      </w:r>
    </w:p>
    <w:bookmarkEnd w:id="195"/>
    <w:bookmarkStart w:id="197" w:name="ref-Kelly_2024"/>
    <w:p>
      <w:pPr>
        <w:pStyle w:val="Bibliography"/>
      </w:pPr>
      <w:r>
        <w:t xml:space="preserve">[71]</w:t>
      </w:r>
      <w:r>
        <w:t xml:space="preserve"> </w:t>
      </w:r>
      <w:r>
        <w:t xml:space="preserve">	</w:t>
      </w:r>
      <w:r>
        <w:t xml:space="preserve">Kelly P. Comparing</w:t>
      </w:r>
      <w:r>
        <w:t xml:space="preserve"> </w:t>
      </w:r>
      <w:r>
        <w:t xml:space="preserve">Australian</w:t>
      </w:r>
      <w:r>
        <w:t xml:space="preserve"> </w:t>
      </w:r>
      <w:r>
        <w:t xml:space="preserve">message sticks and sequentially marked objects of the</w:t>
      </w:r>
      <w:r>
        <w:t xml:space="preserve"> </w:t>
      </w:r>
      <w:r>
        <w:t xml:space="preserve">Upper Palaeolithic</w:t>
      </w:r>
      <w:r>
        <w:t xml:space="preserve">: Problems and opportunities. Topics in Cognitive Science 2026;18:126–46.</w:t>
      </w:r>
      <w:r>
        <w:t xml:space="preserve"> </w:t>
      </w:r>
      <w:hyperlink r:id="rId196">
        <w:r>
          <w:rPr>
            <w:rStyle w:val="Hyperlink"/>
          </w:rPr>
          <w:t xml:space="preserve">https://doi.org/10.1111/tops.12762</w:t>
        </w:r>
      </w:hyperlink>
      <w:r>
        <w:t xml:space="preserve">.</w:t>
      </w:r>
    </w:p>
    <w:bookmarkEnd w:id="197"/>
    <w:bookmarkStart w:id="199" w:name="ref-Kinahan_2013"/>
    <w:p>
      <w:pPr>
        <w:pStyle w:val="Bibliography"/>
      </w:pPr>
      <w:r>
        <w:t xml:space="preserve">[72]</w:t>
      </w:r>
      <w:r>
        <w:t xml:space="preserve"> </w:t>
      </w:r>
      <w:r>
        <w:t xml:space="preserve">	</w:t>
      </w:r>
      <w:r>
        <w:t xml:space="preserve">Kinahan J. The acquisition of ceramics by hunter-gatherers on the</w:t>
      </w:r>
      <w:r>
        <w:t xml:space="preserve"> </w:t>
      </w:r>
      <w:r>
        <w:t xml:space="preserve">Middle Zambezi</w:t>
      </w:r>
      <w:r>
        <w:t xml:space="preserve"> </w:t>
      </w:r>
      <w:r>
        <w:t xml:space="preserve">in the first and second millennium</w:t>
      </w:r>
      <w:r>
        <w:t xml:space="preserve"> </w:t>
      </w:r>
      <w:r>
        <w:t xml:space="preserve">AD</w:t>
      </w:r>
      <w:r>
        <w:t xml:space="preserve">. Journal of African Archaeology 2013;11:197–209.</w:t>
      </w:r>
      <w:r>
        <w:t xml:space="preserve"> </w:t>
      </w:r>
      <w:hyperlink r:id="rId198">
        <w:r>
          <w:rPr>
            <w:rStyle w:val="Hyperlink"/>
          </w:rPr>
          <w:t xml:space="preserve">https://doi.org/10.3213/2191-5784-10243</w:t>
        </w:r>
      </w:hyperlink>
      <w:r>
        <w:t xml:space="preserve">.</w:t>
      </w:r>
    </w:p>
    <w:bookmarkEnd w:id="199"/>
    <w:bookmarkStart w:id="201" w:name="ref-Newlander_2012"/>
    <w:p>
      <w:pPr>
        <w:pStyle w:val="Bibliography"/>
      </w:pPr>
      <w:r>
        <w:t xml:space="preserve">[73]</w:t>
      </w:r>
      <w:r>
        <w:t xml:space="preserve"> </w:t>
      </w:r>
      <w:r>
        <w:t xml:space="preserve">	</w:t>
      </w:r>
      <w:r>
        <w:t xml:space="preserve">Newlander KS.</w:t>
      </w:r>
      <w:r>
        <w:t xml:space="preserve"> </w:t>
      </w:r>
      <w:hyperlink r:id="rId200">
        <w:r>
          <w:rPr>
            <w:rStyle w:val="Hyperlink"/>
          </w:rPr>
          <w:t xml:space="preserve">Exchange, embedded procurement, and hunter-gatherer mobility: A case study from the</w:t>
        </w:r>
        <w:r>
          <w:rPr>
            <w:rStyle w:val="Hyperlink"/>
          </w:rPr>
          <w:t xml:space="preserve"> </w:t>
        </w:r>
        <w:r>
          <w:rPr>
            <w:rStyle w:val="Hyperlink"/>
          </w:rPr>
          <w:t xml:space="preserve">North</w:t>
        </w:r>
        <w:r>
          <w:rPr>
            <w:rStyle w:val="Hyperlink"/>
          </w:rPr>
          <w:t xml:space="preserve"> </w:t>
        </w:r>
        <w:r>
          <w:rPr>
            <w:rStyle w:val="Hyperlink"/>
          </w:rPr>
          <w:t xml:space="preserve">American</w:t>
        </w:r>
        <w:r>
          <w:rPr>
            <w:rStyle w:val="Hyperlink"/>
          </w:rPr>
          <w:t xml:space="preserve"> </w:t>
        </w:r>
        <w:r>
          <w:rPr>
            <w:rStyle w:val="Hyperlink"/>
          </w:rPr>
          <w:t xml:space="preserve">Great</w:t>
        </w:r>
        <w:r>
          <w:rPr>
            <w:rStyle w:val="Hyperlink"/>
          </w:rPr>
          <w:t xml:space="preserve"> </w:t>
        </w:r>
        <w:r>
          <w:rPr>
            <w:rStyle w:val="Hyperlink"/>
          </w:rPr>
          <w:t xml:space="preserve">Basin</w:t>
        </w:r>
      </w:hyperlink>
      <w:r>
        <w:t xml:space="preserve">. Ph.D. University of Michigan, 2012.</w:t>
      </w:r>
    </w:p>
    <w:bookmarkEnd w:id="201"/>
    <w:bookmarkStart w:id="203" w:name="ref-Iizuka_Ferguson_Izuho_2022"/>
    <w:p>
      <w:pPr>
        <w:pStyle w:val="Bibliography"/>
      </w:pPr>
      <w:r>
        <w:t xml:space="preserve">[74]</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202">
        <w:r>
          <w:rPr>
            <w:rStyle w:val="Hyperlink"/>
          </w:rPr>
          <w:t xml:space="preserve">https://doi.org/10.1371/journal.pone.0265329</w:t>
        </w:r>
      </w:hyperlink>
      <w:r>
        <w:t xml:space="preserve">.</w:t>
      </w:r>
    </w:p>
    <w:bookmarkEnd w:id="203"/>
    <w:bookmarkStart w:id="205" w:name="ref-conkey_agg"/>
    <w:p>
      <w:pPr>
        <w:pStyle w:val="Bibliography"/>
      </w:pPr>
      <w:r>
        <w:t xml:space="preserve">[75]</w:t>
      </w:r>
      <w:r>
        <w:t xml:space="preserve"> </w:t>
      </w:r>
      <w:r>
        <w:t xml:space="preserve">	</w:t>
      </w:r>
      <w:r>
        <w:t xml:space="preserve">Conkey MW. The identification of prehistoric hunter-gatherer aggregation sites: The case of</w:t>
      </w:r>
      <w:r>
        <w:t xml:space="preserve"> </w:t>
      </w:r>
      <w:r>
        <w:t xml:space="preserve">Altamira</w:t>
      </w:r>
      <w:r>
        <w:t xml:space="preserve"> </w:t>
      </w:r>
      <w:r>
        <w:t xml:space="preserve">[and comments and reply]. Current Anthropology 1980;21:609–30.</w:t>
      </w:r>
      <w:r>
        <w:t xml:space="preserve"> </w:t>
      </w:r>
      <w:hyperlink r:id="rId204">
        <w:r>
          <w:rPr>
            <w:rStyle w:val="Hyperlink"/>
          </w:rPr>
          <w:t xml:space="preserve">https://doi.org/10.1086/202540</w:t>
        </w:r>
      </w:hyperlink>
      <w:r>
        <w:t xml:space="preserve">.</w:t>
      </w:r>
    </w:p>
    <w:bookmarkEnd w:id="205"/>
    <w:bookmarkStart w:id="207" w:name="ref-Maher_Conkey_2019"/>
    <w:p>
      <w:pPr>
        <w:pStyle w:val="Bibliography"/>
      </w:pPr>
      <w:r>
        <w:t xml:space="preserve">[76]</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6">
        <w:r>
          <w:rPr>
            <w:rStyle w:val="Hyperlink"/>
          </w:rPr>
          <w:t xml:space="preserve">https://doi.org/10.1086/701523</w:t>
        </w:r>
      </w:hyperlink>
      <w:r>
        <w:t xml:space="preserve">.</w:t>
      </w:r>
    </w:p>
    <w:bookmarkEnd w:id="207"/>
    <w:bookmarkStart w:id="209" w:name="ref-bahn1982inter"/>
    <w:p>
      <w:pPr>
        <w:pStyle w:val="Bibliography"/>
      </w:pPr>
      <w:r>
        <w:t xml:space="preserve">[77]</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r>
        <w:t xml:space="preserve"> </w:t>
      </w:r>
      <w:hyperlink r:id="rId208">
        <w:r>
          <w:rPr>
            <w:rStyle w:val="Hyperlink"/>
          </w:rPr>
          <w:t xml:space="preserve">https://doi.org/10.1111/j.1468-0092.1982.tb00313.x</w:t>
        </w:r>
      </w:hyperlink>
      <w:r>
        <w:t xml:space="preserve">.</w:t>
      </w:r>
    </w:p>
    <w:bookmarkEnd w:id="209"/>
    <w:bookmarkStart w:id="211" w:name="ref-Bourdier_2013"/>
    <w:p>
      <w:pPr>
        <w:pStyle w:val="Bibliography"/>
      </w:pPr>
      <w:r>
        <w:t xml:space="preserve">[78]</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10">
        <w:r>
          <w:rPr>
            <w:rStyle w:val="Hyperlink"/>
          </w:rPr>
          <w:t xml:space="preserve">https://doi.org/10.1016/j.jaa.2013.05.005</w:t>
        </w:r>
      </w:hyperlink>
      <w:r>
        <w:t xml:space="preserve">.</w:t>
      </w:r>
    </w:p>
    <w:bookmarkEnd w:id="211"/>
    <w:bookmarkStart w:id="213" w:name="ref-Svoboda_2013"/>
    <w:p>
      <w:pPr>
        <w:pStyle w:val="Bibliography"/>
      </w:pPr>
      <w:r>
        <w:t xml:space="preserve">[79]</w:t>
      </w:r>
      <w:r>
        <w:t xml:space="preserve"> </w:t>
      </w:r>
      <w:r>
        <w:t xml:space="preserve">	</w:t>
      </w:r>
      <w:r>
        <w:t xml:space="preserve">Svoboda J. Art gravettien de</w:t>
      </w:r>
      <w:r>
        <w:t xml:space="preserve"> </w:t>
      </w:r>
      <w:r>
        <w:t xml:space="preserve">Pavlov</w:t>
      </w:r>
      <w:r>
        <w:t xml:space="preserve"> </w:t>
      </w:r>
      <w:r>
        <w:t xml:space="preserve">i et VI: Comparaison d’un site d’agrégation et d’un site épisodique. Palethnologie Archéologie Et Sciences Humaines 2013;5.</w:t>
      </w:r>
      <w:r>
        <w:t xml:space="preserve"> </w:t>
      </w:r>
      <w:hyperlink r:id="rId212">
        <w:r>
          <w:rPr>
            <w:rStyle w:val="Hyperlink"/>
          </w:rPr>
          <w:t xml:space="preserve">https://doi.org/10.4000/palethnologie.4945</w:t>
        </w:r>
      </w:hyperlink>
      <w:r>
        <w:t xml:space="preserve">.</w:t>
      </w:r>
    </w:p>
    <w:bookmarkEnd w:id="213"/>
    <w:bookmarkStart w:id="215" w:name="ref-white1992rethinking"/>
    <w:p>
      <w:pPr>
        <w:pStyle w:val="Bibliography"/>
      </w:pPr>
      <w:r>
        <w:t xml:space="preserve">[80]</w:t>
      </w:r>
      <w:r>
        <w:t xml:space="preserve"> </w:t>
      </w:r>
      <w:r>
        <w:t xml:space="preserve">	</w:t>
      </w:r>
      <w:r>
        <w:t xml:space="preserve">White R. Rethinking the</w:t>
      </w:r>
      <w:r>
        <w:t xml:space="preserve"> </w:t>
      </w:r>
      <w:r>
        <w:t xml:space="preserve">Middle/Upper Paleolithic</w:t>
      </w:r>
      <w:r>
        <w:t xml:space="preserve"> </w:t>
      </w:r>
      <w:r>
        <w:t xml:space="preserve">transition [and comments and replies]. Current Anthropology 1982;23:169–92.</w:t>
      </w:r>
      <w:r>
        <w:t xml:space="preserve"> </w:t>
      </w:r>
      <w:hyperlink r:id="rId214">
        <w:r>
          <w:rPr>
            <w:rStyle w:val="Hyperlink"/>
          </w:rPr>
          <w:t xml:space="preserve">https://doi.org/10.1086/202802</w:t>
        </w:r>
      </w:hyperlink>
      <w:r>
        <w:t xml:space="preserve">.</w:t>
      </w:r>
    </w:p>
    <w:bookmarkEnd w:id="215"/>
    <w:bookmarkStart w:id="216" w:name="X79d7c52b9cdbe72fc1b94e51c6ee6057d0c4a50"/>
    <w:p>
      <w:pPr>
        <w:pStyle w:val="Bibliography"/>
      </w:pPr>
      <w:r>
        <w:t xml:space="preserve">[81]</w:t>
      </w:r>
      <w:r>
        <w:t xml:space="preserve"> </w:t>
      </w:r>
      <w:r>
        <w:t xml:space="preserve">	</w:t>
      </w:r>
      <w:r>
        <w:t xml:space="preserve">Soffer O, Adovasio JM. The roles of perishable technologies in</w:t>
      </w:r>
      <w:r>
        <w:t xml:space="preserve"> </w:t>
      </w:r>
      <w:r>
        <w:t xml:space="preserve">Upper Paleolithic</w:t>
      </w:r>
      <w:r>
        <w:t xml:space="preserve"> </w:t>
      </w:r>
      <w:r>
        <w:t xml:space="preserve">lives. In: Zubrow EBW, Audouze F, Enloe JG, editors. The</w:t>
      </w:r>
      <w:r>
        <w:t xml:space="preserve"> </w:t>
      </w:r>
      <w:r>
        <w:t xml:space="preserve">Magdalenian</w:t>
      </w:r>
      <w:r>
        <w:t xml:space="preserve"> </w:t>
      </w:r>
      <w:r>
        <w:t xml:space="preserve">household, SUNY Press; 2010, p. 235–44.</w:t>
      </w:r>
    </w:p>
    <w:bookmarkEnd w:id="216"/>
    <w:bookmarkStart w:id="218" w:name="ref-montet-white1994"/>
    <w:p>
      <w:pPr>
        <w:pStyle w:val="Bibliography"/>
      </w:pPr>
      <w:r>
        <w:t xml:space="preserve">[82]</w:t>
      </w:r>
      <w:r>
        <w:t xml:space="preserve"> </w:t>
      </w:r>
      <w:r>
        <w:t xml:space="preserve">	</w:t>
      </w:r>
      <w:r>
        <w:t xml:space="preserve">Montet-White A. Alternative interpretations of the</w:t>
      </w:r>
      <w:r>
        <w:t xml:space="preserve"> </w:t>
      </w:r>
      <w:r>
        <w:t xml:space="preserve">Late Upper Paleolithic</w:t>
      </w:r>
      <w:r>
        <w:t xml:space="preserve"> </w:t>
      </w:r>
      <w:r>
        <w:t xml:space="preserve">in</w:t>
      </w:r>
      <w:r>
        <w:t xml:space="preserve"> </w:t>
      </w:r>
      <w:r>
        <w:t xml:space="preserve">Central Europe</w:t>
      </w:r>
      <w:r>
        <w:t xml:space="preserve">. Annual Review of Anthropology 1994;23:483–506.</w:t>
      </w:r>
      <w:r>
        <w:t xml:space="preserve"> </w:t>
      </w:r>
      <w:hyperlink r:id="rId217">
        <w:r>
          <w:rPr>
            <w:rStyle w:val="Hyperlink"/>
          </w:rPr>
          <w:t xml:space="preserve">https://doi.org/10.1146/annurev.an.23.100194.002411</w:t>
        </w:r>
      </w:hyperlink>
      <w:r>
        <w:t xml:space="preserve">.</w:t>
      </w:r>
    </w:p>
    <w:bookmarkEnd w:id="218"/>
    <w:bookmarkStart w:id="220" w:name="ref-Frerebeau_2025"/>
    <w:p>
      <w:pPr>
        <w:pStyle w:val="Bibliography"/>
      </w:pPr>
      <w:r>
        <w:t xml:space="preserve">[83]</w:t>
      </w:r>
      <w:r>
        <w:t xml:space="preserve"> </w:t>
      </w:r>
      <w:r>
        <w:t xml:space="preserve">	</w:t>
      </w:r>
      <w:r>
        <w:t xml:space="preserve">Frerebeau N. Tabula: Analysis and visualization of archaeological count data 2025.</w:t>
      </w:r>
      <w:r>
        <w:t xml:space="preserve"> </w:t>
      </w:r>
      <w:hyperlink r:id="rId219">
        <w:r>
          <w:rPr>
            <w:rStyle w:val="Hyperlink"/>
          </w:rPr>
          <w:t xml:space="preserve">https://doi.org/10.5281/zenodo.15397990</w:t>
        </w:r>
      </w:hyperlink>
      <w:r>
        <w:t xml:space="preserve">.</w:t>
      </w:r>
    </w:p>
    <w:bookmarkEnd w:id="220"/>
    <w:bookmarkStart w:id="222" w:name="ref-Kintigh_1984"/>
    <w:p>
      <w:pPr>
        <w:pStyle w:val="Bibliography"/>
      </w:pPr>
      <w:r>
        <w:t xml:space="preserve">[84]</w:t>
      </w:r>
      <w:r>
        <w:t xml:space="preserve"> </w:t>
      </w:r>
      <w:r>
        <w:t xml:space="preserve">	</w:t>
      </w:r>
      <w:r>
        <w:t xml:space="preserve">Kintigh KW. Measuring archaeological diversity by comparison with simulated assemblages. American Antiquity 1984;49:44–54.</w:t>
      </w:r>
      <w:r>
        <w:t xml:space="preserve"> </w:t>
      </w:r>
      <w:hyperlink r:id="rId221">
        <w:r>
          <w:rPr>
            <w:rStyle w:val="Hyperlink"/>
          </w:rPr>
          <w:t xml:space="preserve">https://doi.org/10.2307/280511</w:t>
        </w:r>
      </w:hyperlink>
      <w:r>
        <w:t xml:space="preserve">.</w:t>
      </w:r>
    </w:p>
    <w:bookmarkEnd w:id="222"/>
    <w:bookmarkStart w:id="224" w:name="X8c17deb08b87fbfa26556dda630532ff62c8bd1"/>
    <w:p>
      <w:pPr>
        <w:pStyle w:val="Bibliography"/>
      </w:pPr>
      <w:r>
        <w:t xml:space="preserve">[85]</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23">
        <w:r>
          <w:rPr>
            <w:rStyle w:val="Hyperlink"/>
          </w:rPr>
          <w:t xml:space="preserve">https://doi.org/10.1038/s41467-024-51349-y</w:t>
        </w:r>
      </w:hyperlink>
      <w:r>
        <w:t xml:space="preserve">.</w:t>
      </w:r>
    </w:p>
    <w:bookmarkEnd w:id="224"/>
    <w:bookmarkStart w:id="226" w:name="ref-smith1992Design"/>
    <w:p>
      <w:pPr>
        <w:pStyle w:val="Bibliography"/>
      </w:pPr>
      <w:r>
        <w:t xml:space="preserve">[86]</w:t>
      </w:r>
      <w:r>
        <w:t xml:space="preserve"> </w:t>
      </w:r>
      <w:r>
        <w:t xml:space="preserve">	</w:t>
      </w:r>
      <w:r>
        <w:t xml:space="preserve">Smith C. Designed dreaming: Assessing the relationship between style, social structure and environment in</w:t>
      </w:r>
      <w:r>
        <w:t xml:space="preserve"> </w:t>
      </w:r>
      <w:r>
        <w:t xml:space="preserve">Aboriginal</w:t>
      </w:r>
      <w:r>
        <w:t xml:space="preserve"> </w:t>
      </w:r>
      <w:r>
        <w:t xml:space="preserve">Australia</w:t>
      </w:r>
      <w:r>
        <w:t xml:space="preserve">. Australian Archaeology 1992;34:51.</w:t>
      </w:r>
      <w:r>
        <w:t xml:space="preserve"> </w:t>
      </w:r>
      <w:hyperlink r:id="rId225">
        <w:r>
          <w:rPr>
            <w:rStyle w:val="Hyperlink"/>
          </w:rPr>
          <w:t xml:space="preserve">https://doi.org/10.1080/03122417.1992.11681454</w:t>
        </w:r>
      </w:hyperlink>
      <w:r>
        <w:t xml:space="preserve">.</w:t>
      </w:r>
    </w:p>
    <w:bookmarkEnd w:id="226"/>
    <w:bookmarkStart w:id="228" w:name="ref-hays1993symbol"/>
    <w:p>
      <w:pPr>
        <w:pStyle w:val="Bibliography"/>
      </w:pPr>
      <w:r>
        <w:t xml:space="preserve">[87]</w:t>
      </w:r>
      <w:r>
        <w:t xml:space="preserve"> </w:t>
      </w:r>
      <w:r>
        <w:t xml:space="preserve">	</w:t>
      </w:r>
      <w:r>
        <w:t xml:space="preserve">Hays KA. When is a symbol archaeologically meaningful? Meaning, function, and prehistoric visual arts. In: Yoffee N, Sherratt A, editors. Archaeological theory: Who sets the agenda?, Cambridge University Press; 1993, p. 81–92.</w:t>
      </w:r>
      <w:r>
        <w:t xml:space="preserve"> </w:t>
      </w:r>
      <w:hyperlink r:id="rId227">
        <w:r>
          <w:rPr>
            <w:rStyle w:val="Hyperlink"/>
          </w:rPr>
          <w:t xml:space="preserve">https://doi.org/10.1017/cbo9780511720277.008</w:t>
        </w:r>
      </w:hyperlink>
      <w:r>
        <w:t xml:space="preserve">.</w:t>
      </w:r>
    </w:p>
    <w:bookmarkEnd w:id="228"/>
    <w:bookmarkStart w:id="230" w:name="ref-McDonald_Veth_Lilley_2006"/>
    <w:p>
      <w:pPr>
        <w:pStyle w:val="Bibliography"/>
      </w:pPr>
      <w:r>
        <w:t xml:space="preserve">[88]</w:t>
      </w:r>
      <w:r>
        <w:t xml:space="preserve"> </w:t>
      </w:r>
      <w:r>
        <w:t xml:space="preserve">	</w:t>
      </w:r>
      <w:r>
        <w:t xml:space="preserve">McDonald J, Veth P. Rock art and social identity: A comparison of</w:t>
      </w:r>
      <w:r>
        <w:t xml:space="preserve"> </w:t>
      </w:r>
      <w:r>
        <w:t xml:space="preserve">Holocene</w:t>
      </w:r>
      <w:r>
        <w:t xml:space="preserve"> </w:t>
      </w:r>
      <w:r>
        <w:t xml:space="preserve">graphic systems in arid and fertile environments. In: Lilley I, editor. Archaeology of</w:t>
      </w:r>
      <w:r>
        <w:t xml:space="preserve"> </w:t>
      </w:r>
      <w:r>
        <w:t xml:space="preserve">Oceania</w:t>
      </w:r>
      <w:r>
        <w:t xml:space="preserve">:</w:t>
      </w:r>
      <w:r>
        <w:t xml:space="preserve"> </w:t>
      </w:r>
      <w:r>
        <w:t xml:space="preserve">Australia</w:t>
      </w:r>
      <w:r>
        <w:t xml:space="preserve"> </w:t>
      </w:r>
      <w:r>
        <w:t xml:space="preserve">and the</w:t>
      </w:r>
      <w:r>
        <w:t xml:space="preserve"> </w:t>
      </w:r>
      <w:r>
        <w:t xml:space="preserve">Pacific Islands</w:t>
      </w:r>
      <w:r>
        <w:t xml:space="preserve">, Malden, Mass: Blackwell Publishing; 2006, p. 96–115.</w:t>
      </w:r>
      <w:r>
        <w:t xml:space="preserve"> </w:t>
      </w:r>
      <w:hyperlink r:id="rId229">
        <w:r>
          <w:rPr>
            <w:rStyle w:val="Hyperlink"/>
          </w:rPr>
          <w:t xml:space="preserve">https://doi.org/10.1002/9780470773475.ch5</w:t>
        </w:r>
      </w:hyperlink>
      <w:r>
        <w:t xml:space="preserve">.</w:t>
      </w:r>
    </w:p>
    <w:bookmarkEnd w:id="230"/>
    <w:bookmarkStart w:id="232" w:name="ref-Lourandos_1985"/>
    <w:p>
      <w:pPr>
        <w:pStyle w:val="Bibliography"/>
      </w:pPr>
      <w:r>
        <w:t xml:space="preserve">[89]</w:t>
      </w:r>
      <w:r>
        <w:t xml:space="preserve"> </w:t>
      </w:r>
      <w:r>
        <w:t xml:space="preserve">	</w:t>
      </w:r>
      <w:r>
        <w:t xml:space="preserve">Lourandos H. Intensification and</w:t>
      </w:r>
      <w:r>
        <w:t xml:space="preserve"> </w:t>
      </w:r>
      <w:r>
        <w:t xml:space="preserve">Australian</w:t>
      </w:r>
      <w:r>
        <w:t xml:space="preserve"> </w:t>
      </w:r>
      <w:r>
        <w:t xml:space="preserve">prehistory. In: Price TD, Brown JA, editors. Prehistoric hunters-gatherers, Academic Press; 1985, p. 385–423.</w:t>
      </w:r>
      <w:r>
        <w:t xml:space="preserve"> </w:t>
      </w:r>
      <w:hyperlink r:id="rId231">
        <w:r>
          <w:rPr>
            <w:rStyle w:val="Hyperlink"/>
          </w:rPr>
          <w:t xml:space="preserve">https://doi.org/10.1016/B978-0-12-564750-2.50020-2</w:t>
        </w:r>
      </w:hyperlink>
      <w:r>
        <w:t xml:space="preserve">.</w:t>
      </w:r>
    </w:p>
    <w:bookmarkEnd w:id="232"/>
    <w:bookmarkStart w:id="234" w:name="ref-barton_clark_cohen1994"/>
    <w:p>
      <w:pPr>
        <w:pStyle w:val="Bibliography"/>
      </w:pPr>
      <w:r>
        <w:t xml:space="preserve">[90]</w:t>
      </w:r>
      <w:r>
        <w:t xml:space="preserve"> </w:t>
      </w:r>
      <w:r>
        <w:t xml:space="preserve">	</w:t>
      </w:r>
      <w:r>
        <w:t xml:space="preserve">Barton CM, Clark GA, Cohen AE. Art as information: Explaining</w:t>
      </w:r>
      <w:r>
        <w:t xml:space="preserve"> </w:t>
      </w:r>
      <w:r>
        <w:t xml:space="preserve">Upper Palaeolithic</w:t>
      </w:r>
      <w:r>
        <w:t xml:space="preserve"> </w:t>
      </w:r>
      <w:r>
        <w:t xml:space="preserve">art in</w:t>
      </w:r>
      <w:r>
        <w:t xml:space="preserve"> </w:t>
      </w:r>
      <w:r>
        <w:t xml:space="preserve">Western Europe</w:t>
      </w:r>
      <w:r>
        <w:t xml:space="preserve">. World Archaeology 1994;26:185–207.</w:t>
      </w:r>
      <w:r>
        <w:t xml:space="preserve"> </w:t>
      </w:r>
      <w:hyperlink r:id="rId233">
        <w:r>
          <w:rPr>
            <w:rStyle w:val="Hyperlink"/>
          </w:rPr>
          <w:t xml:space="preserve">https://doi.org/10.1080/00438243.1994.9980272</w:t>
        </w:r>
      </w:hyperlink>
      <w:r>
        <w:t xml:space="preserve">.</w:t>
      </w:r>
    </w:p>
    <w:bookmarkEnd w:id="234"/>
    <w:bookmarkStart w:id="236" w:name="ref-mcdonald2012social"/>
    <w:p>
      <w:pPr>
        <w:pStyle w:val="Bibliography"/>
      </w:pPr>
      <w:r>
        <w:t xml:space="preserve">[91]</w:t>
      </w:r>
      <w:r>
        <w:t xml:space="preserve"> </w:t>
      </w:r>
      <w:r>
        <w:t xml:space="preserve">	</w:t>
      </w:r>
      <w:r>
        <w:t xml:space="preserve">McDonald J, Veth P. The social dynamics of aggregation and dispersal in the</w:t>
      </w:r>
      <w:r>
        <w:t xml:space="preserve"> </w:t>
      </w:r>
      <w:r>
        <w:t xml:space="preserve">Western Desert</w:t>
      </w:r>
      <w:r>
        <w:t xml:space="preserve">. In: McDonald J, Veth P, editors. A companion to rock art, Oxford: Wiley-Blackwell; 2012, p. 90–102.</w:t>
      </w:r>
      <w:r>
        <w:t xml:space="preserve"> </w:t>
      </w:r>
      <w:hyperlink r:id="rId235">
        <w:r>
          <w:rPr>
            <w:rStyle w:val="Hyperlink"/>
          </w:rPr>
          <w:t xml:space="preserve">https://doi.org/10.1002/9781118253892.ch6</w:t>
        </w:r>
      </w:hyperlink>
      <w:r>
        <w:t xml:space="preserve">.</w:t>
      </w:r>
    </w:p>
    <w:bookmarkEnd w:id="236"/>
    <w:bookmarkStart w:id="238" w:name="ref-bernardini2005reconsidering"/>
    <w:p>
      <w:pPr>
        <w:pStyle w:val="Bibliography"/>
      </w:pPr>
      <w:r>
        <w:t xml:space="preserve">[92]</w:t>
      </w:r>
      <w:r>
        <w:t xml:space="preserve"> </w:t>
      </w:r>
      <w:r>
        <w:t xml:space="preserve">	</w:t>
      </w:r>
      <w:r>
        <w:t xml:space="preserve">Bernardini W. Reconsidering spatial and temporal aspects of prehistoric cultural identity: A case study from the</w:t>
      </w:r>
      <w:r>
        <w:t xml:space="preserve"> </w:t>
      </w:r>
      <w:r>
        <w:t xml:space="preserve">American Southwest</w:t>
      </w:r>
      <w:r>
        <w:t xml:space="preserve">. American Antiquity 2005;70:31–54.</w:t>
      </w:r>
      <w:r>
        <w:t xml:space="preserve"> </w:t>
      </w:r>
      <w:hyperlink r:id="rId237">
        <w:r>
          <w:rPr>
            <w:rStyle w:val="Hyperlink"/>
          </w:rPr>
          <w:t xml:space="preserve">https://doi.org/10.2307/40035267</w:t>
        </w:r>
      </w:hyperlink>
      <w:r>
        <w:t xml:space="preserve">.</w:t>
      </w:r>
    </w:p>
    <w:bookmarkEnd w:id="238"/>
    <w:bookmarkStart w:id="240" w:name="ref-wiessner1984reconsidering"/>
    <w:p>
      <w:pPr>
        <w:pStyle w:val="Bibliography"/>
      </w:pPr>
      <w:r>
        <w:t xml:space="preserve">[93]</w:t>
      </w:r>
      <w:r>
        <w:t xml:space="preserve"> </w:t>
      </w:r>
      <w:r>
        <w:t xml:space="preserve">	</w:t>
      </w:r>
      <w:r>
        <w:t xml:space="preserve">Wiessner P. Reconsidering the behavioral basis for style: A case study among the</w:t>
      </w:r>
      <w:r>
        <w:t xml:space="preserve"> </w:t>
      </w:r>
      <w:r>
        <w:t xml:space="preserve">Kalahari San</w:t>
      </w:r>
      <w:r>
        <w:t xml:space="preserve">. Journal of Anthropological Archaeology 1984;3:190–234.</w:t>
      </w:r>
      <w:r>
        <w:t xml:space="preserve"> </w:t>
      </w:r>
      <w:hyperlink r:id="rId239">
        <w:r>
          <w:rPr>
            <w:rStyle w:val="Hyperlink"/>
          </w:rPr>
          <w:t xml:space="preserve">https://doi.org/10.1016/0278-4165(84)90002-3</w:t>
        </w:r>
      </w:hyperlink>
      <w:r>
        <w:t xml:space="preserve">.</w:t>
      </w:r>
    </w:p>
    <w:bookmarkEnd w:id="240"/>
    <w:bookmarkStart w:id="242" w:name="ref-smith1992"/>
    <w:p>
      <w:pPr>
        <w:pStyle w:val="Bibliography"/>
      </w:pPr>
      <w:r>
        <w:t xml:space="preserve">[94]</w:t>
      </w:r>
      <w:r>
        <w:t xml:space="preserve"> </w:t>
      </w:r>
      <w:r>
        <w:t xml:space="preserve">	</w:t>
      </w:r>
      <w:r>
        <w:t xml:space="preserve">Smith C. Colonising with style: Reviewing the nexus between rock art,</w:t>
      </w:r>
      <w:r>
        <w:t xml:space="preserve"> </w:t>
      </w:r>
      <w:r>
        <w:t xml:space="preserve">Territoriality</w:t>
      </w:r>
      <w:r>
        <w:t xml:space="preserve"> </w:t>
      </w:r>
      <w:r>
        <w:t xml:space="preserve">and the colonisation and occupation of</w:t>
      </w:r>
      <w:r>
        <w:t xml:space="preserve"> </w:t>
      </w:r>
      <w:r>
        <w:t xml:space="preserve">Sahul</w:t>
      </w:r>
      <w:r>
        <w:t xml:space="preserve">. Australian Archaeology 1992;34:34–42.</w:t>
      </w:r>
      <w:r>
        <w:t xml:space="preserve"> </w:t>
      </w:r>
      <w:hyperlink r:id="rId241">
        <w:r>
          <w:rPr>
            <w:rStyle w:val="Hyperlink"/>
          </w:rPr>
          <w:t xml:space="preserve">https://doi.org/10.1080/03122417.1992.11681450</w:t>
        </w:r>
      </w:hyperlink>
      <w:r>
        <w:t xml:space="preserve">.</w:t>
      </w:r>
    </w:p>
    <w:bookmarkEnd w:id="242"/>
    <w:bookmarkStart w:id="244" w:name="X4fed35d53d406ce17aea32f9d6f163fcb563519"/>
    <w:p>
      <w:pPr>
        <w:pStyle w:val="Bibliography"/>
      </w:pPr>
      <w:r>
        <w:t xml:space="preserve">[95]</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43">
        <w:r>
          <w:rPr>
            <w:rStyle w:val="Hyperlink"/>
          </w:rPr>
          <w:t xml:space="preserve">https://doi.org/10.1007/978-4-431-55363-2_8</w:t>
        </w:r>
      </w:hyperlink>
      <w:r>
        <w:t xml:space="preserve">.</w:t>
      </w:r>
    </w:p>
    <w:bookmarkEnd w:id="244"/>
    <w:bookmarkStart w:id="245" w:name="ref-Cavalli_Sforza_Feldman_1981"/>
    <w:p>
      <w:pPr>
        <w:pStyle w:val="Bibliography"/>
      </w:pPr>
      <w:r>
        <w:t xml:space="preserve">[96]</w:t>
      </w:r>
      <w:r>
        <w:t xml:space="preserve"> </w:t>
      </w:r>
      <w:r>
        <w:t xml:space="preserve">	</w:t>
      </w:r>
      <w:r>
        <w:t xml:space="preserve">Cavalli-Sforza L, Feldman MW. Cultural transmission and evolution: A quantitative approach. Princeton University Press; 1981.</w:t>
      </w:r>
    </w:p>
    <w:bookmarkEnd w:id="245"/>
    <w:bookmarkStart w:id="246" w:name="ref-Boyd_Richerson_1985"/>
    <w:p>
      <w:pPr>
        <w:pStyle w:val="Bibliography"/>
      </w:pPr>
      <w:r>
        <w:t xml:space="preserve">[97]</w:t>
      </w:r>
      <w:r>
        <w:t xml:space="preserve"> </w:t>
      </w:r>
      <w:r>
        <w:t xml:space="preserve">	</w:t>
      </w:r>
      <w:r>
        <w:t xml:space="preserve">Boyd R, Richerson PJ. Culture and the evolutionary process. University of Chicago Press; 1985.</w:t>
      </w:r>
    </w:p>
    <w:bookmarkEnd w:id="246"/>
    <w:bookmarkStart w:id="247" w:name="ref-Richerson_Boyd_2005"/>
    <w:p>
      <w:pPr>
        <w:pStyle w:val="Bibliography"/>
      </w:pPr>
      <w:r>
        <w:t xml:space="preserve">[98]</w:t>
      </w:r>
      <w:r>
        <w:t xml:space="preserve"> </w:t>
      </w:r>
      <w:r>
        <w:t xml:space="preserve">	</w:t>
      </w:r>
      <w:r>
        <w:t xml:space="preserve">Richerson PJ, Boyd R. Not by genes alone: How culture transformed human evolution. University of Chicago Press; 2005.</w:t>
      </w:r>
    </w:p>
    <w:bookmarkEnd w:id="247"/>
    <w:bookmarkStart w:id="249" w:name="ref-Henrich_2004"/>
    <w:p>
      <w:pPr>
        <w:pStyle w:val="Bibliography"/>
      </w:pPr>
      <w:r>
        <w:t xml:space="preserve">[99]</w:t>
      </w:r>
      <w:r>
        <w:t xml:space="preserve"> </w:t>
      </w:r>
      <w:r>
        <w:t xml:space="preserve">	</w:t>
      </w:r>
      <w:r>
        <w:t xml:space="preserve">Henrich J. Demography and cultural evolution: How adaptive cultural processes can produce maladaptive losses—</w:t>
      </w:r>
      <w:r>
        <w:t xml:space="preserve">The Tasmanian Case</w:t>
      </w:r>
      <w:r>
        <w:t xml:space="preserve">. American Antiquity 2004;69:197–214.</w:t>
      </w:r>
      <w:r>
        <w:t xml:space="preserve"> </w:t>
      </w:r>
      <w:hyperlink r:id="rId248">
        <w:r>
          <w:rPr>
            <w:rStyle w:val="Hyperlink"/>
          </w:rPr>
          <w:t xml:space="preserve">https://doi.org/10.2307/4128416</w:t>
        </w:r>
      </w:hyperlink>
      <w:r>
        <w:t xml:space="preserve">.</w:t>
      </w:r>
    </w:p>
    <w:bookmarkEnd w:id="249"/>
    <w:bookmarkStart w:id="251" w:name="ref-Migliano_2020"/>
    <w:p>
      <w:pPr>
        <w:pStyle w:val="Bibliography"/>
      </w:pPr>
      <w:r>
        <w:t xml:space="preserve">[100]</w:t>
      </w:r>
      <w:r>
        <w:t xml:space="preserve"> </w:t>
      </w:r>
      <w:r>
        <w:t xml:space="preserve">	</w:t>
      </w:r>
      <w:r>
        <w:t xml:space="preserve">Migliano AB, Battiston F, Viguier S, Page AE, Dyble M, Schlaepfer R, et al. Hunter-gatherer multilevel sociality accelerates cumulative cultural evolution. Science Advances 2020;6:eaax5913.</w:t>
      </w:r>
      <w:r>
        <w:t xml:space="preserve"> </w:t>
      </w:r>
      <w:hyperlink r:id="rId250">
        <w:r>
          <w:rPr>
            <w:rStyle w:val="Hyperlink"/>
          </w:rPr>
          <w:t xml:space="preserve">https://doi.org/10.1126/sciadv.aax5913</w:t>
        </w:r>
      </w:hyperlink>
      <w:r>
        <w:t xml:space="preserve">.</w:t>
      </w:r>
    </w:p>
    <w:bookmarkEnd w:id="251"/>
    <w:bookmarkStart w:id="253" w:name="ref-Romano_Lozano_2020"/>
    <w:p>
      <w:pPr>
        <w:pStyle w:val="Bibliography"/>
      </w:pPr>
      <w:r>
        <w:t xml:space="preserve">[101]</w:t>
      </w:r>
      <w:r>
        <w:t xml:space="preserve"> </w:t>
      </w:r>
      <w:r>
        <w:t xml:space="preserve">	</w:t>
      </w:r>
      <w:r>
        <w:t xml:space="preserve">Romano V, Lozano S, Fernández-López de Pablo J. A multilevel analytical framework for studying cultural evolution in prehistoric hunter–gatherer societies. Biological Reviews 2020;95:1020–35.</w:t>
      </w:r>
      <w:r>
        <w:t xml:space="preserve"> </w:t>
      </w:r>
      <w:hyperlink r:id="rId252">
        <w:r>
          <w:rPr>
            <w:rStyle w:val="Hyperlink"/>
          </w:rPr>
          <w:t xml:space="preserve">https://doi.org/10.1111/brv.12599</w:t>
        </w:r>
      </w:hyperlink>
      <w:r>
        <w:t xml:space="preserve">.</w:t>
      </w:r>
    </w:p>
    <w:bookmarkEnd w:id="253"/>
    <w:bookmarkStart w:id="255" w:name="ref-Buchanan_Hamilton_2023"/>
    <w:p>
      <w:pPr>
        <w:pStyle w:val="Bibliography"/>
      </w:pPr>
      <w:r>
        <w:t xml:space="preserve">[102]</w:t>
      </w:r>
      <w:r>
        <w:t xml:space="preserve"> </w:t>
      </w:r>
      <w:r>
        <w:t xml:space="preserve">	</w:t>
      </w:r>
      <w:r>
        <w:t xml:space="preserve">Buchanan B, Hamilton MJ. Networks and cultural transmission in hunter-gatherer societies. In: Brughmans T, Mills B, Munson J, Peeples M, editors. The oxford handbook of archaeological network research, Oxford University Press; 2023, p. 459–74.</w:t>
      </w:r>
      <w:r>
        <w:t xml:space="preserve"> </w:t>
      </w:r>
      <w:hyperlink r:id="rId254">
        <w:r>
          <w:rPr>
            <w:rStyle w:val="Hyperlink"/>
          </w:rPr>
          <w:t xml:space="preserve">https://doi.org/10.1093/oxfordhb/9780198854265.013.34</w:t>
        </w:r>
      </w:hyperlink>
      <w:r>
        <w:t xml:space="preserve">.</w:t>
      </w:r>
    </w:p>
    <w:bookmarkEnd w:id="255"/>
    <w:bookmarkStart w:id="257" w:name="ref-CucartMora_2022"/>
    <w:p>
      <w:pPr>
        <w:pStyle w:val="Bibliography"/>
      </w:pPr>
      <w:r>
        <w:t xml:space="preserve">[103]</w:t>
      </w:r>
      <w:r>
        <w:t xml:space="preserve"> </w:t>
      </w:r>
      <w:r>
        <w:t xml:space="preserve">	</w:t>
      </w:r>
      <w:r>
        <w:t xml:space="preserve">Cucart-Mora C, Gómez-Puche M, Romano V, Fernández-López de Pablo J, Lozano S. Reconstructing</w:t>
      </w:r>
      <w:r>
        <w:t xml:space="preserve"> </w:t>
      </w:r>
      <w:r>
        <w:t xml:space="preserve">Mesolithic</w:t>
      </w:r>
      <w:r>
        <w:t xml:space="preserve"> </w:t>
      </w:r>
      <w:r>
        <w:t xml:space="preserve">social networks on the</w:t>
      </w:r>
      <w:r>
        <w:t xml:space="preserve"> </w:t>
      </w:r>
      <w:r>
        <w:t xml:space="preserve">Iberian</w:t>
      </w:r>
      <w:r>
        <w:t xml:space="preserve"> </w:t>
      </w:r>
      <w:r>
        <w:t xml:space="preserve">Peninsula</w:t>
      </w:r>
      <w:r>
        <w:t xml:space="preserve"> </w:t>
      </w:r>
      <w:r>
        <w:t xml:space="preserve">using ornaments. Archaeological and Anthropological Sciences 2022;14:174.</w:t>
      </w:r>
      <w:r>
        <w:t xml:space="preserve"> </w:t>
      </w:r>
      <w:hyperlink r:id="rId256">
        <w:r>
          <w:rPr>
            <w:rStyle w:val="Hyperlink"/>
          </w:rPr>
          <w:t xml:space="preserve">https://doi.org/10.1007/s12520-022-01641-z</w:t>
        </w:r>
      </w:hyperlink>
      <w:r>
        <w:t xml:space="preserve">.</w:t>
      </w:r>
    </w:p>
    <w:bookmarkEnd w:id="257"/>
    <w:bookmarkStart w:id="259" w:name="ref-Eerkens_Lipo_2005"/>
    <w:p>
      <w:pPr>
        <w:pStyle w:val="Bibliography"/>
      </w:pPr>
      <w:r>
        <w:t xml:space="preserve">[104]</w:t>
      </w:r>
      <w:r>
        <w:t xml:space="preserve"> </w:t>
      </w:r>
      <w:r>
        <w:t xml:space="preserve">	</w:t>
      </w:r>
      <w:r>
        <w:t xml:space="preserve">Eerkens JW, Lipo CP. Cultural transmission, copying errors, and the generation of variation in material culture and the archaeological record. Journal of Anthropological Archaeology 2005;24:316–34.</w:t>
      </w:r>
      <w:r>
        <w:t xml:space="preserve"> </w:t>
      </w:r>
      <w:hyperlink r:id="rId258">
        <w:r>
          <w:rPr>
            <w:rStyle w:val="Hyperlink"/>
          </w:rPr>
          <w:t xml:space="preserve">https://doi.org/10.1016/j.jaa.2005.08.001</w:t>
        </w:r>
      </w:hyperlink>
      <w:r>
        <w:t xml:space="preserve">.</w:t>
      </w:r>
    </w:p>
    <w:bookmarkEnd w:id="259"/>
    <w:bookmarkStart w:id="261" w:name="ref-Intxaurbe_2026"/>
    <w:p>
      <w:pPr>
        <w:pStyle w:val="Bibliography"/>
      </w:pPr>
      <w:r>
        <w:t xml:space="preserve">[105]</w:t>
      </w:r>
      <w:r>
        <w:t xml:space="preserve"> </w:t>
      </w:r>
      <w:r>
        <w:t xml:space="preserve">	</w:t>
      </w:r>
      <w:r>
        <w:t xml:space="preserve">Intxaurbe I. Mapping the symbolic structure of</w:t>
      </w:r>
      <w:r>
        <w:t xml:space="preserve"> </w:t>
      </w:r>
      <w:r>
        <w:t xml:space="preserve">Palaeolithic</w:t>
      </w:r>
      <w:r>
        <w:t xml:space="preserve"> </w:t>
      </w:r>
      <w:r>
        <w:t xml:space="preserve">Rock Art</w:t>
      </w:r>
      <w:r>
        <w:t xml:space="preserve"> </w:t>
      </w:r>
      <w:r>
        <w:t xml:space="preserve">using co-occurrence network analysis. Journal of Archaeological Method and Theory 2026;33.</w:t>
      </w:r>
      <w:r>
        <w:t xml:space="preserve"> </w:t>
      </w:r>
      <w:hyperlink r:id="rId260">
        <w:r>
          <w:rPr>
            <w:rStyle w:val="Hyperlink"/>
          </w:rPr>
          <w:t xml:space="preserve">https://doi.org/10.1007/s10816-026-09796-y</w:t>
        </w:r>
      </w:hyperlink>
      <w:r>
        <w:t xml:space="preserve">.</w:t>
      </w:r>
    </w:p>
    <w:bookmarkEnd w:id="261"/>
    <w:bookmarkStart w:id="263" w:name="ref-Bentz_Dutkiewicz_2026"/>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262">
        <w:r>
          <w:rPr>
            <w:rStyle w:val="Hyperlink"/>
          </w:rPr>
          <w:t xml:space="preserve">https://doi.org/10.1073/pnas.2520385123</w:t>
        </w:r>
      </w:hyperlink>
      <w:r>
        <w:t xml:space="preserve">.</w:t>
      </w:r>
    </w:p>
    <w:bookmarkEnd w:id="263"/>
    <w:bookmarkStart w:id="265"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2023;33:371–89.</w:t>
      </w:r>
      <w:r>
        <w:t xml:space="preserve"> </w:t>
      </w:r>
      <w:hyperlink r:id="rId264">
        <w:r>
          <w:rPr>
            <w:rStyle w:val="Hyperlink"/>
          </w:rPr>
          <w:t xml:space="preserve">https://doi.org/10.1017/S0959774322000415</w:t>
        </w:r>
      </w:hyperlink>
      <w:r>
        <w:t xml:space="preserve">.</w:t>
      </w:r>
    </w:p>
    <w:bookmarkEnd w:id="265"/>
    <w:bookmarkStart w:id="267" w:name="Xa4990169aeb885a690070ab4fd90972c31994f8"/>
    <w:p>
      <w:pPr>
        <w:pStyle w:val="Bibliography"/>
      </w:pPr>
      <w:r>
        <w:t xml:space="preserve">[108]</w:t>
      </w:r>
      <w:r>
        <w:t xml:space="preserve"> </w:t>
      </w:r>
      <w:r>
        <w:t xml:space="preserve">	</w:t>
      </w:r>
      <w:r>
        <w:t xml:space="preserve">d’Errico F, Santos da Rosa N, Courtenay LA, Núñez R, Liu C, Sproat R, et al.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66">
        <w:r>
          <w:rPr>
            <w:rStyle w:val="Hyperlink"/>
          </w:rPr>
          <w:t xml:space="preserve">https://doi.org/10.2139/ssrn.7053279</w:t>
        </w:r>
      </w:hyperlink>
      <w:r>
        <w:t xml:space="preserve">.</w:t>
      </w:r>
    </w:p>
    <w:bookmarkEnd w:id="267"/>
    <w:bookmarkStart w:id="269" w:name="X8ea620419c64d551554c48b7075c9934881930b"/>
    <w:p>
      <w:pPr>
        <w:pStyle w:val="Bibliography"/>
      </w:pPr>
      <w:r>
        <w:t xml:space="preserve">[109]</w:t>
      </w:r>
      <w:r>
        <w:t xml:space="preserve"> </w:t>
      </w:r>
      <w:r>
        <w:t xml:space="preserve">	</w:t>
      </w:r>
      <w:r>
        <w:t xml:space="preserve">Garcı́a-Bustos M, Rivero O, Sauvet G, Garcı́a 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68">
        <w:r>
          <w:rPr>
            <w:rStyle w:val="Hyperlink"/>
          </w:rPr>
          <w:t xml:space="preserve">https://doi.org/10.1007/s41982-023-00158-8</w:t>
        </w:r>
      </w:hyperlink>
      <w:r>
        <w:t xml:space="preserve">.</w:t>
      </w:r>
    </w:p>
    <w:bookmarkEnd w:id="269"/>
    <w:bookmarkStart w:id="271"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Time and Mind 2024;17:181–9.</w:t>
      </w:r>
      <w:r>
        <w:t xml:space="preserve"> </w:t>
      </w:r>
      <w:hyperlink r:id="rId270">
        <w:r>
          <w:rPr>
            <w:rStyle w:val="Hyperlink"/>
          </w:rPr>
          <w:t xml:space="preserve">https://doi.org/10.1080/1751696X.2024.2441115</w:t>
        </w:r>
      </w:hyperlink>
      <w:r>
        <w:t xml:space="preserve">.</w:t>
      </w:r>
    </w:p>
    <w:bookmarkEnd w:id="271"/>
    <w:bookmarkStart w:id="273" w:name="ref-Nowell_2024_evidence"/>
    <w:p>
      <w:pPr>
        <w:pStyle w:val="Bibliography"/>
      </w:pPr>
      <w:r>
        <w:t xml:space="preserve">[111]</w:t>
      </w:r>
      <w:r>
        <w:t xml:space="preserve"> </w:t>
      </w:r>
      <w:r>
        <w:t xml:space="preserve">	</w:t>
      </w:r>
      <w:r>
        <w:t xml:space="preserve">Nowell A, Bahn P, Le Quellec J-L. Evaluating the evidence for lunar calendars in</w:t>
      </w:r>
      <w:r>
        <w:t xml:space="preserve"> </w:t>
      </w:r>
      <w:r>
        <w:t xml:space="preserve">Upper Palaeolithic</w:t>
      </w:r>
      <w:r>
        <w:t xml:space="preserve"> </w:t>
      </w:r>
      <w:r>
        <w:t xml:space="preserve">parietal art. Cambridge Archaeological Journal 2025;35:38–55.</w:t>
      </w:r>
      <w:r>
        <w:t xml:space="preserve"> </w:t>
      </w:r>
      <w:hyperlink r:id="rId272">
        <w:r>
          <w:rPr>
            <w:rStyle w:val="Hyperlink"/>
          </w:rPr>
          <w:t xml:space="preserve">https://doi.org/10.1017/S0959774324000155</w:t>
        </w:r>
      </w:hyperlink>
      <w:r>
        <w:t xml:space="preserve">.</w:t>
      </w:r>
    </w:p>
    <w:bookmarkEnd w:id="273"/>
    <w:bookmarkStart w:id="275"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74">
        <w:r>
          <w:rPr>
            <w:rStyle w:val="Hyperlink"/>
          </w:rPr>
          <w:t xml:space="preserve">https://doi.org/10.1007/978-981-13-8980-1_12</w:t>
        </w:r>
      </w:hyperlink>
      <w:r>
        <w:t xml:space="preserve">.</w:t>
      </w:r>
    </w:p>
    <w:bookmarkEnd w:id="275"/>
    <w:bookmarkStart w:id="276" w:name="ref-Rogers_2018"/>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w:t>
      </w:r>
      <w:r>
        <w:t xml:space="preserve"> </w:t>
      </w:r>
      <w:r>
        <w:t xml:space="preserve">BP</w:t>
      </w:r>
      <w:r>
        <w:t xml:space="preserve">: An analysis of marine shell ornament distribution. Master’s thesis. University of Victoria, 2018.</w:t>
      </w:r>
    </w:p>
    <w:bookmarkEnd w:id="276"/>
    <w:bookmarkStart w:id="278"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w:t>
      </w:r>
      <w:r>
        <w:t xml:space="preserve"> </w:t>
      </w:r>
      <w:hyperlink r:id="rId277">
        <w:r>
          <w:rPr>
            <w:rStyle w:val="Hyperlink"/>
          </w:rPr>
          <w:t xml:space="preserve">https://doi.org/10.1016/j.jasrep.2021.103118</w:t>
        </w:r>
      </w:hyperlink>
      <w:r>
        <w:t xml:space="preserve">.</w:t>
      </w:r>
    </w:p>
    <w:bookmarkEnd w:id="278"/>
    <w:bookmarkStart w:id="280"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79">
        <w:r>
          <w:rPr>
            <w:rStyle w:val="Hyperlink"/>
          </w:rPr>
          <w:t xml:space="preserve">https://doi.org/10.2307/2802103</w:t>
        </w:r>
      </w:hyperlink>
      <w:r>
        <w:t xml:space="preserve">.</w:t>
      </w:r>
    </w:p>
    <w:bookmarkEnd w:id="280"/>
    <w:bookmarkStart w:id="282"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w:t>
      </w:r>
      <w:r>
        <w:t xml:space="preserve"> </w:t>
      </w:r>
      <w:hyperlink r:id="rId281">
        <w:r>
          <w:rPr>
            <w:rStyle w:val="Hyperlink"/>
          </w:rPr>
          <w:t xml:space="preserve">https://doi.org/10.1016/j.quascirev.2018.12.011</w:t>
        </w:r>
      </w:hyperlink>
      <w:r>
        <w:t xml:space="preserve">.</w:t>
      </w:r>
    </w:p>
    <w:bookmarkEnd w:id="282"/>
    <w:bookmarkStart w:id="284"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83">
        <w:r>
          <w:rPr>
            <w:rStyle w:val="Hyperlink"/>
          </w:rPr>
          <w:t xml:space="preserve">https://doi.org/10.1098/rsif.2017.0171</w:t>
        </w:r>
      </w:hyperlink>
      <w:r>
        <w:t xml:space="preserve">.</w:t>
      </w:r>
    </w:p>
    <w:bookmarkEnd w:id="284"/>
    <w:bookmarkStart w:id="286"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85">
        <w:r>
          <w:rPr>
            <w:rStyle w:val="Hyperlink"/>
          </w:rPr>
          <w:t xml:space="preserve">https://doi.org/10.1007/978-1-4757-9945-3_4</w:t>
        </w:r>
      </w:hyperlink>
      <w:r>
        <w:t xml:space="preserve">.</w:t>
      </w:r>
    </w:p>
    <w:bookmarkEnd w:id="286"/>
    <w:bookmarkStart w:id="288"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2014;9:e102806.</w:t>
      </w:r>
      <w:r>
        <w:t xml:space="preserve"> </w:t>
      </w:r>
      <w:hyperlink r:id="rId287">
        <w:r>
          <w:rPr>
            <w:rStyle w:val="Hyperlink"/>
          </w:rPr>
          <w:t xml:space="preserve">https://doi.org/10.1371/journal.pone.0102806</w:t>
        </w:r>
      </w:hyperlink>
      <w:r>
        <w:t xml:space="preserve">.</w:t>
      </w:r>
    </w:p>
    <w:bookmarkEnd w:id="288"/>
    <w:bookmarkStart w:id="290"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89">
        <w:r>
          <w:rPr>
            <w:rStyle w:val="Hyperlink"/>
          </w:rPr>
          <w:t xml:space="preserve">https://doi.org/10.1073/pnas.1518798113</w:t>
        </w:r>
      </w:hyperlink>
      <w:r>
        <w:t xml:space="preserve">.</w:t>
      </w:r>
    </w:p>
    <w:bookmarkEnd w:id="290"/>
    <w:bookmarkStart w:id="291" w:name="ref-Von_Petzinger_2009"/>
    <w:p>
      <w:pPr>
        <w:pStyle w:val="Bibliography"/>
      </w:pPr>
      <w:r>
        <w:t xml:space="preserve">[121]</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Master’s thesis. University of Victoria, 2009.</w:t>
      </w:r>
    </w:p>
    <w:bookmarkEnd w:id="291"/>
    <w:bookmarkStart w:id="293" w:name="ref-Herskind2023"/>
    <w:p>
      <w:pPr>
        <w:pStyle w:val="Bibliography"/>
      </w:pPr>
      <w:r>
        <w:t xml:space="preserve">[122]</w:t>
      </w:r>
      <w:r>
        <w:t xml:space="preserve"> </w:t>
      </w:r>
      <w:r>
        <w:t xml:space="preserve">	</w:t>
      </w:r>
      <w:r>
        <w:t xml:space="preserve">Herskind LLP. A case for idle graffiti: Challenging the semiotic resurgence within prehistoric art research. Hunter Gatherer Research 2023;9:59–93.</w:t>
      </w:r>
      <w:r>
        <w:t xml:space="preserve"> </w:t>
      </w:r>
      <w:hyperlink r:id="rId292">
        <w:r>
          <w:rPr>
            <w:rStyle w:val="Hyperlink"/>
          </w:rPr>
          <w:t xml:space="preserve">https://doi.org/10.3828/hgr.2023.12</w:t>
        </w:r>
      </w:hyperlink>
      <w:r>
        <w:t xml:space="preserve">.</w:t>
      </w:r>
    </w:p>
    <w:bookmarkEnd w:id="293"/>
    <w:bookmarkStart w:id="295" w:name="ref-Gravel-Miguel_Coward_2023"/>
    <w:p>
      <w:pPr>
        <w:pStyle w:val="Bibliography"/>
      </w:pPr>
      <w:r>
        <w:t xml:space="preserve">[123]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 p. 443–58.</w:t>
      </w:r>
      <w:r>
        <w:t xml:space="preserve"> </w:t>
      </w:r>
      <w:hyperlink r:id="rId294">
        <w:r>
          <w:rPr>
            <w:rStyle w:val="Hyperlink"/>
          </w:rPr>
          <w:t xml:space="preserve">https://doi.org/10.1093/oxfordhb/9780198854265.013.31</w:t>
        </w:r>
      </w:hyperlink>
      <w:r>
        <w:t xml:space="preserve">.</w:t>
      </w:r>
    </w:p>
    <w:bookmarkEnd w:id="295"/>
    <w:bookmarkStart w:id="297"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96">
        <w:r>
          <w:rPr>
            <w:rStyle w:val="Hyperlink"/>
          </w:rPr>
          <w:t xml:space="preserve">https://doi.org/10.1007/s10816-023-09608-7</w:t>
        </w:r>
      </w:hyperlink>
      <w:r>
        <w:t xml:space="preserve">.</w:t>
      </w:r>
    </w:p>
    <w:bookmarkEnd w:id="297"/>
    <w:bookmarkStart w:id="299" w:name="ref-Chiotti_2005"/>
    <w:p>
      <w:pPr>
        <w:pStyle w:val="Bibliography"/>
      </w:pPr>
      <w:r>
        <w:t xml:space="preserve">[125]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98">
        <w:r>
          <w:rPr>
            <w:rStyle w:val="Hyperlink"/>
          </w:rPr>
          <w:t xml:space="preserve">https://doi.org/10.30861/9781841718309</w:t>
        </w:r>
      </w:hyperlink>
      <w:r>
        <w:t xml:space="preserve">.</w:t>
      </w:r>
    </w:p>
    <w:bookmarkEnd w:id="299"/>
    <w:bookmarkStart w:id="301" w:name="ref-Higham_Abri_Pataud_2011"/>
    <w:p>
      <w:pPr>
        <w:pStyle w:val="Bibliography"/>
      </w:pPr>
      <w:r>
        <w:t xml:space="preserve">[126]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00">
        <w:r>
          <w:rPr>
            <w:rStyle w:val="Hyperlink"/>
          </w:rPr>
          <w:t xml:space="preserve">https://doi.org/10.1016/j.jhevol.2011.06.005</w:t>
        </w:r>
      </w:hyperlink>
      <w:r>
        <w:t xml:space="preserve">.</w:t>
      </w:r>
    </w:p>
    <w:bookmarkEnd w:id="301"/>
    <w:bookmarkStart w:id="303" w:name="ref-Talamo_La_Ferrassie_2020"/>
    <w:p>
      <w:pPr>
        <w:pStyle w:val="Bibliography"/>
      </w:pPr>
      <w:r>
        <w:t xml:space="preserve">[127]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02">
        <w:r>
          <w:rPr>
            <w:rStyle w:val="Hyperlink"/>
          </w:rPr>
          <w:t xml:space="preserve">https://doi.org/10.1002/jqs.3236</w:t>
        </w:r>
      </w:hyperlink>
      <w:r>
        <w:t xml:space="preserve">.</w:t>
      </w:r>
    </w:p>
    <w:bookmarkEnd w:id="303"/>
    <w:bookmarkStart w:id="305" w:name="ref-Wild_et_al_2005"/>
    <w:p>
      <w:pPr>
        <w:pStyle w:val="Bibliography"/>
      </w:pPr>
      <w:r>
        <w:t xml:space="preserve">[128]</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304">
        <w:r>
          <w:rPr>
            <w:rStyle w:val="Hyperlink"/>
          </w:rPr>
          <w:t xml:space="preserve">https://doi.org/10.1038/nature03585</w:t>
        </w:r>
      </w:hyperlink>
      <w:r>
        <w:t xml:space="preserve">.</w:t>
      </w:r>
    </w:p>
    <w:bookmarkEnd w:id="305"/>
    <w:bookmarkStart w:id="307" w:name="ref-Schurch_Conard_2026_reassess"/>
    <w:p>
      <w:pPr>
        <w:pStyle w:val="Bibliography"/>
      </w:pPr>
      <w:r>
        <w:t xml:space="preserve">[129]</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306">
        <w:r>
          <w:rPr>
            <w:rStyle w:val="Hyperlink"/>
          </w:rPr>
          <w:t xml:space="preserve">https://doi.org/10.1007/s41982-025-00246-x</w:t>
        </w:r>
      </w:hyperlink>
      <w:r>
        <w:t xml:space="preserve">.</w:t>
      </w:r>
    </w:p>
    <w:bookmarkEnd w:id="307"/>
    <w:bookmarkEnd w:id="308"/>
    <w:bookmarkEnd w:id="309"/>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4" Target="media/rId2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hyperlink" Id="rId152" Target="http://www.jstor.org/stable/j.ctt1pk86rr.16" TargetMode="External" /><Relationship Type="http://schemas.openxmlformats.org/officeDocument/2006/relationships/hyperlink" Id="rId146" Target="http://www.jstor.org/stable/j.ctt1pk86rr.5" TargetMode="External" /><Relationship Type="http://schemas.openxmlformats.org/officeDocument/2006/relationships/hyperlink" Id="rId62" Target="https://books.google.com/books?id=XmrazQEACAAJ" TargetMode="External" /><Relationship Type="http://schemas.openxmlformats.org/officeDocument/2006/relationships/hyperlink" Id="rId229" Target="https://doi.org/10.1002/9780470773475.ch5" TargetMode="External" /><Relationship Type="http://schemas.openxmlformats.org/officeDocument/2006/relationships/hyperlink" Id="rId235"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2"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5"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3" Target="https://doi.org/10.1007/978-4-431-55363-2_8" TargetMode="External" /><Relationship Type="http://schemas.openxmlformats.org/officeDocument/2006/relationships/hyperlink" Id="rId274"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6" Target="https://doi.org/10.1007/s10816-023-09608-7" TargetMode="External" /><Relationship Type="http://schemas.openxmlformats.org/officeDocument/2006/relationships/hyperlink" Id="rId260"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6" Target="https://doi.org/10.1007/s12520-022-01641-z" TargetMode="External" /><Relationship Type="http://schemas.openxmlformats.org/officeDocument/2006/relationships/hyperlink" Id="rId268" Target="https://doi.org/10.1007/s41982-023-00158-8" TargetMode="External" /><Relationship Type="http://schemas.openxmlformats.org/officeDocument/2006/relationships/hyperlink" Id="rId306" Target="https://doi.org/10.1007/s41982-025-00246-x" TargetMode="External" /><Relationship Type="http://schemas.openxmlformats.org/officeDocument/2006/relationships/hyperlink" Id="rId239"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31"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8"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1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7"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300"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81"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4" Target="https://doi.org/10.1017/S0959774322000415" TargetMode="External" /><Relationship Type="http://schemas.openxmlformats.org/officeDocument/2006/relationships/hyperlink" Id="rId272" Target="https://doi.org/10.1017/S0959774324000155" TargetMode="External" /><Relationship Type="http://schemas.openxmlformats.org/officeDocument/2006/relationships/hyperlink" Id="rId227" Target="https://doi.org/10.1017/cbo9780511720277.008" TargetMode="External" /><Relationship Type="http://schemas.openxmlformats.org/officeDocument/2006/relationships/hyperlink" Id="rId90" Target="https://doi.org/10.1017/ppr.2019.11" TargetMode="External" /><Relationship Type="http://schemas.openxmlformats.org/officeDocument/2006/relationships/hyperlink" Id="rId304" Target="https://doi.org/10.1038/nature03585" TargetMode="External" /><Relationship Type="http://schemas.openxmlformats.org/officeDocument/2006/relationships/hyperlink" Id="rId22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9" Target="https://doi.org/10.1073/pnas.1518798113" TargetMode="External" /><Relationship Type="http://schemas.openxmlformats.org/officeDocument/2006/relationships/hyperlink" Id="rId262" Target="https://doi.org/10.1073/pnas.2520385123" TargetMode="External" /><Relationship Type="http://schemas.openxmlformats.org/officeDocument/2006/relationships/hyperlink" Id="rId233" Target="https://doi.org/10.1080/00438243.1994.9980272" TargetMode="External" /><Relationship Type="http://schemas.openxmlformats.org/officeDocument/2006/relationships/hyperlink" Id="rId241" Target="https://doi.org/10.1080/03122417.1992.11681450" TargetMode="External" /><Relationship Type="http://schemas.openxmlformats.org/officeDocument/2006/relationships/hyperlink" Id="rId225" Target="https://doi.org/10.1080/03122417.1992.11681454" TargetMode="External" /><Relationship Type="http://schemas.openxmlformats.org/officeDocument/2006/relationships/hyperlink" Id="rId270" Target="https://doi.org/10.1080/1751696X.2024.2441115" TargetMode="External" /><Relationship Type="http://schemas.openxmlformats.org/officeDocument/2006/relationships/hyperlink" Id="rId204" Target="https://doi.org/10.1086/202540" TargetMode="External" /><Relationship Type="http://schemas.openxmlformats.org/officeDocument/2006/relationships/hyperlink" Id="rId214" Target="https://doi.org/10.1086/202802" TargetMode="External" /><Relationship Type="http://schemas.openxmlformats.org/officeDocument/2006/relationships/hyperlink" Id="rId206"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4" Target="https://doi.org/10.1093/oxfordhb/9780198854265.013.31" TargetMode="External" /><Relationship Type="http://schemas.openxmlformats.org/officeDocument/2006/relationships/hyperlink" Id="rId254" Target="https://doi.org/10.1093/oxfordhb/9780198854265.013.34" TargetMode="External" /><Relationship Type="http://schemas.openxmlformats.org/officeDocument/2006/relationships/hyperlink" Id="rId283" Target="https://doi.org/10.1098/rsif.2017.0171" TargetMode="External" /><Relationship Type="http://schemas.openxmlformats.org/officeDocument/2006/relationships/hyperlink" Id="rId194" Target="https://doi.org/10.1098/rstb.2020.0318" TargetMode="External" /><Relationship Type="http://schemas.openxmlformats.org/officeDocument/2006/relationships/hyperlink" Id="rId252" Target="https://doi.org/10.1111/brv.12599" TargetMode="External" /><Relationship Type="http://schemas.openxmlformats.org/officeDocument/2006/relationships/hyperlink" Id="rId208"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6" Target="https://doi.org/10.1111/tops.12762" TargetMode="External" /><Relationship Type="http://schemas.openxmlformats.org/officeDocument/2006/relationships/hyperlink" Id="rId250"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7"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ATM]2.0.CO;2" TargetMode="External" /><Relationship Type="http://schemas.openxmlformats.org/officeDocument/2006/relationships/hyperlink" Id="rId266"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9" Target="https://doi.org/10.2307/2802103" TargetMode="External" /><Relationship Type="http://schemas.openxmlformats.org/officeDocument/2006/relationships/hyperlink" Id="rId221"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7" Target="https://doi.org/10.2307/40035267" TargetMode="External" /><Relationship Type="http://schemas.openxmlformats.org/officeDocument/2006/relationships/hyperlink" Id="rId248"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2" Target="https://doi.org/10.2307/j.ctvdmwwz4.10" TargetMode="External" /><Relationship Type="http://schemas.openxmlformats.org/officeDocument/2006/relationships/hyperlink" Id="rId190" Target="https://doi.org/10.2307/j.ctvdmwwz4.7" TargetMode="External" /><Relationship Type="http://schemas.openxmlformats.org/officeDocument/2006/relationships/hyperlink" Id="rId188" Target="https://doi.org/10.2307/j.ctvdmwwz4.8" TargetMode="External" /><Relationship Type="http://schemas.openxmlformats.org/officeDocument/2006/relationships/hyperlink" Id="rId298" Target="https://doi.org/10.30861/9781841718309" TargetMode="External" /><Relationship Type="http://schemas.openxmlformats.org/officeDocument/2006/relationships/hyperlink" Id="rId198" Target="https://doi.org/10.3213/2191-5784-10243" TargetMode="External" /><Relationship Type="http://schemas.openxmlformats.org/officeDocument/2006/relationships/hyperlink" Id="rId112" Target="https://doi.org/10.32614/CRAN.package.rnaturalearth" TargetMode="External" /><Relationship Type="http://schemas.openxmlformats.org/officeDocument/2006/relationships/hyperlink" Id="rId134" Target="https://doi.org/10.32614/CRAN.package.statnet"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2" Target="https://doi.org/10.3828/hgr.2023.12" TargetMode="External" /><Relationship Type="http://schemas.openxmlformats.org/officeDocument/2006/relationships/hyperlink" Id="rId212"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9"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20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2" Target="http://www.jstor.org/stable/j.ctt1pk86rr.16" TargetMode="External" /><Relationship Type="http://schemas.openxmlformats.org/officeDocument/2006/relationships/hyperlink" Id="rId146" Target="http://www.jstor.org/stable/j.ctt1pk86rr.5" TargetMode="External" /><Relationship Type="http://schemas.openxmlformats.org/officeDocument/2006/relationships/hyperlink" Id="rId62" Target="https://books.google.com/books?id=XmrazQEACAAJ" TargetMode="External" /><Relationship Type="http://schemas.openxmlformats.org/officeDocument/2006/relationships/hyperlink" Id="rId229" Target="https://doi.org/10.1002/9780470773475.ch5" TargetMode="External" /><Relationship Type="http://schemas.openxmlformats.org/officeDocument/2006/relationships/hyperlink" Id="rId235" Target="https://doi.org/10.1002/9781118253892.ch6" TargetMode="External" /><Relationship Type="http://schemas.openxmlformats.org/officeDocument/2006/relationships/hyperlink" Id="rId138" Target="https://doi.org/10.1002/9781118445112.stat07841" TargetMode="External" /><Relationship Type="http://schemas.openxmlformats.org/officeDocument/2006/relationships/hyperlink" Id="rId118"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302" Target="https://doi.org/10.1002/jqs.3236" TargetMode="External" /><Relationship Type="http://schemas.openxmlformats.org/officeDocument/2006/relationships/hyperlink" Id="rId132" Target="https://doi.org/10.1002/spe.4380211102" TargetMode="External" /><Relationship Type="http://schemas.openxmlformats.org/officeDocument/2006/relationships/hyperlink" Id="rId285" Target="https://doi.org/10.1007/978-1-4757-9945-3_4" TargetMode="External" /><Relationship Type="http://schemas.openxmlformats.org/officeDocument/2006/relationships/hyperlink" Id="rId88" Target="https://doi.org/10.1007/978-3-319-51726-1_3441-1" TargetMode="External" /><Relationship Type="http://schemas.openxmlformats.org/officeDocument/2006/relationships/hyperlink" Id="rId243" Target="https://doi.org/10.1007/978-4-431-55363-2_8" TargetMode="External" /><Relationship Type="http://schemas.openxmlformats.org/officeDocument/2006/relationships/hyperlink" Id="rId274"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142" Target="https://doi.org/10.1007/s10816-015-9272-9" TargetMode="External" /><Relationship Type="http://schemas.openxmlformats.org/officeDocument/2006/relationships/hyperlink" Id="rId296" Target="https://doi.org/10.1007/s10816-023-09608-7" TargetMode="External" /><Relationship Type="http://schemas.openxmlformats.org/officeDocument/2006/relationships/hyperlink" Id="rId260" Target="https://doi.org/10.1007/s10816-026-09796-y" TargetMode="External" /><Relationship Type="http://schemas.openxmlformats.org/officeDocument/2006/relationships/hyperlink" Id="rId116" Target="https://doi.org/10.1007/s12520-018-0742-3" TargetMode="External" /><Relationship Type="http://schemas.openxmlformats.org/officeDocument/2006/relationships/hyperlink" Id="rId256" Target="https://doi.org/10.1007/s12520-022-01641-z" TargetMode="External" /><Relationship Type="http://schemas.openxmlformats.org/officeDocument/2006/relationships/hyperlink" Id="rId268" Target="https://doi.org/10.1007/s41982-023-00158-8" TargetMode="External" /><Relationship Type="http://schemas.openxmlformats.org/officeDocument/2006/relationships/hyperlink" Id="rId306" Target="https://doi.org/10.1007/s41982-025-00246-x" TargetMode="External" /><Relationship Type="http://schemas.openxmlformats.org/officeDocument/2006/relationships/hyperlink" Id="rId239" Target="https://doi.org/10.1016/0278-4165(84)90002-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31" Target="https://doi.org/10.1016/B978-0-12-564750-2.50020-2" TargetMode="External" /><Relationship Type="http://schemas.openxmlformats.org/officeDocument/2006/relationships/hyperlink" Id="rId140"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258" Target="https://doi.org/10.1016/j.jaa.2005.08.001" TargetMode="External" /><Relationship Type="http://schemas.openxmlformats.org/officeDocument/2006/relationships/hyperlink" Id="rId186" Target="https://doi.org/10.1016/j.jaa.2005.11.004" TargetMode="External" /><Relationship Type="http://schemas.openxmlformats.org/officeDocument/2006/relationships/hyperlink" Id="rId210" Target="https://doi.org/10.1016/j.jaa.2013.05.005" TargetMode="External" /><Relationship Type="http://schemas.openxmlformats.org/officeDocument/2006/relationships/hyperlink" Id="rId72" Target="https://doi.org/10.1016/j.jas.2005.11.017" TargetMode="External" /><Relationship Type="http://schemas.openxmlformats.org/officeDocument/2006/relationships/hyperlink" Id="rId78" Target="https://doi.org/10.1016/j.jas.2012.02.003" TargetMode="External" /><Relationship Type="http://schemas.openxmlformats.org/officeDocument/2006/relationships/hyperlink" Id="rId76" Target="https://doi.org/10.1016/j.jas.2015.05.003" TargetMode="External" /><Relationship Type="http://schemas.openxmlformats.org/officeDocument/2006/relationships/hyperlink" Id="rId144" Target="https://doi.org/10.1016/j.jas.2025.106281" TargetMode="External" /><Relationship Type="http://schemas.openxmlformats.org/officeDocument/2006/relationships/hyperlink" Id="rId277" Target="https://doi.org/10.1016/j.jasrep.2021.103118" TargetMode="External" /><Relationship Type="http://schemas.openxmlformats.org/officeDocument/2006/relationships/hyperlink" Id="rId184" Target="https://doi.org/10.1016/j.jasrep.2024.104798" TargetMode="External" /><Relationship Type="http://schemas.openxmlformats.org/officeDocument/2006/relationships/hyperlink" Id="rId300" Target="https://doi.org/10.1016/j.jhevol.2011.06.005" TargetMode="External" /><Relationship Type="http://schemas.openxmlformats.org/officeDocument/2006/relationships/hyperlink" Id="rId102" Target="https://doi.org/10.1016/j.jhevol.2012.10.001" TargetMode="External" /><Relationship Type="http://schemas.openxmlformats.org/officeDocument/2006/relationships/hyperlink" Id="rId95" Target="https://doi.org/10.1016/j.qeh.2024.100037" TargetMode="External" /><Relationship Type="http://schemas.openxmlformats.org/officeDocument/2006/relationships/hyperlink" Id="rId159" Target="https://doi.org/10.1016/j.quaint.2012.03.054" TargetMode="External" /><Relationship Type="http://schemas.openxmlformats.org/officeDocument/2006/relationships/hyperlink" Id="rId68" Target="https://doi.org/10.1016/j.quaint.2017.01.039" TargetMode="External" /><Relationship Type="http://schemas.openxmlformats.org/officeDocument/2006/relationships/hyperlink" Id="rId74" Target="https://doi.org/10.1016/j.quaint.2017.12.017" TargetMode="External" /><Relationship Type="http://schemas.openxmlformats.org/officeDocument/2006/relationships/hyperlink" Id="rId108" Target="https://doi.org/10.1016/j.quascirev.2009.11.015" TargetMode="External" /><Relationship Type="http://schemas.openxmlformats.org/officeDocument/2006/relationships/hyperlink" Id="rId281" Target="https://doi.org/10.1016/j.quascirev.2018.12.011" TargetMode="External" /><Relationship Type="http://schemas.openxmlformats.org/officeDocument/2006/relationships/hyperlink" Id="rId84"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4"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64" Target="https://doi.org/10.1017/S0959774322000415" TargetMode="External" /><Relationship Type="http://schemas.openxmlformats.org/officeDocument/2006/relationships/hyperlink" Id="rId272" Target="https://doi.org/10.1017/S0959774324000155" TargetMode="External" /><Relationship Type="http://schemas.openxmlformats.org/officeDocument/2006/relationships/hyperlink" Id="rId227" Target="https://doi.org/10.1017/cbo9780511720277.008" TargetMode="External" /><Relationship Type="http://schemas.openxmlformats.org/officeDocument/2006/relationships/hyperlink" Id="rId90" Target="https://doi.org/10.1017/ppr.2019.11" TargetMode="External" /><Relationship Type="http://schemas.openxmlformats.org/officeDocument/2006/relationships/hyperlink" Id="rId304" Target="https://doi.org/10.1038/nature03585" TargetMode="External" /><Relationship Type="http://schemas.openxmlformats.org/officeDocument/2006/relationships/hyperlink" Id="rId223" Target="https://doi.org/10.1038/s41467-024-51349-y" TargetMode="External" /><Relationship Type="http://schemas.openxmlformats.org/officeDocument/2006/relationships/hyperlink" Id="rId66" Target="https://doi.org/10.1038/s41562-023-01803-6" TargetMode="External" /><Relationship Type="http://schemas.openxmlformats.org/officeDocument/2006/relationships/hyperlink" Id="rId80" Target="https://doi.org/10.1038/s41597-020-00704-x" TargetMode="External" /><Relationship Type="http://schemas.openxmlformats.org/officeDocument/2006/relationships/hyperlink" Id="rId82" Target="https://doi.org/10.1038/s41598-021-01221-6" TargetMode="External" /><Relationship Type="http://schemas.openxmlformats.org/officeDocument/2006/relationships/hyperlink" Id="rId289" Target="https://doi.org/10.1073/pnas.1518798113" TargetMode="External" /><Relationship Type="http://schemas.openxmlformats.org/officeDocument/2006/relationships/hyperlink" Id="rId262" Target="https://doi.org/10.1073/pnas.2520385123" TargetMode="External" /><Relationship Type="http://schemas.openxmlformats.org/officeDocument/2006/relationships/hyperlink" Id="rId233" Target="https://doi.org/10.1080/00438243.1994.9980272" TargetMode="External" /><Relationship Type="http://schemas.openxmlformats.org/officeDocument/2006/relationships/hyperlink" Id="rId241" Target="https://doi.org/10.1080/03122417.1992.11681450" TargetMode="External" /><Relationship Type="http://schemas.openxmlformats.org/officeDocument/2006/relationships/hyperlink" Id="rId225" Target="https://doi.org/10.1080/03122417.1992.11681454" TargetMode="External" /><Relationship Type="http://schemas.openxmlformats.org/officeDocument/2006/relationships/hyperlink" Id="rId270" Target="https://doi.org/10.1080/1751696X.2024.2441115" TargetMode="External" /><Relationship Type="http://schemas.openxmlformats.org/officeDocument/2006/relationships/hyperlink" Id="rId204" Target="https://doi.org/10.1086/202540" TargetMode="External" /><Relationship Type="http://schemas.openxmlformats.org/officeDocument/2006/relationships/hyperlink" Id="rId214" Target="https://doi.org/10.1086/202802" TargetMode="External" /><Relationship Type="http://schemas.openxmlformats.org/officeDocument/2006/relationships/hyperlink" Id="rId206" Target="https://doi.org/10.1086/701523" TargetMode="External" /><Relationship Type="http://schemas.openxmlformats.org/officeDocument/2006/relationships/hyperlink" Id="rId182" Target="https://doi.org/10.1086/jar.39.3.3629672" TargetMode="External" /><Relationship Type="http://schemas.openxmlformats.org/officeDocument/2006/relationships/hyperlink" Id="rId180" Target="https://doi.org/10.1086/jar.46.2.3630069" TargetMode="External" /><Relationship Type="http://schemas.openxmlformats.org/officeDocument/2006/relationships/hyperlink" Id="rId294" Target="https://doi.org/10.1093/oxfordhb/9780198854265.013.31" TargetMode="External" /><Relationship Type="http://schemas.openxmlformats.org/officeDocument/2006/relationships/hyperlink" Id="rId254" Target="https://doi.org/10.1093/oxfordhb/9780198854265.013.34" TargetMode="External" /><Relationship Type="http://schemas.openxmlformats.org/officeDocument/2006/relationships/hyperlink" Id="rId283" Target="https://doi.org/10.1098/rsif.2017.0171" TargetMode="External" /><Relationship Type="http://schemas.openxmlformats.org/officeDocument/2006/relationships/hyperlink" Id="rId194" Target="https://doi.org/10.1098/rstb.2020.0318" TargetMode="External" /><Relationship Type="http://schemas.openxmlformats.org/officeDocument/2006/relationships/hyperlink" Id="rId252" Target="https://doi.org/10.1111/brv.12599" TargetMode="External" /><Relationship Type="http://schemas.openxmlformats.org/officeDocument/2006/relationships/hyperlink" Id="rId208" Target="https://doi.org/10.1111/j.1468-0092.1982.tb00313.x" TargetMode="External" /><Relationship Type="http://schemas.openxmlformats.org/officeDocument/2006/relationships/hyperlink" Id="rId128" Target="https://doi.org/10.1111/j.1502-3931.1988.tb01756.x" TargetMode="External" /><Relationship Type="http://schemas.openxmlformats.org/officeDocument/2006/relationships/hyperlink" Id="rId196" Target="https://doi.org/10.1111/tops.12762" TargetMode="External" /><Relationship Type="http://schemas.openxmlformats.org/officeDocument/2006/relationships/hyperlink" Id="rId250" Target="https://doi.org/10.1126/sciadv.aax5913" TargetMode="External" /><Relationship Type="http://schemas.openxmlformats.org/officeDocument/2006/relationships/hyperlink" Id="rId130" Target="https://doi.org/10.1146/annurev-anthro-102116-041423" TargetMode="External" /><Relationship Type="http://schemas.openxmlformats.org/officeDocument/2006/relationships/hyperlink" Id="rId217" Target="https://doi.org/10.1146/annurev.an.23.100194.002411" TargetMode="External" /><Relationship Type="http://schemas.openxmlformats.org/officeDocument/2006/relationships/hyperlink" Id="rId70"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87" Target="https://doi.org/10.1371/journal.pone.0102806" TargetMode="External" /><Relationship Type="http://schemas.openxmlformats.org/officeDocument/2006/relationships/hyperlink" Id="rId122" Target="https://doi.org/10.1371/journal.pone.0121166" TargetMode="External" /><Relationship Type="http://schemas.openxmlformats.org/officeDocument/2006/relationships/hyperlink" Id="rId104" Target="https://doi.org/10.1371/journal.pone.0189241" TargetMode="External" /><Relationship Type="http://schemas.openxmlformats.org/officeDocument/2006/relationships/hyperlink" Id="rId100" Target="https://doi.org/10.1371/journal.pone.0211562" TargetMode="External" /><Relationship Type="http://schemas.openxmlformats.org/officeDocument/2006/relationships/hyperlink" Id="rId202"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98" Target="https://doi.org/10.1371/journal.pone.0345202" TargetMode="External" /><Relationship Type="http://schemas.openxmlformats.org/officeDocument/2006/relationships/hyperlink" Id="rId126" Target="https://doi.org/10.18637/jss.v025.i03" TargetMode="External" /><Relationship Type="http://schemas.openxmlformats.org/officeDocument/2006/relationships/hyperlink" Id="rId124" Target="https://doi.org/10.1890/0012-9615(1999)069[0001:DBRATM]2.0.CO;2" TargetMode="External" /><Relationship Type="http://schemas.openxmlformats.org/officeDocument/2006/relationships/hyperlink" Id="rId266" Target="https://doi.org/10.2139/ssrn.7053279" TargetMode="External" /><Relationship Type="http://schemas.openxmlformats.org/officeDocument/2006/relationships/hyperlink" Id="rId176" Target="https://doi.org/10.2307/279544" TargetMode="External" /><Relationship Type="http://schemas.openxmlformats.org/officeDocument/2006/relationships/hyperlink" Id="rId178" Target="https://doi.org/10.2307/2800797" TargetMode="External" /><Relationship Type="http://schemas.openxmlformats.org/officeDocument/2006/relationships/hyperlink" Id="rId279" Target="https://doi.org/10.2307/2802103" TargetMode="External" /><Relationship Type="http://schemas.openxmlformats.org/officeDocument/2006/relationships/hyperlink" Id="rId221"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237" Target="https://doi.org/10.2307/40035267" TargetMode="External" /><Relationship Type="http://schemas.openxmlformats.org/officeDocument/2006/relationships/hyperlink" Id="rId248" Target="https://doi.org/10.2307/4128416" TargetMode="External" /><Relationship Type="http://schemas.openxmlformats.org/officeDocument/2006/relationships/hyperlink" Id="rId163" Target="https://doi.org/10.2307/j.ctv24q4z2g.5" TargetMode="External" /><Relationship Type="http://schemas.openxmlformats.org/officeDocument/2006/relationships/hyperlink" Id="rId192" Target="https://doi.org/10.2307/j.ctvdmwwz4.10" TargetMode="External" /><Relationship Type="http://schemas.openxmlformats.org/officeDocument/2006/relationships/hyperlink" Id="rId190" Target="https://doi.org/10.2307/j.ctvdmwwz4.7" TargetMode="External" /><Relationship Type="http://schemas.openxmlformats.org/officeDocument/2006/relationships/hyperlink" Id="rId188" Target="https://doi.org/10.2307/j.ctvdmwwz4.8" TargetMode="External" /><Relationship Type="http://schemas.openxmlformats.org/officeDocument/2006/relationships/hyperlink" Id="rId298" Target="https://doi.org/10.30861/9781841718309" TargetMode="External" /><Relationship Type="http://schemas.openxmlformats.org/officeDocument/2006/relationships/hyperlink" Id="rId198" Target="https://doi.org/10.3213/2191-5784-10243" TargetMode="External" /><Relationship Type="http://schemas.openxmlformats.org/officeDocument/2006/relationships/hyperlink" Id="rId112" Target="https://doi.org/10.32614/CRAN.package.rnaturalearth" TargetMode="External" /><Relationship Type="http://schemas.openxmlformats.org/officeDocument/2006/relationships/hyperlink" Id="rId134" Target="https://doi.org/10.32614/CRAN.package.statnet" TargetMode="External" /><Relationship Type="http://schemas.openxmlformats.org/officeDocument/2006/relationships/hyperlink" Id="rId120" Target="https://doi.org/10.32614/CRAN.package.vegan" TargetMode="External" /><Relationship Type="http://schemas.openxmlformats.org/officeDocument/2006/relationships/hyperlink" Id="rId110" Target="https://doi.org/10.32614/rj-2018-009" TargetMode="External" /><Relationship Type="http://schemas.openxmlformats.org/officeDocument/2006/relationships/hyperlink" Id="rId292" Target="https://doi.org/10.3828/hgr.2023.12" TargetMode="External" /><Relationship Type="http://schemas.openxmlformats.org/officeDocument/2006/relationships/hyperlink" Id="rId212" Target="https://doi.org/10.4000/palethnologie.4945" TargetMode="External" /><Relationship Type="http://schemas.openxmlformats.org/officeDocument/2006/relationships/hyperlink" Id="rId92" Target="https://doi.org/10.4436/JASS.98021" TargetMode="External" /><Relationship Type="http://schemas.openxmlformats.org/officeDocument/2006/relationships/hyperlink" Id="rId219" Target="https://doi.org/10.5281/zenodo.15397990" TargetMode="External" /><Relationship Type="http://schemas.openxmlformats.org/officeDocument/2006/relationships/hyperlink" Id="rId106" Target="https://doi.org/10.7485/QU65_1" TargetMode="External" /><Relationship Type="http://schemas.openxmlformats.org/officeDocument/2006/relationships/hyperlink" Id="rId136" Target="https://igraph.org" TargetMode="External" /><Relationship Type="http://schemas.openxmlformats.org/officeDocument/2006/relationships/hyperlink" Id="rId86" Target="https://shs.hal.science/halshs-03925722/" TargetMode="External" /><Relationship Type="http://schemas.openxmlformats.org/officeDocument/2006/relationships/hyperlink" Id="rId200"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reveal a continuum rather than discrete cultural groups in the Aurignacian</dc:title>
  <dc:creator>Sophie Cooper1, Aleah Rosner1, Eva Oryn1, Kenneth B. Vernon2, and Ben Marwick1,✉</dc:creator>
  <cp:keywords/>
  <dcterms:created xsi:type="dcterms:W3CDTF">2026-10-04T05:21:48Z</dcterms:created>
  <dcterms:modified xsi:type="dcterms:W3CDTF">2026-10-04T05:21:48Z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October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