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23.png" ContentType="image/png"/>
  <Override PartName="/word/media/rId232.png" ContentType="image/png"/>
  <Override PartName="/word/media/rId50.png" ContentType="image/png"/>
  <Override PartName="/word/media/rId157.png" ContentType="image/png"/>
  <Override PartName="/word/media/rId189.png" ContentType="image/png"/>
  <Override PartName="/word/media/rId46.png" ContentType="image/png"/>
  <Override PartName="/word/media/rId29.png" ContentType="image/png"/>
  <Override PartName="/word/media/rId201.png" ContentType="image/png"/>
  <Override PartName="/word/media/rId130.png" ContentType="image/png"/>
  <Override PartName="/word/media/rId65.png" ContentType="image/png"/>
  <Override PartName="/word/media/rId245.png" ContentType="image/png"/>
  <Override PartName="/word/media/rId274.png" ContentType="image/png"/>
  <Override PartName="/word/media/rId295.png" ContentType="image/png"/>
  <Override PartName="/word/media/rId262.png" ContentType="image/png"/>
  <Override PartName="/word/media/rId254.png" ContentType="image/png"/>
  <Override PartName="/word/media/rId176.png" ContentType="image/png"/>
  <Override PartName="/word/media/rId185.png" ContentType="image/png"/>
  <Override PartName="/word/media/rId19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12"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95" w:name="sec-s9-4"/>
    <w:p>
      <w:pPr>
        <w:pStyle w:val="Heading2"/>
      </w:pPr>
      <w:r>
        <w:t xml:space="preserve">S1.9.4 SBM Block Recovery Null Test</w:t>
      </w:r>
    </w:p>
    <w:bookmarkStart w:id="193"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1"/>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tbl>
      <w:tblPr>
        <w:tblStyle w:val="Table"/>
        <w:tblW w:type="pct" w:w="5000"/>
        <w:tblLook w:firstRow="0" w:lastRow="0" w:firstColumn="0" w:lastColumn="0" w:noHBand="0" w:noVBand="0" w:val="0000"/>
        <w:jc w:val="start"/>
        <w:tblLayout w:type="fixed"/>
      </w:tblPr>
      <w:tblGrid>
        <w:gridCol w:w="7920"/>
      </w:tblGrid>
      <w:tr>
        <w:tc>
          <w:tcPr/>
          <w:bookmarkStart w:id="192" w:name="fig-sbm-null-2"/>
          <w:p>
            <w:pPr>
              <w:pStyle w:val="Compact"/>
              <w:jc w:val="center"/>
            </w:pPr>
            <w:r>
              <w:drawing>
                <wp:inline>
                  <wp:extent cx="5943600" cy="2971800"/>
                  <wp:effectExtent b="0" l="0" r="0" t="0"/>
                  <wp:docPr descr="" title="" id="190" name="Picture"/>
                  <a:graphic>
                    <a:graphicData uri="http://schemas.openxmlformats.org/drawingml/2006/picture">
                      <pic:pic>
                        <pic:nvPicPr>
                          <pic:cNvPr descr="../figures/sbm-null-test-plot.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2"/>
        </w:tc>
      </w:tr>
    </w:tbl>
    <w:bookmarkEnd w:id="193"/>
    <w:bookmarkStart w:id="194"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4"/>
    <w:bookmarkEnd w:id="195"/>
    <w:bookmarkStart w:id="208" w:name="sec-s9-6"/>
    <w:p>
      <w:pPr>
        <w:pStyle w:val="Heading2"/>
      </w:pPr>
      <w:r>
        <w:t xml:space="preserve">S1.9.5 Seriation-Order Null Test</w:t>
      </w:r>
    </w:p>
    <w:bookmarkStart w:id="205"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(S9-4, S10-A, S10-1)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6"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6"/>
        </w:tc>
      </w:tr>
    </w:tbl>
    <w:tbl>
      <w:tblPr>
        <w:tblStyle w:val="Table"/>
        <w:tblW w:type="pct" w:w="5000"/>
        <w:tblLook w:firstRow="0" w:lastRow="0" w:firstColumn="0" w:lastColumn="0" w:noHBand="0" w:noVBand="0" w:val="0000"/>
        <w:jc w:val="start"/>
        <w:tblLayout w:type="fixed"/>
      </w:tblPr>
      <w:tblGrid>
        <w:gridCol w:w="7920"/>
      </w:tblGrid>
      <w:tr>
        <w:tc>
          <w:tcPr/>
          <w:bookmarkStart w:id="200" w:name="fig-seriation-null-1"/>
          <w:p>
            <w:pPr>
              <w:pStyle w:val="Compact"/>
              <w:jc w:val="center"/>
            </w:pPr>
            <w:r>
              <w:drawing>
                <wp:inline>
                  <wp:extent cx="5943600" cy="2971800"/>
                  <wp:effectExtent b="0" l="0" r="0" t="0"/>
                  <wp:docPr descr="" title="" id="198" name="Picture"/>
                  <a:graphic>
                    <a:graphicData uri="http://schemas.openxmlformats.org/drawingml/2006/picture">
                      <pic:pic>
                        <pic:nvPicPr>
                          <pic:cNvPr descr="S1-supplement-sensitivity_files/figure-docx/fig-seriation-null-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0"/>
        </w:tc>
      </w:tr>
    </w:tbl>
    <w:tbl>
      <w:tblPr>
        <w:tblStyle w:val="Table"/>
        <w:tblW w:type="pct" w:w="5000"/>
        <w:tblLook w:firstRow="0" w:lastRow="0" w:firstColumn="0" w:lastColumn="0" w:noHBand="0" w:noVBand="0" w:val="0000"/>
        <w:jc w:val="start"/>
        <w:tblLayout w:type="fixed"/>
      </w:tblPr>
      <w:tblGrid>
        <w:gridCol w:w="7920"/>
      </w:tblGrid>
      <w:tr>
        <w:tc>
          <w:tcPr/>
          <w:bookmarkStart w:id="204" w:name="fig-seriation-null-2"/>
          <w:p>
            <w:pPr>
              <w:pStyle w:val="Compact"/>
              <w:jc w:val="center"/>
            </w:pPr>
            <w:r>
              <w:drawing>
                <wp:inline>
                  <wp:extent cx="5943600" cy="2971800"/>
                  <wp:effectExtent b="0" l="0" r="0" t="0"/>
                  <wp:docPr descr="" title="" id="202" name="Picture"/>
                  <a:graphic>
                    <a:graphicData uri="http://schemas.openxmlformats.org/drawingml/2006/picture">
                      <pic:pic>
                        <pic:nvPicPr>
                          <pic:cNvPr descr="../figures/seriation-null-test-plot.png" id="203" name="Picture"/>
                          <pic:cNvPicPr>
                            <a:picLocks noChangeArrowheads="1" noChangeAspect="1"/>
                          </pic:cNvPicPr>
                        </pic:nvPicPr>
                        <pic:blipFill>
                          <a:blip r:embed="rId20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4"/>
        </w:tc>
      </w:tr>
    </w:tbl>
    <w:bookmarkEnd w:id="205"/>
    <w:bookmarkStart w:id="207"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(§S1.9.4), the maximally-selected split null (§S1.10-A), and the Simpson-turnover null (§S1.10.1), which all fail to reject richness-preserving nulls. The two-group visual impression from the seriation is a real and reproducible gradient (supported by bootstrap consensus in §S1.9.2),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6"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206"/>
        </w:tc>
      </w:tr>
    </w:tbl>
    <w:bookmarkEnd w:id="207"/>
    <w:bookmarkEnd w:id="208"/>
    <w:bookmarkStart w:id="211" w:name="sec-s9-5"/>
    <w:p>
      <w:pPr>
        <w:pStyle w:val="Heading2"/>
      </w:pPr>
      <w:r>
        <w:t xml:space="preserve">S1.9.6 Cross-Validation of Group Assignments (ARI)</w:t>
      </w:r>
    </w:p>
    <w:bookmarkStart w:id="209"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9"/>
    <w:bookmarkStart w:id="210"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10"/>
    <w:bookmarkEnd w:id="211"/>
    <w:bookmarkEnd w:id="212"/>
    <w:bookmarkStart w:id="220" w:name="sec-s10"/>
    <w:p>
      <w:pPr>
        <w:pStyle w:val="Heading1"/>
      </w:pPr>
      <w:r>
        <w:t xml:space="preserve">S1.10 Withheld-Data Validation</w:t>
      </w:r>
    </w:p>
    <w:bookmarkStart w:id="214"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proportion significant, and Brown’s method for dependent p-values</w:t>
      </w:r>
      <w:r>
        <w:t xml:space="preserve"> </w:t>
      </w:r>
      <w:r>
        <w:t xml:space="preserve">[23,24]</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13" w:name="tbl-validation-summary"/>
          <w:tbl>
            <w:tblPr>
              <w:tblStyle w:val="Table"/>
              <w:tblW w:type="pct" w:w="5000"/>
              <w:tblLook w:firstRow="1" w:lastRow="0" w:firstColumn="0" w:lastColumn="0" w:noHBand="0" w:noVBand="0" w:val="0020"/>
              <w:jc w:val="start"/>
              <w:tblLayout w:type="fixed"/>
            </w:tblPr>
            <w:tblGrid>
              <w:gridCol w:w="3321"/>
              <w:gridCol w:w="1703"/>
              <w:gridCol w:w="2895"/>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Brown 5.18e-08 (Fisher 1.41e-07)</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13"/>
        </w:tc>
      </w:tr>
    </w:tbl>
    <w:bookmarkEnd w:id="214"/>
    <w:bookmarkStart w:id="215"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Brown p = &lt;2e-16 (Fisher p = &lt;2e-16). Aur-P2 median p = 0.199 with 0% significant; Brown p = 5.18e-08 (Fisher p = 1.41e-07). Brown is an empirical approximation</w:t>
      </w:r>
      <w:r>
        <w:t xml:space="preserve"> </w:t>
      </w:r>
      <w:r>
        <w:t xml:space="preserve">[23,24 via Kost &amp; McDermott]</w:t>
      </w:r>
      <w:r>
        <w:t xml:space="preserve">; for Aur-P2 (5 usable sites) Brown (5.18e-08) is slightly anti-conservative vs. Fisher (1.41e-07),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Brown p = 1. Aur-P2 median p = 0.917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15"/>
    <w:bookmarkStart w:id="219" w:name="sec-s10-1"/>
    <w:p>
      <w:pPr>
        <w:pStyle w:val="Heading2"/>
      </w:pPr>
      <w:r>
        <w:t xml:space="preserve">S1.10.3 Richness-preserving nulls and Simpson turnover</w:t>
      </w:r>
    </w:p>
    <w:bookmarkStart w:id="217"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16"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16"/>
        </w:tc>
      </w:tr>
    </w:tbl>
    <w:bookmarkEnd w:id="217"/>
    <w:bookmarkStart w:id="218"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8"/>
    <w:bookmarkEnd w:id="219"/>
    <w:bookmarkEnd w:id="220"/>
    <w:bookmarkStart w:id="242" w:name="sec-s11"/>
    <w:p>
      <w:pPr>
        <w:pStyle w:val="Heading1"/>
      </w:pPr>
      <w:r>
        <w:t xml:space="preserve">S1.11 Community Description</w:t>
      </w:r>
    </w:p>
    <w:bookmarkStart w:id="221"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21"/>
    <w:bookmarkStart w:id="228" w:name="sec-s11-1"/>
    <w:p>
      <w:pPr>
        <w:pStyle w:val="Heading2"/>
      </w:pPr>
      <w:r>
        <w:t xml:space="preserve">S1.11.2 Community membership</w:t>
      </w:r>
    </w:p>
    <w:bookmarkStart w:id="227"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22"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22"/>
        </w:tc>
      </w:tr>
    </w:tbl>
    <w:tbl>
      <w:tblPr>
        <w:tblStyle w:val="Table"/>
        <w:tblW w:type="pct" w:w="5000"/>
        <w:tblLook w:firstRow="0" w:lastRow="0" w:firstColumn="0" w:lastColumn="0" w:noHBand="0" w:noVBand="0" w:val="0000"/>
        <w:jc w:val="start"/>
        <w:tblLayout w:type="fixed"/>
      </w:tblPr>
      <w:tblGrid>
        <w:gridCol w:w="7920"/>
      </w:tblGrid>
      <w:tr>
        <w:tc>
          <w:tcPr/>
          <w:bookmarkStart w:id="226" w:name="fig-comembership-heatmap"/>
          <w:p>
            <w:pPr>
              <w:pStyle w:val="Compact"/>
              <w:jc w:val="center"/>
            </w:pPr>
            <w:r>
              <w:drawing>
                <wp:inline>
                  <wp:extent cx="5943600" cy="5943600"/>
                  <wp:effectExtent b="0" l="0" r="0" t="0"/>
                  <wp:docPr descr="" title="" id="224" name="Picture"/>
                  <a:graphic>
                    <a:graphicData uri="http://schemas.openxmlformats.org/drawingml/2006/picture">
                      <pic:pic>
                        <pic:nvPicPr>
                          <pic:cNvPr descr="../figures/comembership-heatmap.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26"/>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7"/>
    <w:bookmarkEnd w:id="228"/>
    <w:bookmarkStart w:id="231" w:name="sec-s11-2"/>
    <w:p>
      <w:pPr>
        <w:pStyle w:val="Heading2"/>
      </w:pPr>
      <w:r>
        <w:t xml:space="preserve">S1.11.3 Sign-type profiles</w:t>
      </w:r>
    </w:p>
    <w:bookmarkStart w:id="230"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9"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29"/>
        </w:tc>
      </w:tr>
    </w:tbl>
    <w:bookmarkEnd w:id="230"/>
    <w:bookmarkEnd w:id="231"/>
    <w:bookmarkStart w:id="237" w:name="sec-s11-3"/>
    <w:p>
      <w:pPr>
        <w:pStyle w:val="Heading2"/>
      </w:pPr>
      <w:r>
        <w:t xml:space="preserve">S1.11.4 Geographic distribution</w:t>
      </w:r>
    </w:p>
    <w:bookmarkStart w:id="236"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35" w:name="fig-community-maps"/>
          <w:p>
            <w:pPr>
              <w:pStyle w:val="Compact"/>
              <w:jc w:val="center"/>
            </w:pPr>
            <w:r>
              <w:drawing>
                <wp:inline>
                  <wp:extent cx="5943600" cy="4622800"/>
                  <wp:effectExtent b="0" l="0" r="0" t="0"/>
                  <wp:docPr descr="" title="" id="233" name="Picture"/>
                  <a:graphic>
                    <a:graphicData uri="http://schemas.openxmlformats.org/drawingml/2006/picture">
                      <pic:pic>
                        <pic:nvPicPr>
                          <pic:cNvPr descr="../figures/community-maps.png" id="234" name="Picture"/>
                          <pic:cNvPicPr>
                            <a:picLocks noChangeArrowheads="1" noChangeAspect="1"/>
                          </pic:cNvPicPr>
                        </pic:nvPicPr>
                        <pic:blipFill>
                          <a:blip r:embed="rId23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35"/>
        </w:tc>
      </w:tr>
    </w:tbl>
    <w:bookmarkEnd w:id="236"/>
    <w:bookmarkEnd w:id="237"/>
    <w:bookmarkStart w:id="240" w:name="sec-s11-4"/>
    <w:p>
      <w:pPr>
        <w:pStyle w:val="Heading2"/>
      </w:pPr>
      <w:r>
        <w:t xml:space="preserve">S1.11.5 Cross-algorithm comparison</w:t>
      </w:r>
    </w:p>
    <w:bookmarkStart w:id="239"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8"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38"/>
        </w:tc>
      </w:tr>
    </w:tbl>
    <w:bookmarkEnd w:id="239"/>
    <w:bookmarkEnd w:id="240"/>
    <w:bookmarkStart w:id="241"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15</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15</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41"/>
    <w:bookmarkEnd w:id="242"/>
    <w:bookmarkStart w:id="292" w:name="sec-s12"/>
    <w:p>
      <w:pPr>
        <w:pStyle w:val="Heading1"/>
      </w:pPr>
      <w:r>
        <w:t xml:space="preserve">S1.12 Object Types and Sampling Intensity</w:t>
      </w:r>
    </w:p>
    <w:bookmarkStart w:id="243"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43"/>
    <w:bookmarkStart w:id="251" w:name="sec-s12-1"/>
    <w:p>
      <w:pPr>
        <w:pStyle w:val="Heading2"/>
      </w:pPr>
      <w:r>
        <w:t xml:space="preserve">S1.12.2 Object-count distribution and feasible common counts</w:t>
      </w:r>
    </w:p>
    <w:bookmarkStart w:id="249"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44"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44"/>
        </w:tc>
      </w:tr>
    </w:tbl>
    <w:tbl>
      <w:tblPr>
        <w:tblStyle w:val="Table"/>
        <w:tblW w:type="pct" w:w="5000"/>
        <w:tblLook w:firstRow="0" w:lastRow="0" w:firstColumn="0" w:lastColumn="0" w:noHBand="0" w:noVBand="0" w:val="0000"/>
        <w:jc w:val="start"/>
        <w:tblLayout w:type="fixed"/>
      </w:tblPr>
      <w:tblGrid>
        <w:gridCol w:w="7920"/>
      </w:tblGrid>
      <w:tr>
        <w:tc>
          <w:tcPr/>
          <w:bookmarkStart w:id="248" w:name="fig-objhist"/>
          <w:p>
            <w:pPr>
              <w:pStyle w:val="Compact"/>
              <w:jc w:val="center"/>
            </w:pPr>
            <w:r>
              <w:drawing>
                <wp:inline>
                  <wp:extent cx="5943600" cy="2971800"/>
                  <wp:effectExtent b="0" l="0" r="0" t="0"/>
                  <wp:docPr descr="" title="" id="246" name="Picture"/>
                  <a:graphic>
                    <a:graphicData uri="http://schemas.openxmlformats.org/drawingml/2006/picture">
                      <pic:pic>
                        <pic:nvPicPr>
                          <pic:cNvPr descr="S1-supplement-sensitivity_files/figure-docx/fig-objhist-1.png" id="247" name="Picture"/>
                          <pic:cNvPicPr>
                            <a:picLocks noChangeArrowheads="1" noChangeAspect="1"/>
                          </pic:cNvPicPr>
                        </pic:nvPicPr>
                        <pic:blipFill>
                          <a:blip r:embed="rId24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Distribution of object counts per site by phase. Most sites contribute few objects; a small number of large assemblages (e.g. Vogelherd) dominate the upper tail.</w:t>
            </w:r>
          </w:p>
          <w:bookmarkEnd w:id="248"/>
        </w:tc>
      </w:tr>
    </w:tbl>
    <w:bookmarkEnd w:id="249"/>
    <w:bookmarkStart w:id="250"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0"/>
    <w:bookmarkEnd w:id="251"/>
    <w:bookmarkStart w:id="260" w:name="sec-s12-2"/>
    <w:p>
      <w:pPr>
        <w:pStyle w:val="Heading2"/>
      </w:pPr>
      <w:r>
        <w:t xml:space="preserve">S1.12.3 Object-level downsampling sensitivity</w:t>
      </w:r>
    </w:p>
    <w:bookmarkStart w:id="258"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2"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3"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3"/>
        </w:tc>
      </w:tr>
    </w:tbl>
    <w:tbl>
      <w:tblPr>
        <w:tblStyle w:val="Table"/>
        <w:tblW w:type="pct" w:w="5000"/>
        <w:tblLook w:firstRow="0" w:lastRow="0" w:firstColumn="0" w:lastColumn="0" w:noHBand="0" w:noVBand="0" w:val="0000"/>
        <w:jc w:val="start"/>
        <w:tblLayout w:type="fixed"/>
      </w:tblPr>
      <w:tblGrid>
        <w:gridCol w:w="7920"/>
      </w:tblGrid>
      <w:tr>
        <w:tc>
          <w:tcPr/>
          <w:bookmarkStart w:id="257" w:name="fig-retention"/>
          <w:p>
            <w:pPr>
              <w:pStyle w:val="Compact"/>
              <w:jc w:val="center"/>
            </w:pPr>
            <w:r>
              <w:drawing>
                <wp:inline>
                  <wp:extent cx="5943600" cy="5943600"/>
                  <wp:effectExtent b="0" l="0" r="0" t="0"/>
                  <wp:docPr descr="" title="" id="255" name="Picture"/>
                  <a:graphic>
                    <a:graphicData uri="http://schemas.openxmlformats.org/drawingml/2006/picture">
                      <pic:pic>
                        <pic:nvPicPr>
                          <pic:cNvPr descr="S1-supplement-sensitivity_files/figure-docx/fig-retention-1.png" id="256" name="Picture"/>
                          <pic:cNvPicPr>
                            <a:picLocks noChangeArrowheads="1" noChangeAspect="1"/>
                          </pic:cNvPicPr>
                        </pic:nvPicPr>
                        <pic:blipFill>
                          <a:blip r:embed="rId25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7"/>
        </w:tc>
      </w:tr>
    </w:tbl>
    <w:bookmarkEnd w:id="258"/>
    <w:bookmarkStart w:id="259"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9"/>
    <w:bookmarkEnd w:id="260"/>
    <w:bookmarkStart w:id="268" w:name="sec-s12-3"/>
    <w:p>
      <w:pPr>
        <w:pStyle w:val="Heading2"/>
      </w:pPr>
      <w:r>
        <w:t xml:space="preserve">S1.12.4 Coverage-based rarefaction</w:t>
      </w:r>
    </w:p>
    <w:bookmarkStart w:id="266"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[25,26]</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[27]</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1"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1"/>
        </w:tc>
      </w:tr>
    </w:tbl>
    <w:tbl>
      <w:tblPr>
        <w:tblStyle w:val="Table"/>
        <w:tblW w:type="pct" w:w="5000"/>
        <w:tblLook w:firstRow="0" w:lastRow="0" w:firstColumn="0" w:lastColumn="0" w:noHBand="0" w:noVBand="0" w:val="0000"/>
        <w:jc w:val="start"/>
        <w:tblLayout w:type="fixed"/>
      </w:tblPr>
      <w:tblGrid>
        <w:gridCol w:w="7920"/>
      </w:tblGrid>
      <w:tr>
        <w:tc>
          <w:tcPr/>
          <w:bookmarkStart w:id="265" w:name="fig-rarefaction"/>
          <w:p>
            <w:pPr>
              <w:pStyle w:val="Compact"/>
              <w:jc w:val="center"/>
            </w:pPr>
            <w:r>
              <w:drawing>
                <wp:inline>
                  <wp:extent cx="5943600" cy="3396342"/>
                  <wp:effectExtent b="0" l="0" r="0" t="0"/>
                  <wp:docPr descr="" title="" id="263" name="Picture"/>
                  <a:graphic>
                    <a:graphicData uri="http://schemas.openxmlformats.org/drawingml/2006/picture">
                      <pic:pic>
                        <pic:nvPicPr>
                          <pic:cNvPr descr="S1-supplement-sensitivity_files/figure-docx/fig-rarefaction-1.png" id="264" name="Picture"/>
                          <pic:cNvPicPr>
                            <a:picLocks noChangeArrowheads="1" noChangeAspect="1"/>
                          </pic:cNvPicPr>
                        </pic:nvPicPr>
                        <pic:blipFill>
                          <a:blip r:embed="rId26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Sign-type richness estimated at target coverage = 0.9 with 95% confidence intervals, by manual group, for sites that reach that coverage. Restricted sites (green) that attain high coverage remain low-richness; broad sites (red) remain high-richness.</w:t>
            </w:r>
          </w:p>
          <w:bookmarkEnd w:id="265"/>
        </w:tc>
      </w:tr>
    </w:tbl>
    <w:bookmarkEnd w:id="266"/>
    <w:bookmarkStart w:id="267"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7"/>
    <w:bookmarkEnd w:id="268"/>
    <w:bookmarkStart w:id="272" w:name="sec-s12-4"/>
    <w:p>
      <w:pPr>
        <w:pStyle w:val="Heading2"/>
      </w:pPr>
      <w:r>
        <w:t xml:space="preserve">S1.12.5 Negative-binomial regression with object-count covariate</w:t>
      </w:r>
    </w:p>
    <w:bookmarkStart w:id="270"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[26]</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[28]</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9"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9"/>
        </w:tc>
      </w:tr>
    </w:tbl>
    <w:bookmarkEnd w:id="270"/>
    <w:bookmarkStart w:id="271"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1"/>
    <w:bookmarkEnd w:id="272"/>
    <w:bookmarkStart w:id="280" w:name="sec-s12-5"/>
    <w:p>
      <w:pPr>
        <w:pStyle w:val="Heading2"/>
      </w:pPr>
      <w:r>
        <w:t xml:space="preserve">S1.12.6 Equal-effort pool comparison (iNEXT)</w:t>
      </w:r>
    </w:p>
    <w:bookmarkStart w:id="278"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[25,27]</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73"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3"/>
        </w:tc>
      </w:tr>
    </w:tbl>
    <w:tbl>
      <w:tblPr>
        <w:tblStyle w:val="Table"/>
        <w:tblW w:type="pct" w:w="5000"/>
        <w:tblLook w:firstRow="0" w:lastRow="0" w:firstColumn="0" w:lastColumn="0" w:noHBand="0" w:noVBand="0" w:val="0000"/>
        <w:jc w:val="start"/>
        <w:tblLayout w:type="fixed"/>
      </w:tblPr>
      <w:tblGrid>
        <w:gridCol w:w="7920"/>
      </w:tblGrid>
      <w:tr>
        <w:tc>
          <w:tcPr/>
          <w:bookmarkStart w:id="277" w:name="fig-pool-inext"/>
          <w:p>
            <w:pPr>
              <w:pStyle w:val="Compact"/>
              <w:jc w:val="center"/>
            </w:pPr>
            <w:r>
              <w:drawing>
                <wp:inline>
                  <wp:extent cx="5943600" cy="3566160"/>
                  <wp:effectExtent b="0" l="0" r="0" t="0"/>
                  <wp:docPr descr="" title="" id="275" name="Picture"/>
                  <a:graphic>
                    <a:graphicData uri="http://schemas.openxmlformats.org/drawingml/2006/picture">
                      <pic:pic>
                        <pic:nvPicPr>
                          <pic:cNvPr descr="S1-supplement-sensitivity_files/figure-docx/fig-pool-inext-1.png" id="276" name="Picture"/>
                          <pic:cNvPicPr>
                            <a:picLocks noChangeArrowheads="1" noChangeAspect="1"/>
                          </pic:cNvPicPr>
                        </pic:nvPicPr>
                        <pic:blipFill>
                          <a:blip r:embed="rId274"/>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7"/>
        </w:tc>
      </w:tr>
    </w:tbl>
    <w:bookmarkEnd w:id="278"/>
    <w:bookmarkStart w:id="279"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9"/>
    <w:bookmarkEnd w:id="280"/>
    <w:bookmarkStart w:id="290" w:name="sec-s12-6"/>
    <w:p>
      <w:pPr>
        <w:pStyle w:val="Heading2"/>
      </w:pPr>
      <w:r>
        <w:t xml:space="preserve">S1.12.7 Figurine Exclusion</w:t>
      </w:r>
    </w:p>
    <w:bookmarkStart w:id="288" w:name="rationale-25"/>
    <w:p>
      <w:pPr>
        <w:pStyle w:val="Heading3"/>
      </w:pPr>
      <w:r>
        <w:t xml:space="preserve">Rationale</w:t>
      </w:r>
    </w:p>
    <w:p>
      <w:pPr>
        <w:pStyle w:val="FirstParagraph"/>
      </w:pPr>
      <w:r>
        <w:t xml:space="preserve">[29]</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8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81"/>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8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8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83"/>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84"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8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85"/>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6"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86"/>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7"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87"/>
        </w:tc>
      </w:tr>
    </w:tbl>
    <w:bookmarkEnd w:id="288"/>
    <w:bookmarkStart w:id="289"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[29]</w:t>
      </w:r>
      <w:r>
        <w:t xml:space="preserve"> </w:t>
      </w:r>
      <w:r>
        <w:t xml:space="preserve">argument that figurines carry high-information sign sequences, but the communities themselves are defined by shared sign types across all object types.</w:t>
      </w:r>
    </w:p>
    <w:bookmarkEnd w:id="289"/>
    <w:bookmarkEnd w:id="290"/>
    <w:bookmarkStart w:id="291"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1"/>
    <w:bookmarkEnd w:id="292"/>
    <w:bookmarkStart w:id="301" w:name="sec-s-power"/>
    <w:p>
      <w:pPr>
        <w:pStyle w:val="Heading1"/>
      </w:pPr>
      <w:r>
        <w:t xml:space="preserve">S1.13 Design Sensitivity: Minimum Detectable Effects</w:t>
      </w:r>
    </w:p>
    <w:bookmarkStart w:id="293"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[30]</w:t>
      </w:r>
      <w:r>
        <w:t xml:space="preserve">. Conventions for medium effects are rho = 0.3 and R</w:t>
      </w:r>
      <w:r>
        <w:rPr>
          <w:vertAlign w:val="superscript"/>
        </w:rPr>
        <w:t xml:space="preserve">2</w:t>
      </w:r>
      <w:r>
        <w:t xml:space="preserve"> </w:t>
      </w:r>
      <w:r>
        <w:t xml:space="preserve">= 0.13</w:t>
      </w:r>
      <w:r>
        <w:t xml:space="preserve"> </w:t>
      </w:r>
      <w:r>
        <w:t xml:space="preserve">[31]</w:t>
      </w:r>
      <w:r>
        <w:t xml:space="preserve">. Mantel p-values are approximate under spatial dependence</w:t>
      </w:r>
      <w:r>
        <w:t xml:space="preserve"> </w:t>
      </w:r>
      <w:r>
        <w:t xml:space="preserve">[32,33]</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[34]</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93"/>
    <w:bookmarkStart w:id="299"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94"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94"/>
        </w:tc>
      </w:tr>
    </w:tbl>
    <w:tbl>
      <w:tblPr>
        <w:tblStyle w:val="Table"/>
        <w:tblW w:type="pct" w:w="5000"/>
        <w:tblLook w:firstRow="0" w:lastRow="0" w:firstColumn="0" w:lastColumn="0" w:noHBand="0" w:noVBand="0" w:val="0000"/>
        <w:jc w:val="start"/>
        <w:tblLayout w:type="fixed"/>
      </w:tblPr>
      <w:tblGrid>
        <w:gridCol w:w="7920"/>
      </w:tblGrid>
      <w:tr>
        <w:tc>
          <w:tcPr/>
          <w:bookmarkStart w:id="298" w:name="fig-power-curves"/>
          <w:p>
            <w:pPr>
              <w:pStyle w:val="Compact"/>
              <w:jc w:val="center"/>
            </w:pPr>
            <w:r>
              <w:drawing>
                <wp:inline>
                  <wp:extent cx="5943600" cy="4622800"/>
                  <wp:effectExtent b="0" l="0" r="0" t="0"/>
                  <wp:docPr descr="" title="" id="296" name="Picture"/>
                  <a:graphic>
                    <a:graphicData uri="http://schemas.openxmlformats.org/drawingml/2006/picture">
                      <pic:pic>
                        <pic:nvPicPr>
                          <pic:cNvPr descr="S1-supplement-sensitivity_files/figure-docx/fig-power-curves-1.png" id="297" name="Picture"/>
                          <pic:cNvPicPr>
                            <a:picLocks noChangeArrowheads="1" noChangeAspect="1"/>
                          </pic:cNvPicPr>
                        </pic:nvPicPr>
                        <pic:blipFill>
                          <a:blip r:embed="rId29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20: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8"/>
        </w:tc>
      </w:tr>
    </w:tbl>
    <w:bookmarkEnd w:id="299"/>
    <w:bookmarkStart w:id="300"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300"/>
    <w:bookmarkEnd w:id="301"/>
    <w:bookmarkStart w:id="37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70" w:name="references-cited"/>
    <w:p>
      <w:pPr>
        <w:pStyle w:val="Heading2"/>
      </w:pPr>
      <w:r>
        <w:t xml:space="preserve">References cited</w:t>
      </w:r>
    </w:p>
    <w:bookmarkStart w:id="369" w:name="refs"/>
    <w:bookmarkStart w:id="303"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02">
        <w:r>
          <w:rPr>
            <w:rStyle w:val="Hyperlink"/>
          </w:rPr>
          <w:t xml:space="preserve">https://doi.org/10.18637/jss.v022.i07</w:t>
        </w:r>
      </w:hyperlink>
      <w:r>
        <w:t xml:space="preserve">.</w:t>
      </w:r>
    </w:p>
    <w:bookmarkEnd w:id="303"/>
    <w:bookmarkStart w:id="305"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304">
        <w:r>
          <w:rPr>
            <w:rStyle w:val="Hyperlink"/>
          </w:rPr>
          <w:t xml:space="preserve">https://doi.org/10.1890/0012-9615(1999)069[0001:DBRDAO]2.0.CO;2</w:t>
        </w:r>
      </w:hyperlink>
      <w:r>
        <w:t xml:space="preserve">.</w:t>
      </w:r>
    </w:p>
    <w:bookmarkEnd w:id="305"/>
    <w:bookmarkStart w:id="307"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6">
        <w:r>
          <w:rPr>
            <w:rStyle w:val="Hyperlink"/>
          </w:rPr>
          <w:t xml:space="preserve">https://doi.org/10.1016/j.quascirev.2021.106995</w:t>
        </w:r>
      </w:hyperlink>
      <w:r>
        <w:t xml:space="preserve">.</w:t>
      </w:r>
    </w:p>
    <w:bookmarkEnd w:id="307"/>
    <w:bookmarkStart w:id="309"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8">
        <w:r>
          <w:rPr>
            <w:rStyle w:val="Hyperlink"/>
          </w:rPr>
          <w:t xml:space="preserve">https://doi.org/10.1007/s41982-017-0004-4</w:t>
        </w:r>
      </w:hyperlink>
      <w:r>
        <w:t xml:space="preserve">.</w:t>
      </w:r>
    </w:p>
    <w:bookmarkEnd w:id="309"/>
    <w:bookmarkStart w:id="311"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10">
        <w:r>
          <w:rPr>
            <w:rStyle w:val="Hyperlink"/>
          </w:rPr>
          <w:t xml:space="preserve">https://doi.org/10.30861/9781841718309</w:t>
        </w:r>
      </w:hyperlink>
      <w:r>
        <w:t xml:space="preserve">.</w:t>
      </w:r>
    </w:p>
    <w:bookmarkEnd w:id="311"/>
    <w:bookmarkStart w:id="313"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12">
        <w:r>
          <w:rPr>
            <w:rStyle w:val="Hyperlink"/>
          </w:rPr>
          <w:t xml:space="preserve">https://doi.org/10.1016/j.jhevol.2011.06.005</w:t>
        </w:r>
      </w:hyperlink>
      <w:r>
        <w:t xml:space="preserve">.</w:t>
      </w:r>
    </w:p>
    <w:bookmarkEnd w:id="313"/>
    <w:bookmarkStart w:id="315"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14">
        <w:r>
          <w:rPr>
            <w:rStyle w:val="Hyperlink"/>
          </w:rPr>
          <w:t xml:space="preserve">https://doi.org/10.1002/jqs.3236</w:t>
        </w:r>
      </w:hyperlink>
      <w:r>
        <w:t xml:space="preserve">.</w:t>
      </w:r>
    </w:p>
    <w:bookmarkEnd w:id="315"/>
    <w:bookmarkStart w:id="316"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6"/>
    <w:bookmarkStart w:id="318"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7">
        <w:r>
          <w:rPr>
            <w:rStyle w:val="Hyperlink"/>
          </w:rPr>
          <w:t xml:space="preserve">https://doi.org/10.1007/978-3-211-49294-9_4</w:t>
        </w:r>
      </w:hyperlink>
      <w:r>
        <w:t xml:space="preserve">.</w:t>
      </w:r>
    </w:p>
    <w:bookmarkEnd w:id="318"/>
    <w:bookmarkStart w:id="320"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9">
        <w:r>
          <w:rPr>
            <w:rStyle w:val="Hyperlink"/>
          </w:rPr>
          <w:t xml:space="preserve">https://doi.org/10.1038/nature03585</w:t>
        </w:r>
      </w:hyperlink>
      <w:r>
        <w:t xml:space="preserve">.</w:t>
      </w:r>
    </w:p>
    <w:bookmarkEnd w:id="320"/>
    <w:bookmarkStart w:id="322"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21">
        <w:r>
          <w:rPr>
            <w:rStyle w:val="Hyperlink"/>
          </w:rPr>
          <w:t xml:space="preserve">https://doi.org/10.1007/s41982-025-00246-x</w:t>
        </w:r>
      </w:hyperlink>
      <w:r>
        <w:t xml:space="preserve">.</w:t>
      </w:r>
    </w:p>
    <w:bookmarkEnd w:id="322"/>
    <w:bookmarkStart w:id="324"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23">
        <w:r>
          <w:rPr>
            <w:rStyle w:val="Hyperlink"/>
          </w:rPr>
          <w:t xml:space="preserve">https://doi.org/10.1088/1742-5468/2008/10/P10008</w:t>
        </w:r>
      </w:hyperlink>
      <w:r>
        <w:t xml:space="preserve">.</w:t>
      </w:r>
    </w:p>
    <w:bookmarkEnd w:id="324"/>
    <w:bookmarkStart w:id="326"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25">
        <w:r>
          <w:rPr>
            <w:rStyle w:val="Hyperlink"/>
          </w:rPr>
          <w:t xml:space="preserve">https://doi.org/10.1103/PhysRevE.69.026113</w:t>
        </w:r>
      </w:hyperlink>
      <w:r>
        <w:t xml:space="preserve">.</w:t>
      </w:r>
    </w:p>
    <w:bookmarkEnd w:id="326"/>
    <w:bookmarkStart w:id="328"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7">
        <w:r>
          <w:rPr>
            <w:rStyle w:val="Hyperlink"/>
          </w:rPr>
          <w:t xml:space="preserve">https://doi.org/10.1016/j.socnet.2020.11.005</w:t>
        </w:r>
      </w:hyperlink>
      <w:r>
        <w:t xml:space="preserve">.</w:t>
      </w:r>
    </w:p>
    <w:bookmarkEnd w:id="328"/>
    <w:bookmarkStart w:id="330"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9">
        <w:r>
          <w:rPr>
            <w:rStyle w:val="Hyperlink"/>
          </w:rPr>
          <w:t xml:space="preserve">https://doi.org/10.1198/108571102320</w:t>
        </w:r>
      </w:hyperlink>
      <w:r>
        <w:t xml:space="preserve">.</w:t>
      </w:r>
    </w:p>
    <w:bookmarkEnd w:id="330"/>
    <w:bookmarkStart w:id="332"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31">
        <w:r>
          <w:rPr>
            <w:rStyle w:val="Hyperlink"/>
          </w:rPr>
          <w:t xml:space="preserve">https://doi.org/10.1007/s11258-006-9126-3</w:t>
        </w:r>
      </w:hyperlink>
      <w:r>
        <w:t xml:space="preserve">.</w:t>
      </w:r>
    </w:p>
    <w:bookmarkEnd w:id="332"/>
    <w:bookmarkStart w:id="334"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33">
        <w:r>
          <w:rPr>
            <w:rStyle w:val="Hyperlink"/>
          </w:rPr>
          <w:t xml:space="preserve">https://doi.org/10.1023/A:1023949509487</w:t>
        </w:r>
      </w:hyperlink>
      <w:r>
        <w:t xml:space="preserve">.</w:t>
      </w:r>
    </w:p>
    <w:bookmarkEnd w:id="334"/>
    <w:bookmarkStart w:id="336"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35">
        <w:r>
          <w:rPr>
            <w:rStyle w:val="Hyperlink"/>
          </w:rPr>
          <w:t xml:space="preserve">https://doi.org/10.48550/arXiv.1602.07587</w:t>
        </w:r>
      </w:hyperlink>
      <w:r>
        <w:t xml:space="preserve">.</w:t>
      </w:r>
    </w:p>
    <w:bookmarkEnd w:id="336"/>
    <w:bookmarkStart w:id="338"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7">
        <w:r>
          <w:rPr>
            <w:rStyle w:val="Hyperlink"/>
          </w:rPr>
          <w:t xml:space="preserve">https://doi.org/10.1007/BF01908075</w:t>
        </w:r>
      </w:hyperlink>
      <w:r>
        <w:t xml:space="preserve">.</w:t>
      </w:r>
    </w:p>
    <w:bookmarkEnd w:id="338"/>
    <w:bookmarkStart w:id="340"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9">
        <w:r>
          <w:rPr>
            <w:rStyle w:val="Hyperlink"/>
          </w:rPr>
          <w:t xml:space="preserve">https://doi.org/10.1038/ncomms5114</w:t>
        </w:r>
      </w:hyperlink>
      <w:r>
        <w:t xml:space="preserve">.</w:t>
      </w:r>
    </w:p>
    <w:bookmarkEnd w:id="340"/>
    <w:bookmarkStart w:id="342"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41">
        <w:r>
          <w:rPr>
            <w:rStyle w:val="Hyperlink"/>
          </w:rPr>
          <w:t xml:space="preserve">https://doi.org/10.1080/01621459.2022.2116331</w:t>
        </w:r>
      </w:hyperlink>
      <w:r>
        <w:t xml:space="preserve">.</w:t>
      </w:r>
    </w:p>
    <w:bookmarkEnd w:id="342"/>
    <w:bookmarkStart w:id="344"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43">
        <w:r>
          <w:rPr>
            <w:rStyle w:val="Hyperlink"/>
          </w:rPr>
          <w:t xml:space="preserve">https://doi.org/10.1093/biostatistics/kxac047</w:t>
        </w:r>
      </w:hyperlink>
      <w:r>
        <w:t xml:space="preserve">.</w:t>
      </w:r>
    </w:p>
    <w:bookmarkEnd w:id="344"/>
    <w:bookmarkStart w:id="346" w:name="ref-Brown_1975"/>
    <w:p>
      <w:pPr>
        <w:pStyle w:val="Bibliography"/>
      </w:pPr>
      <w:r>
        <w:t xml:space="preserve">[23]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45">
        <w:r>
          <w:rPr>
            <w:rStyle w:val="Hyperlink"/>
          </w:rPr>
          <w:t xml:space="preserve">https://doi.org/10.2307/2529826</w:t>
        </w:r>
      </w:hyperlink>
      <w:r>
        <w:t xml:space="preserve">.</w:t>
      </w:r>
    </w:p>
    <w:bookmarkEnd w:id="346"/>
    <w:bookmarkStart w:id="348" w:name="ref-Poole_2016"/>
    <w:p>
      <w:pPr>
        <w:pStyle w:val="Bibliography"/>
      </w:pPr>
      <w:r>
        <w:t xml:space="preserve">[24]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47">
        <w:r>
          <w:rPr>
            <w:rStyle w:val="Hyperlink"/>
          </w:rPr>
          <w:t xml:space="preserve">https://doi.org/10.1093/bioinformatics/btw438</w:t>
        </w:r>
      </w:hyperlink>
      <w:r>
        <w:t xml:space="preserve">.</w:t>
      </w:r>
    </w:p>
    <w:bookmarkEnd w:id="348"/>
    <w:bookmarkStart w:id="350" w:name="ref-Chao_Jost_2012"/>
    <w:p>
      <w:pPr>
        <w:pStyle w:val="Bibliography"/>
      </w:pPr>
      <w:r>
        <w:t xml:space="preserve">[25]</w:t>
      </w:r>
      <w:r>
        <w:t xml:space="preserve"> </w:t>
      </w:r>
      <w:r>
        <w:t xml:space="preserve">	</w:t>
      </w:r>
      <w:r>
        <w:t xml:space="preserve">Chao A, Jost L. Coverage-based rarefaction and extrapolation: Standardizing samples by completeness rather than size. Ecology 2012;93:2533–47.</w:t>
      </w:r>
      <w:r>
        <w:t xml:space="preserve"> </w:t>
      </w:r>
      <w:hyperlink r:id="rId349">
        <w:r>
          <w:rPr>
            <w:rStyle w:val="Hyperlink"/>
          </w:rPr>
          <w:t xml:space="preserve">https://doi.org/10.1890/11-1952.1</w:t>
        </w:r>
      </w:hyperlink>
      <w:r>
        <w:t xml:space="preserve">.</w:t>
      </w:r>
    </w:p>
    <w:bookmarkEnd w:id="350"/>
    <w:bookmarkStart w:id="352" w:name="ref-Gotelli_Colwell_2001"/>
    <w:p>
      <w:pPr>
        <w:pStyle w:val="Bibliography"/>
      </w:pPr>
      <w:r>
        <w:t xml:space="preserve">[26]</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51">
        <w:r>
          <w:rPr>
            <w:rStyle w:val="Hyperlink"/>
          </w:rPr>
          <w:t xml:space="preserve">https://doi.org/10.1046/j.1461-0248.2001.00230.x</w:t>
        </w:r>
      </w:hyperlink>
      <w:r>
        <w:t xml:space="preserve">.</w:t>
      </w:r>
    </w:p>
    <w:bookmarkEnd w:id="352"/>
    <w:bookmarkStart w:id="354" w:name="ref-Hsieh_Ma_Chao_2016"/>
    <w:p>
      <w:pPr>
        <w:pStyle w:val="Bibliography"/>
      </w:pPr>
      <w:r>
        <w:t xml:space="preserve">[27]</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53">
        <w:r>
          <w:rPr>
            <w:rStyle w:val="Hyperlink"/>
          </w:rPr>
          <w:t xml:space="preserve">https://doi.org/10.1111/2041-210X.12613</w:t>
        </w:r>
      </w:hyperlink>
      <w:r>
        <w:t xml:space="preserve">.</w:t>
      </w:r>
    </w:p>
    <w:bookmarkEnd w:id="354"/>
    <w:bookmarkStart w:id="356" w:name="ref-Venables_Ripley_2002"/>
    <w:p>
      <w:pPr>
        <w:pStyle w:val="Bibliography"/>
      </w:pPr>
      <w:r>
        <w:t xml:space="preserve">[28]</w:t>
      </w:r>
      <w:r>
        <w:t xml:space="preserve"> </w:t>
      </w:r>
      <w:r>
        <w:t xml:space="preserve">	</w:t>
      </w:r>
      <w:r>
        <w:t xml:space="preserve">Venables WN, Ripley BD. Modern applied statistics with s. Fourth. Springer; 2002.</w:t>
      </w:r>
      <w:r>
        <w:t xml:space="preserve"> </w:t>
      </w:r>
      <w:hyperlink r:id="rId355">
        <w:r>
          <w:rPr>
            <w:rStyle w:val="Hyperlink"/>
          </w:rPr>
          <w:t xml:space="preserve">https://doi.org/10.1007/978-0-387-21706-2</w:t>
        </w:r>
      </w:hyperlink>
      <w:r>
        <w:t xml:space="preserve">.</w:t>
      </w:r>
    </w:p>
    <w:bookmarkEnd w:id="356"/>
    <w:bookmarkStart w:id="358" w:name="ref-Bentz_Dutkiewicz_2026"/>
    <w:p>
      <w:pPr>
        <w:pStyle w:val="Bibliography"/>
      </w:pPr>
      <w:r>
        <w:t xml:space="preserve">[29]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57">
        <w:r>
          <w:rPr>
            <w:rStyle w:val="Hyperlink"/>
          </w:rPr>
          <w:t xml:space="preserve">https://doi.org/10.1073/pnas.2520385123</w:t>
        </w:r>
      </w:hyperlink>
      <w:r>
        <w:t xml:space="preserve">.</w:t>
      </w:r>
    </w:p>
    <w:bookmarkEnd w:id="358"/>
    <w:bookmarkStart w:id="360" w:name="ref-Hoenig_Heisey_2001"/>
    <w:p>
      <w:pPr>
        <w:pStyle w:val="Bibliography"/>
      </w:pPr>
      <w:r>
        <w:t xml:space="preserve">[30]</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59">
        <w:r>
          <w:rPr>
            <w:rStyle w:val="Hyperlink"/>
          </w:rPr>
          <w:t xml:space="preserve">https://doi.org/10.1198/000313001300339897</w:t>
        </w:r>
      </w:hyperlink>
      <w:r>
        <w:t xml:space="preserve">.</w:t>
      </w:r>
    </w:p>
    <w:bookmarkEnd w:id="360"/>
    <w:bookmarkStart w:id="362" w:name="ref-Cohen_1992"/>
    <w:p>
      <w:pPr>
        <w:pStyle w:val="Bibliography"/>
      </w:pPr>
      <w:r>
        <w:t xml:space="preserve">[31]</w:t>
      </w:r>
      <w:r>
        <w:t xml:space="preserve"> </w:t>
      </w:r>
      <w:r>
        <w:t xml:space="preserve">	</w:t>
      </w:r>
      <w:r>
        <w:t xml:space="preserve">Cohen J. A power primer. Psychological Bulletin 1992;112:155–9.</w:t>
      </w:r>
      <w:r>
        <w:t xml:space="preserve"> </w:t>
      </w:r>
      <w:hyperlink r:id="rId361">
        <w:r>
          <w:rPr>
            <w:rStyle w:val="Hyperlink"/>
          </w:rPr>
          <w:t xml:space="preserve">https://doi.org/10.1037/0033-2909.112.1.155</w:t>
        </w:r>
      </w:hyperlink>
      <w:r>
        <w:t xml:space="preserve">.</w:t>
      </w:r>
    </w:p>
    <w:bookmarkEnd w:id="362"/>
    <w:bookmarkStart w:id="364" w:name="ref-Legendre_2015"/>
    <w:p>
      <w:pPr>
        <w:pStyle w:val="Bibliography"/>
      </w:pPr>
      <w:r>
        <w:t xml:space="preserve">[32]</w:t>
      </w:r>
      <w:r>
        <w:t xml:space="preserve"> </w:t>
      </w:r>
      <w:r>
        <w:t xml:space="preserve">	</w:t>
      </w:r>
      <w:r>
        <w:t xml:space="preserve">Legendre P, Fortin M-J, Borcard D. Should the mantel test be used in spatial analysis? Methods in Ecology and Evolution 2015;6:1239–47.</w:t>
      </w:r>
      <w:r>
        <w:t xml:space="preserve"> </w:t>
      </w:r>
      <w:hyperlink r:id="rId363">
        <w:r>
          <w:rPr>
            <w:rStyle w:val="Hyperlink"/>
          </w:rPr>
          <w:t xml:space="preserve">https://doi.org/10.1111/2041-210X.12425</w:t>
        </w:r>
      </w:hyperlink>
      <w:r>
        <w:t xml:space="preserve">.</w:t>
      </w:r>
    </w:p>
    <w:bookmarkEnd w:id="364"/>
    <w:bookmarkStart w:id="366" w:name="ref-Guillot_Rousset_2013"/>
    <w:p>
      <w:pPr>
        <w:pStyle w:val="Bibliography"/>
      </w:pPr>
      <w:r>
        <w:t xml:space="preserve">[33]</w:t>
      </w:r>
      <w:r>
        <w:t xml:space="preserve"> </w:t>
      </w:r>
      <w:r>
        <w:t xml:space="preserve">	</w:t>
      </w:r>
      <w:r>
        <w:t xml:space="preserve">Guillot G, Rousset F. Dismantling the mantel tests. Methods in Ecology and Evolution 2013;4:336–44.</w:t>
      </w:r>
      <w:r>
        <w:t xml:space="preserve"> </w:t>
      </w:r>
      <w:hyperlink r:id="rId365">
        <w:r>
          <w:rPr>
            <w:rStyle w:val="Hyperlink"/>
          </w:rPr>
          <w:t xml:space="preserve">https://doi.org/10.1111/2041-210X.12018</w:t>
        </w:r>
      </w:hyperlink>
      <w:r>
        <w:t xml:space="preserve">.</w:t>
      </w:r>
    </w:p>
    <w:bookmarkEnd w:id="366"/>
    <w:bookmarkStart w:id="368" w:name="ref-Anderson_Walsh_2013"/>
    <w:p>
      <w:pPr>
        <w:pStyle w:val="Bibliography"/>
      </w:pPr>
      <w:r>
        <w:t xml:space="preserve">[34]</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67">
        <w:r>
          <w:rPr>
            <w:rStyle w:val="Hyperlink"/>
          </w:rPr>
          <w:t xml:space="preserve">https://doi.org/10.1890/12-2010.1</w:t>
        </w:r>
      </w:hyperlink>
      <w:r>
        <w:t xml:space="preserve">.</w:t>
      </w:r>
    </w:p>
    <w:bookmarkEnd w:id="368"/>
    <w:bookmarkEnd w:id="369"/>
    <w:bookmarkEnd w:id="370"/>
    <w:bookmarkEnd w:id="37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23" Target="media/rId223.png" /><Relationship Type="http://schemas.openxmlformats.org/officeDocument/2006/relationships/image" Id="rId232" Target="media/rId232.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189" Target="media/rId18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01" Target="media/rId201.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45" Target="media/rId245.png" /><Relationship Type="http://schemas.openxmlformats.org/officeDocument/2006/relationships/image" Id="rId274" Target="media/rId274.png" /><Relationship Type="http://schemas.openxmlformats.org/officeDocument/2006/relationships/image" Id="rId295" Target="media/rId295.png" /><Relationship Type="http://schemas.openxmlformats.org/officeDocument/2006/relationships/image" Id="rId262" Target="media/rId262.png" /><Relationship Type="http://schemas.openxmlformats.org/officeDocument/2006/relationships/image" Id="rId254" Target="media/rId254.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7" Target="media/rId197.png" /><Relationship Type="http://schemas.openxmlformats.org/officeDocument/2006/relationships/image" Id="rId36" Target="media/rId36.png" /><Relationship Type="http://schemas.openxmlformats.org/officeDocument/2006/relationships/hyperlink" Id="rId314" Target="https://doi.org/10.1002/jqs.3236" TargetMode="External" /><Relationship Type="http://schemas.openxmlformats.org/officeDocument/2006/relationships/hyperlink" Id="rId355" Target="https://doi.org/10.1007/978-0-387-21706-2" TargetMode="External" /><Relationship Type="http://schemas.openxmlformats.org/officeDocument/2006/relationships/hyperlink" Id="rId317" Target="https://doi.org/10.1007/978-3-211-49294-9_4" TargetMode="External" /><Relationship Type="http://schemas.openxmlformats.org/officeDocument/2006/relationships/hyperlink" Id="rId337" Target="https://doi.org/10.1007/BF01908075" TargetMode="External" /><Relationship Type="http://schemas.openxmlformats.org/officeDocument/2006/relationships/hyperlink" Id="rId331" Target="https://doi.org/10.1007/s11258-006-9126-3" TargetMode="External" /><Relationship Type="http://schemas.openxmlformats.org/officeDocument/2006/relationships/hyperlink" Id="rId308" Target="https://doi.org/10.1007/s41982-017-0004-4" TargetMode="External" /><Relationship Type="http://schemas.openxmlformats.org/officeDocument/2006/relationships/hyperlink" Id="rId321" Target="https://doi.org/10.1007/s41982-025-00246-x" TargetMode="External" /><Relationship Type="http://schemas.openxmlformats.org/officeDocument/2006/relationships/hyperlink" Id="rId312" Target="https://doi.org/10.1016/j.jhevol.2011.06.005" TargetMode="External" /><Relationship Type="http://schemas.openxmlformats.org/officeDocument/2006/relationships/hyperlink" Id="rId306" Target="https://doi.org/10.1016/j.quascirev.2021.106995" TargetMode="External" /><Relationship Type="http://schemas.openxmlformats.org/officeDocument/2006/relationships/hyperlink" Id="rId327" Target="https://doi.org/10.1016/j.socnet.2020.11.005" TargetMode="External" /><Relationship Type="http://schemas.openxmlformats.org/officeDocument/2006/relationships/hyperlink" Id="rId333" Target="https://doi.org/10.1023/A:1023949509487" TargetMode="External" /><Relationship Type="http://schemas.openxmlformats.org/officeDocument/2006/relationships/hyperlink" Id="rId361" Target="https://doi.org/10.1037/0033-2909.112.1.155" TargetMode="External" /><Relationship Type="http://schemas.openxmlformats.org/officeDocument/2006/relationships/hyperlink" Id="rId319" Target="https://doi.org/10.1038/nature03585" TargetMode="External" /><Relationship Type="http://schemas.openxmlformats.org/officeDocument/2006/relationships/hyperlink" Id="rId339" Target="https://doi.org/10.1038/ncomms5114" TargetMode="External" /><Relationship Type="http://schemas.openxmlformats.org/officeDocument/2006/relationships/hyperlink" Id="rId351" Target="https://doi.org/10.1046/j.1461-0248.2001.00230.x" TargetMode="External" /><Relationship Type="http://schemas.openxmlformats.org/officeDocument/2006/relationships/hyperlink" Id="rId357" Target="https://doi.org/10.1073/pnas.2520385123" TargetMode="External" /><Relationship Type="http://schemas.openxmlformats.org/officeDocument/2006/relationships/hyperlink" Id="rId341" Target="https://doi.org/10.1080/01621459.2022.2116331" TargetMode="External" /><Relationship Type="http://schemas.openxmlformats.org/officeDocument/2006/relationships/hyperlink" Id="rId323" Target="https://doi.org/10.1088/1742-5468/2008/10/P10008" TargetMode="External" /><Relationship Type="http://schemas.openxmlformats.org/officeDocument/2006/relationships/hyperlink" Id="rId347" Target="https://doi.org/10.1093/bioinformatics/btw438" TargetMode="External" /><Relationship Type="http://schemas.openxmlformats.org/officeDocument/2006/relationships/hyperlink" Id="rId343" Target="https://doi.org/10.1093/biostatistics/kxac047" TargetMode="External" /><Relationship Type="http://schemas.openxmlformats.org/officeDocument/2006/relationships/hyperlink" Id="rId325" Target="https://doi.org/10.1103/PhysRevE.69.026113" TargetMode="External" /><Relationship Type="http://schemas.openxmlformats.org/officeDocument/2006/relationships/hyperlink" Id="rId365" Target="https://doi.org/10.1111/2041-210X.12018" TargetMode="External" /><Relationship Type="http://schemas.openxmlformats.org/officeDocument/2006/relationships/hyperlink" Id="rId363" Target="https://doi.org/10.1111/2041-210X.12425" TargetMode="External" /><Relationship Type="http://schemas.openxmlformats.org/officeDocument/2006/relationships/hyperlink" Id="rId353" Target="https://doi.org/10.1111/2041-210X.12613" TargetMode="External" /><Relationship Type="http://schemas.openxmlformats.org/officeDocument/2006/relationships/hyperlink" Id="rId359" Target="https://doi.org/10.1198/000313001300339897" TargetMode="External" /><Relationship Type="http://schemas.openxmlformats.org/officeDocument/2006/relationships/hyperlink" Id="rId329" Target="https://doi.org/10.1198/108571102320" TargetMode="External" /><Relationship Type="http://schemas.openxmlformats.org/officeDocument/2006/relationships/hyperlink" Id="rId302" Target="https://doi.org/10.18637/jss.v022.i07" TargetMode="External" /><Relationship Type="http://schemas.openxmlformats.org/officeDocument/2006/relationships/hyperlink" Id="rId304" Target="https://doi.org/10.1890/0012-9615(1999)069[0001:DBRDAO]2.0.CO;2" TargetMode="External" /><Relationship Type="http://schemas.openxmlformats.org/officeDocument/2006/relationships/hyperlink" Id="rId349" Target="https://doi.org/10.1890/11-1952.1" TargetMode="External" /><Relationship Type="http://schemas.openxmlformats.org/officeDocument/2006/relationships/hyperlink" Id="rId367" Target="https://doi.org/10.1890/12-2010.1" TargetMode="External" /><Relationship Type="http://schemas.openxmlformats.org/officeDocument/2006/relationships/hyperlink" Id="rId345" Target="https://doi.org/10.2307/2529826" TargetMode="External" /><Relationship Type="http://schemas.openxmlformats.org/officeDocument/2006/relationships/hyperlink" Id="rId310" Target="https://doi.org/10.30861/9781841718309" TargetMode="External" /><Relationship Type="http://schemas.openxmlformats.org/officeDocument/2006/relationships/hyperlink" Id="rId335"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4" Target="https://doi.org/10.1002/jqs.3236" TargetMode="External" /><Relationship Type="http://schemas.openxmlformats.org/officeDocument/2006/relationships/hyperlink" Id="rId355" Target="https://doi.org/10.1007/978-0-387-21706-2" TargetMode="External" /><Relationship Type="http://schemas.openxmlformats.org/officeDocument/2006/relationships/hyperlink" Id="rId317" Target="https://doi.org/10.1007/978-3-211-49294-9_4" TargetMode="External" /><Relationship Type="http://schemas.openxmlformats.org/officeDocument/2006/relationships/hyperlink" Id="rId337" Target="https://doi.org/10.1007/BF01908075" TargetMode="External" /><Relationship Type="http://schemas.openxmlformats.org/officeDocument/2006/relationships/hyperlink" Id="rId331" Target="https://doi.org/10.1007/s11258-006-9126-3" TargetMode="External" /><Relationship Type="http://schemas.openxmlformats.org/officeDocument/2006/relationships/hyperlink" Id="rId308" Target="https://doi.org/10.1007/s41982-017-0004-4" TargetMode="External" /><Relationship Type="http://schemas.openxmlformats.org/officeDocument/2006/relationships/hyperlink" Id="rId321" Target="https://doi.org/10.1007/s41982-025-00246-x" TargetMode="External" /><Relationship Type="http://schemas.openxmlformats.org/officeDocument/2006/relationships/hyperlink" Id="rId312" Target="https://doi.org/10.1016/j.jhevol.2011.06.005" TargetMode="External" /><Relationship Type="http://schemas.openxmlformats.org/officeDocument/2006/relationships/hyperlink" Id="rId306" Target="https://doi.org/10.1016/j.quascirev.2021.106995" TargetMode="External" /><Relationship Type="http://schemas.openxmlformats.org/officeDocument/2006/relationships/hyperlink" Id="rId327" Target="https://doi.org/10.1016/j.socnet.2020.11.005" TargetMode="External" /><Relationship Type="http://schemas.openxmlformats.org/officeDocument/2006/relationships/hyperlink" Id="rId333" Target="https://doi.org/10.1023/A:1023949509487" TargetMode="External" /><Relationship Type="http://schemas.openxmlformats.org/officeDocument/2006/relationships/hyperlink" Id="rId361" Target="https://doi.org/10.1037/0033-2909.112.1.155" TargetMode="External" /><Relationship Type="http://schemas.openxmlformats.org/officeDocument/2006/relationships/hyperlink" Id="rId319" Target="https://doi.org/10.1038/nature03585" TargetMode="External" /><Relationship Type="http://schemas.openxmlformats.org/officeDocument/2006/relationships/hyperlink" Id="rId339" Target="https://doi.org/10.1038/ncomms5114" TargetMode="External" /><Relationship Type="http://schemas.openxmlformats.org/officeDocument/2006/relationships/hyperlink" Id="rId351" Target="https://doi.org/10.1046/j.1461-0248.2001.00230.x" TargetMode="External" /><Relationship Type="http://schemas.openxmlformats.org/officeDocument/2006/relationships/hyperlink" Id="rId357" Target="https://doi.org/10.1073/pnas.2520385123" TargetMode="External" /><Relationship Type="http://schemas.openxmlformats.org/officeDocument/2006/relationships/hyperlink" Id="rId341" Target="https://doi.org/10.1080/01621459.2022.2116331" TargetMode="External" /><Relationship Type="http://schemas.openxmlformats.org/officeDocument/2006/relationships/hyperlink" Id="rId323" Target="https://doi.org/10.1088/1742-5468/2008/10/P10008" TargetMode="External" /><Relationship Type="http://schemas.openxmlformats.org/officeDocument/2006/relationships/hyperlink" Id="rId347" Target="https://doi.org/10.1093/bioinformatics/btw438" TargetMode="External" /><Relationship Type="http://schemas.openxmlformats.org/officeDocument/2006/relationships/hyperlink" Id="rId343" Target="https://doi.org/10.1093/biostatistics/kxac047" TargetMode="External" /><Relationship Type="http://schemas.openxmlformats.org/officeDocument/2006/relationships/hyperlink" Id="rId325" Target="https://doi.org/10.1103/PhysRevE.69.026113" TargetMode="External" /><Relationship Type="http://schemas.openxmlformats.org/officeDocument/2006/relationships/hyperlink" Id="rId365" Target="https://doi.org/10.1111/2041-210X.12018" TargetMode="External" /><Relationship Type="http://schemas.openxmlformats.org/officeDocument/2006/relationships/hyperlink" Id="rId363" Target="https://doi.org/10.1111/2041-210X.12425" TargetMode="External" /><Relationship Type="http://schemas.openxmlformats.org/officeDocument/2006/relationships/hyperlink" Id="rId353" Target="https://doi.org/10.1111/2041-210X.12613" TargetMode="External" /><Relationship Type="http://schemas.openxmlformats.org/officeDocument/2006/relationships/hyperlink" Id="rId359" Target="https://doi.org/10.1198/000313001300339897" TargetMode="External" /><Relationship Type="http://schemas.openxmlformats.org/officeDocument/2006/relationships/hyperlink" Id="rId329" Target="https://doi.org/10.1198/108571102320" TargetMode="External" /><Relationship Type="http://schemas.openxmlformats.org/officeDocument/2006/relationships/hyperlink" Id="rId302" Target="https://doi.org/10.18637/jss.v022.i07" TargetMode="External" /><Relationship Type="http://schemas.openxmlformats.org/officeDocument/2006/relationships/hyperlink" Id="rId304" Target="https://doi.org/10.1890/0012-9615(1999)069[0001:DBRDAO]2.0.CO;2" TargetMode="External" /><Relationship Type="http://schemas.openxmlformats.org/officeDocument/2006/relationships/hyperlink" Id="rId349" Target="https://doi.org/10.1890/11-1952.1" TargetMode="External" /><Relationship Type="http://schemas.openxmlformats.org/officeDocument/2006/relationships/hyperlink" Id="rId367" Target="https://doi.org/10.1890/12-2010.1" TargetMode="External" /><Relationship Type="http://schemas.openxmlformats.org/officeDocument/2006/relationships/hyperlink" Id="rId345" Target="https://doi.org/10.2307/2529826" TargetMode="External" /><Relationship Type="http://schemas.openxmlformats.org/officeDocument/2006/relationships/hyperlink" Id="rId310" Target="https://doi.org/10.30861/9781841718309" TargetMode="External" /><Relationship Type="http://schemas.openxmlformats.org/officeDocument/2006/relationships/hyperlink" Id="rId335"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2026-10-03T18:20:11Z</dcterms:created>
  <dcterms:modified xsi:type="dcterms:W3CDTF">2026-10-03T18:20:11Z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