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although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date-parsing attrition counts are in S1 §</w:t>
      </w:r>
      <w:r>
        <w:t xml:space="preserve">S1.1</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S2).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correlation at the nominal 0.05 threshold (R = 0.062, p = 0.004). The very small effect size (R ≈ 0.06) indicates that temporal distance explains only a small fraction of the variation in sign-type distribution. This weak association shows only that time has little explanatory power for sign composition. We tested this inference more directly with a time-lag analysis (S1 §</w:t>
      </w:r>
      <w:r>
        <w:t xml:space="preserve">S1.8.3</w:t>
      </w:r>
      <w:r>
        <w:t xml:space="preserve">):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0.071). This result concerns pairwise composition only. It does not remove the separate correlation between object count and sign-type richness per site. We test that richness confound directly at the object level (S1 §</w:t>
      </w:r>
      <w:r>
        <w:t xml:space="preserve">S1.12.3</w:t>
      </w:r>
      <w:r>
        <w:t xml:space="preserve">, §</w:t>
      </w:r>
      <w:r>
        <w:t xml:space="preserve">S1.12.4</w:t>
      </w:r>
      <w:r>
        <w:t xml:space="preserve"> </w:t>
      </w:r>
      <w:r>
        <w:t xml:space="preserve">and §</w:t>
      </w:r>
      <w:r>
        <w:t xml:space="preserve">S1.12.5</w:t>
      </w:r>
      <w:r>
        <w:t xml:space="preserve">).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(S1 §</w:t>
      </w:r>
      <w:r>
        <w:t xml:space="preserve">S1.12.3</w:t>
      </w:r>
      <w:r>
        <w:t xml:space="preserve">, §</w:t>
      </w:r>
      <w:r>
        <w:t xml:space="preserve">S1.12.4</w:t>
      </w:r>
      <w:r>
        <w:t xml:space="preserve"> </w:t>
      </w:r>
      <w:r>
        <w:t xml:space="preserve">and §</w:t>
      </w:r>
      <w:r>
        <w:t xml:space="preserve">S1.12.5</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This null result provides lack of evidence for isolation by distance in this sample. It does not show that isolation by distance fails to account for the patterns. It should be interpreted cautiously given the small sample sizes (S1 §</w:t>
      </w:r>
      <w:r>
        <w:t xml:space="preserve">S1.4.3</w:t>
      </w:r>
      <w:r>
        <w:t xml:space="preserve">). To test whether the non-significant Mantel result reflects a particular alternative process, we additionally fit a multiple regression on distance matrices with sign dissimilarity as the response and geographic, temporal, and object-count distances as predictors (S1 §</w:t>
      </w:r>
      <w:r>
        <w:t xml:space="preserve">S1.8.2</w:t>
      </w:r>
      <w:r>
        <w:t xml:space="preserve">).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S1.4.3</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w:t>
      </w:r>
      <w:r>
        <w:t xml:space="preserve">S1.4.4</w:t>
      </w:r>
      <w:r>
        <w:t xml:space="preserve">). It detects a weak linear geographic trend in Aur-P1 (R² = 0.156, adjusted R² = 0.057, p = 0.038) but no signal in Aur-P2 (R² = 0.191, adjusted R² = -0.078, p = 0.85). The Aur-P1 trend explains only about six percent of the adjusted variation, we interpret this, at most, a faint geographic gradient,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 §</w:t>
      </w:r>
      <w:r>
        <w:t xml:space="preserve">S1.10</w:t>
      </w:r>
      <w:r>
        <w:t xml:space="preserve"> </w:t>
      </w:r>
      <w:r>
        <w:t xml:space="preserve">and §</w:t>
      </w:r>
      <w:r>
        <w:t xml:space="preserve">S1.10.3</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 (S1 §</w:t>
      </w:r>
      <w:r>
        <w:t xml:space="preserve">S1.13</w:t>
      </w:r>
      <w:r>
        <w:t xml:space="preserve">).</w:t>
      </w:r>
    </w:p>
    <w:p>
      <w:pPr>
        <w:pStyle w:val="BodyText"/>
      </w:pPr>
      <w:r>
        <w:t xml:space="preserve">To quantitatively evaluate the two-group hypothesis inferred from the seriation analysis, we used bootstrap resampling and stochastic block models, which we describe in detail in S1 §</w:t>
      </w:r>
      <w:r>
        <w:t xml:space="preserve">S1.9.2</w:t>
      </w:r>
      <w:r>
        <w:t xml:space="preserve"> </w:t>
      </w:r>
      <w:r>
        <w:t xml:space="preserve">and §</w:t>
      </w:r>
      <w:r>
        <w:t xml:space="preserve">S1.9.3</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under object-within-site resampling.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t xml:space="preserve">S1.9.4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assemblage-permutation modularity test (S1 §</w:t>
      </w:r>
      <w:r>
        <w:t xml:space="preserve">S1.7.2</w:t>
      </w:r>
      <w:r>
        <w:t xml:space="preserve">), which permutes site-level sign vectors among phases while preserving phase sizes, shows that Aur-P1’s observed modularity (0.336 at threshold 0.2) significantly exceeds that null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w:t>
      </w:r>
      <w:r>
        <w:t xml:space="preserve">S1.7.4</w:t>
      </w:r>
      <w:r>
        <w:t xml:space="preserve">),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w:t>
      </w:r>
      <w:r>
        <w:t xml:space="preserve">S1.5.5</w:t>
      </w:r>
      <w:r>
        <w:t xml:space="preserve"> </w:t>
      </w:r>
      <w:r>
        <w:t xml:space="preserve">and §</w:t>
      </w:r>
      <w:r>
        <w:t xml:space="preserve">S1.12.7</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 §</w:t>
      </w:r>
      <w:r>
        <w:t xml:space="preserve">S1.7.6</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likely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appear more widely dispersed in the map. This appearance reflects the much smaller sample of this phase. It does not support a demographic expansion claim from these data. Partitions Around Medoids on geodesic distances between sites finds two groups as a parsimonious grouping for Aur-P1 only (S1 §</w:t>
      </w:r>
      <w:r>
        <w:t xml:space="preserve">S1.8.4</w:t>
      </w:r>
      <w:r>
        <w:t xml:space="preserve">). These two groups are roughly West versus Central Europe, separating the Dordogne bloc tradition from the Swabian ivory tradition, and likely reflective research effort history rather than past cultural groups with distinctive sign repertoires.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w:t>
      </w:r>
      <w:r>
        <w:t xml:space="preserve">S1.10.3</w:t>
      </w:r>
      <w:r>
        <w:t xml:space="preserve">).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(S1 §</w:t>
      </w:r>
      <w:r>
        <w:t xml:space="preserve">S1.5.5</w:t>
      </w:r>
      <w:r>
        <w:t xml:space="preserve"> </w:t>
      </w:r>
      <w:r>
        <w:t xml:space="preserve">and §</w:t>
      </w:r>
      <w:r>
        <w:t xml:space="preserve">S1.12.7</w:t>
      </w:r>
      <w:r>
        <w:t xml:space="preserve">).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w:t>
      </w:r>
      <w:r>
        <w:t xml:space="preserve">S1.6.6</w:t>
      </w:r>
      <w:r>
        <w:t xml:space="preserve"> </w:t>
      </w:r>
      <w:r>
        <w:t xml:space="preserve">and §</w:t>
      </w:r>
      <w:r>
        <w:t xml:space="preserve">S1.6.7</w:t>
      </w:r>
      <w:r>
        <w:t xml:space="preserve">). Communities differ mainly in the frequency of the most widespread sign types, with no type exclusive to one community, which favours graded repertoires over discrete provinces (S1 §</w:t>
      </w:r>
      <w:r>
        <w:t xml:space="preserve">S1.11.3</w:t>
      </w:r>
      <w:r>
        <w:t xml:space="preserve">).</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w:t>
      </w:r>
      <w:r>
        <w:t xml:space="preserve">S1.10</w:t>
      </w:r>
      <w:r>
        <w:t xml:space="preserve"> </w:t>
      </w:r>
      <w:r>
        <w:t xml:space="preserve">and §</w:t>
      </w:r>
      <w:r>
        <w:t xml:space="preserve">S1.10.3</w:t>
      </w:r>
      <w:r>
        <w:t xml:space="preserve">).</w:t>
      </w:r>
    </w:p>
    <w:p>
      <w:pPr>
        <w:pStyle w:val="BodyText"/>
      </w:pPr>
      <w:r>
        <w:t xml:space="preserve">Sampling effort is a major qualification on interpreting our results: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in the observed sample. A negative-binomial model with an estimated exponent estimates higher richness for broad-range sites at equal object count (rate ratio = 2.31, p = 0.003; S1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(S1 §</w:t>
      </w:r>
      <w:r>
        <w:t xml:space="preserve">S1.13</w:t>
      </w:r>
      <w:r>
        <w:t xml:space="preserve"> </w:t>
      </w:r>
      <w:r>
        <w:t xml:space="preserve">and §</w:t>
      </w:r>
      <w:r>
        <w:t xml:space="preserve">S1.4.3</w:t>
      </w:r>
      <w:r>
        <w:t xml:space="preserve">), and bootstrap confidence intervals on the Mantel R show that a moderate geographic correlation could not be excluded at these sample sizes (S1 §</w:t>
      </w:r>
      <w:r>
        <w:t xml:space="preserve">S1.4.3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Figure 3</w:t>
        </w:r>
      </w:hyperlink>
      <w:r>
        <w:t xml:space="preserve">) and longer-term residential movement for aggregation (for example the sites with higher than average diversity in</w:t>
      </w:r>
      <w:r>
        <w:t xml:space="preserve"> </w:t>
      </w:r>
      <w:hyperlink w:anchor="fig-div-plot">
        <w:r>
          <w:rPr>
            <w:rStyle w:val="Hyperlink"/>
          </w:rPr>
          <w:t xml:space="preserve">Figure 6</w:t>
        </w:r>
      </w:hyperlink>
      <w:r>
        <w:t xml:space="preserve">). Testing this hypothesis, sites whose diversity lies above the simulated mean showed a weak non-significant association with network degree after Benjamini-Hochberg correction (ρ = -0.35, p = 0.095). Because this association is not significant, it provides no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 §</w:t>
      </w:r>
      <w:r>
        <w:t xml:space="preserve">S1.4.3</w:t>
      </w:r>
      <w:r>
        <w:t xml:space="preserve"> </w:t>
      </w:r>
      <w:r>
        <w:t xml:space="preserve">and §</w:t>
      </w:r>
      <w:r>
        <w:t xml:space="preserve">S1.13</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 (S1 §</w:t>
      </w:r>
      <w:r>
        <w:t xml:space="preserve">S1.4.3</w:t>
      </w:r>
      <w:r>
        <w:t xml:space="preserve">).</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which detected no significant size-adjusted network differences and no significant geographic signal.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(S1 §</w:t>
      </w:r>
      <w:r>
        <w:t xml:space="preserve">S1.12.6</w:t>
      </w:r>
      <w:r>
        <w:t xml:space="preserve">).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We therefore did not detect sign sharing driven primarily by expansion into new, spatially structured niches in this sample.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 §</w:t>
      </w:r>
      <w:r>
        <w:t xml:space="preserve">S1.4.3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stochastic block models recover it as the two largest blocks in Aur-P1. The split does not exceed fixed-fixed Curveball expectations in either phase, and the Jaccard separation disappears under Simpson turnover which removes the nestedness component (S1 §</w:t>
      </w:r>
      <w:r>
        <w:t xml:space="preserve">S1.9.5</w:t>
      </w:r>
      <w:r>
        <w:t xml:space="preserve"> </w:t>
      </w:r>
      <w:r>
        <w:t xml:space="preserve">and §</w:t>
      </w:r>
      <w:r>
        <w:t xml:space="preserve">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However, bootstrap confidence intervals (S1 §</w:t>
      </w:r>
      <w:r>
        <w:t xml:space="preserve">S1.4.3</w:t>
      </w:r>
      <w:r>
        <w:t xml:space="preserve">)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w:t>
      </w:r>
      <w:r>
        <w:t xml:space="preserve">S1.1</w:t>
      </w:r>
      <w:r>
        <w:t xml:space="preserve">). Alternative calibrations move a few boundary sites between phases without changing the phase ordering (S1 §</w:t>
      </w:r>
      <w:r>
        <w:t xml:space="preserve">S1.5.3</w:t>
      </w:r>
      <w:r>
        <w:t xml:space="preserve">).</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2026-10-03T18:00:37Z</dcterms:created>
  <dcterms:modified xsi:type="dcterms:W3CDTF">2026-10-03T18:00:37Z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October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