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do</w:t>
      </w:r>
      <w:r>
        <w:t xml:space="preserve"> </w:t>
      </w:r>
      <w:r>
        <w:t xml:space="preserve">not</w:t>
      </w:r>
      <w:r>
        <w:t xml:space="preserve"> </w:t>
      </w:r>
      <w:r>
        <w:t xml:space="preserve">reveal</w:t>
      </w:r>
      <w:r>
        <w:t xml:space="preserve"> </w:t>
      </w:r>
      <w:r>
        <w:t xml:space="preserve">geographically</w:t>
      </w:r>
      <w:r>
        <w:t xml:space="preserve"> </w:t>
      </w:r>
      <w:r>
        <w:t xml:space="preserve">distinct</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5,</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hypothesize a two-group structure of restricted versus broad geometric-sign repertoires. Stochastic block modelling recovers the restricted/broad split as its two largest blocks in Aur-P1, while selecting a single block in Aur-P2; but the richness gap between the groups is not distinguishable from a group difference once the saturating richness–effort relationship is modelled. The early phase has a larger site network, but permutation tests indicate that the phases do not differ significantly in edge density, modularity, mean betweenness, or component count. Size-normalized mean degree ratios are equivalent across phases, confirming the observed connectivity differences track network size rather than intrinsic community structure. The late phase (Aur-P2; 9 sites) shows a weaker, less resolved structure.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This sample of geometric signs does not show the geographically distinct clusters found in personal ornaments; their function (e.g. notation, calendrical, identity) remains unresolved.</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group dynamics in the Aurignacian period, providing insights into our understanding how early groups of</w:t>
      </w:r>
      <w:r>
        <w:t xml:space="preserve"> </w:t>
      </w:r>
      <w:r>
        <w:rPr>
          <w:iCs/>
          <w:i/>
        </w:rPr>
        <w:t xml:space="preserve">Homo sapiens</w:t>
      </w:r>
      <w:r>
        <w:t xml:space="preserve"> </w:t>
      </w:r>
      <w:r>
        <w:t xml:space="preserve">interacted with each other and their environments. We present the first systematic application of seriation and network analysis to Aurignacian mobile-object geometric signs, complemented by robust sensitivity and validation analyses.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but nominally statistically significant correlation (R = 0.062, p = 0.008).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and sign type distribution (R = 0.151, p = 0.082), validating our decision to use presence/absence data.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is significant, so the null Mantel does not identify any specific alternative process. A Mantel correlogram likewise shows no significant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w:t>
      </w:r>
      <w:r>
        <w:t xml:space="preserve">S5.11).</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 same procedure as S1 S5.11).</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[33]</w:t>
      </w:r>
      <w:r>
        <w:t xml:space="preserve">. We used the Brower-Kile</w:t>
      </w:r>
      <w:r>
        <w:t xml:space="preserve"> </w:t>
      </w:r>
      <w:r>
        <w:t xml:space="preserve">[34]</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[35]</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[36]</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[37]</w:t>
      </w:r>
      <w:r>
        <w:t xml:space="preserve"> </w:t>
      </w:r>
      <w:r>
        <w:t xml:space="preserve">and igraph</w:t>
      </w:r>
      <w:r>
        <w:t xml:space="preserve"> </w:t>
      </w:r>
      <w:r>
        <w:t xml:space="preserve">[38]</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[39,40]</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w:t>
      </w:r>
      <w:r>
        <w:t xml:space="preserve"> </w:t>
      </w:r>
      <w:r>
        <w:t xml:space="preserve">“</w:t>
      </w:r>
      <w:r>
        <w:t xml:space="preserve">Sensitivity Analyses</w:t>
      </w:r>
      <w:r>
        <w:t xml:space="preserve">”</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[41,42]</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explore the robustness of the two-group hypothesis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which is a signal that both groups are internally coherent and sharply separated. The strength of this signal is much lower for Aur-P2, where the pattern is 0.49 within the restricted block and 0.92 within the broader block, against 0.4 across the blocks. The stochastic block model analysis, which tests whether the proposed groups emerge as latent network communities without being supplied to the model in advance, partly supports the two-group hypothesis in Aur-P1: all three emission models (Bernoulli K = 3, Gaussian K = 4, Poisson K = 3) recover the restricted/broad split as their two largest blocks; Bernoulli and Gaussian additionally isolate Labeko Koba, Les Cottés, and Trou al’Wesse as a small third block, while under Poisson the same two broad sites pair off and Grotte du Renne joins the large mixed block (S1</w:t>
      </w:r>
      <w:r>
        <w:t xml:space="preserve"> </w:t>
      </w:r>
      <w:r>
        <w:t xml:space="preserve">“</w:t>
      </w:r>
      <w:r>
        <w:t xml:space="preserve">Sensitivity Analyses</w:t>
      </w:r>
      <w:r>
        <w:t xml:space="preserve">”</w:t>
      </w:r>
      <w:r>
        <w:t xml:space="preserve">). In Aur-P2 the Bernoulli and Poisson models select a single block and only the Gaussian model selects two, by 0.90 ICL points. We therefore retain the restricted/broad division as a dominant axis of sign type composition variation (rich vs. poor sign repertoires) with a stable small-block refinement in Aur-P1, rather than an exact two-group partition, and treat the Aur-P2 grouping as provisional.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The Aur-P1–Aur-P2 contrast is therefore primarily one of network scale rather than a statistically distinguishable community structure.</w:t>
      </w:r>
    </w:p>
    <w:p>
      <w:pPr>
        <w:pStyle w:val="BodyText"/>
      </w:pPr>
      <w:r>
        <w:t xml:space="preserve">We assessed the sensitivity of our network analysis to site assignment criteria in three ways: (1) reverting to purely date-based assignment; (2) excluding Vogelherd entirely, as a site with an unsually large sign assemblage; (3) excluding figurines concentrated at Vogelherd (S1</w:t>
      </w:r>
      <w:r>
        <w:t xml:space="preserve"> </w:t>
      </w:r>
      <w:r>
        <w:t xml:space="preserve">“</w:t>
      </w:r>
      <w:r>
        <w:t xml:space="preserve">Sensitivity Analyses</w:t>
      </w:r>
      <w:r>
        <w:t xml:space="preserve">”</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perhaps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 Partitions Around Medoids on geodesic distances between sites finds two groups as a parsimonious grouping for Aur-P1 only (S1</w:t>
      </w:r>
      <w:r>
        <w:t xml:space="preserve"> </w:t>
      </w:r>
      <w:r>
        <w:t xml:space="preserve">“</w:t>
      </w:r>
      <w:r>
        <w:t xml:space="preserve">Sensitivity Analyses</w:t>
      </w:r>
      <w:r>
        <w:t xml:space="preserve">”</w:t>
      </w:r>
      <w:r>
        <w:t xml:space="preserve">). These two groups are roughly West versus Central Europe, separating the Dordogne bloc tradition from the Swabian ivory tradition, and likely reflective research effort history rather than past cultural groups.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Betadisper did not detect a significant difference in within-group dispersion in either phase; this does not establish equal dispersions, so the PerMANOVA results should be interpreted cautiously. Complementary analyses provide mixed evidence (see our S1</w:t>
      </w:r>
      <w:r>
        <w:t xml:space="preserve"> </w:t>
      </w:r>
      <w:r>
        <w:t xml:space="preserve">“</w:t>
      </w:r>
      <w:r>
        <w:t xml:space="preserve">Sensitivity Analyses</w:t>
      </w:r>
      <w:r>
        <w:t xml:space="preserve">”</w:t>
      </w:r>
      <w:r>
        <w:t xml:space="preserve">). Object-half holdout shows that a richness-based contrast can be recovered from disjoint objects, but the contrast is weaker when Jaccard’s nestedness component is removed using Simpson turnover. Leave-one-out classification indicates that the labels vary smoothly across the Jaccard composition space rather than independently confirming a discrete partition, and the fixed-fixed Curveball test does not show that the optimised split exceeds richness-preserving expectations.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a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unusally high number of signs, does not change the gradient observation.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Communities differ mainly in the frequency of the most widespread sign types, with no type exclusive to one community, which favours graded repertoires over discrete provinces (S1).</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indicating the Aur-P1–Aur-P2 contrast is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[43–50]</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[4,50–61]</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Sampling effort is a major qualification on this social structure interpretation: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Among the subset of sites that attain comparable coverage, broad-range sites remain richer, and a negative-binomial model with an estimated, rather than fixed, richness–effort exponent is consistent with a residual group difference at equal object count; however, this estimate is imprecise because the sample is small and group membership is strongly collinear with object count (S1). At the phase level, the Jaccard separation is not greater than expected under a fixed-margin null preserving site richness and sign-type frequencies, and no separation remains on Simpson turnover, which removes the nestedness component of Jaccard (S1 S10.1).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[62]</w:t>
      </w:r>
      <w:r>
        <w:t xml:space="preserve">;</w:t>
      </w:r>
      <w:r>
        <w:t xml:space="preserve"> </w:t>
      </w:r>
      <w:r>
        <w:t xml:space="preserve">[63]</w:t>
      </w:r>
      <w:r>
        <w:t xml:space="preserve">;</w:t>
      </w:r>
      <w:r>
        <w:t xml:space="preserve"> </w:t>
      </w:r>
      <w:r>
        <w:t xml:space="preserve">[48]</w:t>
      </w:r>
      <w:r>
        <w:t xml:space="preserve">;</w:t>
      </w:r>
      <w:r>
        <w:t xml:space="preserve"> </w:t>
      </w:r>
      <w:r>
        <w:t xml:space="preserve">[64]</w:t>
      </w:r>
      <w:r>
        <w:t xml:space="preserve">;</w:t>
      </w:r>
      <w:r>
        <w:t xml:space="preserve"> </w:t>
      </w:r>
      <w:r>
        <w:t xml:space="preserve">[49]</w:t>
      </w:r>
      <w:r>
        <w:t xml:space="preserve">. Non-utilitarian mobility establishes regional social networks which facilitate the spread of information and the survival of hunter-gatherers in uncertain environments</w:t>
      </w:r>
      <w:r>
        <w:t xml:space="preserve"> </w:t>
      </w:r>
      <w:r>
        <w:t xml:space="preserve">[65]</w:t>
      </w:r>
      <w:r>
        <w:t xml:space="preserve">;</w:t>
      </w:r>
      <w:r>
        <w:t xml:space="preserve"> </w:t>
      </w:r>
      <w:r>
        <w:t xml:space="preserve">[66]</w:t>
      </w:r>
      <w:r>
        <w:t xml:space="preserve">;</w:t>
      </w:r>
      <w:r>
        <w:t xml:space="preserve"> </w:t>
      </w:r>
      <w:r>
        <w:t xml:space="preserve">[67]</w:t>
      </w:r>
      <w:r>
        <w:t xml:space="preserve">;</w:t>
      </w:r>
      <w:r>
        <w:t xml:space="preserve"> </w:t>
      </w:r>
      <w:r>
        <w:t xml:space="preserve">[68]</w:t>
      </w:r>
      <w:r>
        <w:t xml:space="preserve">;</w:t>
      </w:r>
      <w:r>
        <w:t xml:space="preserve"> </w:t>
      </w:r>
      <w:r>
        <w:t xml:space="preserve">[69]</w:t>
      </w:r>
      <w:r>
        <w:t xml:space="preserve">. The exchange and production of decorative items, such as objects with geometric signs, has been associated with non-utilitarian mobility and recognized as an indicator of social contact</w:t>
      </w:r>
      <w:r>
        <w:t xml:space="preserve"> </w:t>
      </w:r>
      <w:r>
        <w:t xml:space="preserve">[65]</w:t>
      </w:r>
      <w:r>
        <w:t xml:space="preserve">;</w:t>
      </w:r>
      <w:r>
        <w:t xml:space="preserve"> </w:t>
      </w:r>
      <w:r>
        <w:t xml:space="preserve">[70]</w:t>
      </w:r>
      <w:r>
        <w:t xml:space="preserve">;</w:t>
      </w:r>
      <w:r>
        <w:t xml:space="preserve"> </w:t>
      </w:r>
      <w:r>
        <w:t xml:space="preserve">[71]</w:t>
      </w:r>
      <w:r>
        <w:t xml:space="preserve">;</w:t>
      </w:r>
      <w:r>
        <w:t xml:space="preserve"> </w:t>
      </w:r>
      <w:r>
        <w:t xml:space="preserve">[72]</w:t>
      </w:r>
      <w:r>
        <w:t xml:space="preserve">;</w:t>
      </w:r>
      <w:r>
        <w:t xml:space="preserve"> </w:t>
      </w:r>
      <w:r>
        <w:t xml:space="preserve">[73]</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[74]</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[2,70,75–81]</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[82,83]</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(as a possible indicator of aggregation) showed a weak, non-significant trends with network degree after Benjamini‑Hochberg correction (ρ = -0.35, p = 0.095). However, because this trend is not significant, it is not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differ significantly in size-adjusted network statistics and that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[84]</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[85–93]</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[84]</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(Partioning Around Medoids on geodesic distances, k=2 to 5, with Jaccard dissimilarity and PerMANOVA) found no significant differences across geographic groups (S1).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[94]</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[94]</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w:t>
      </w:r>
    </w:p>
    <w:p>
      <w:pPr>
        <w:pStyle w:val="BodyText"/>
      </w:pPr>
      <w:r>
        <w:t xml:space="preserve">Our results can be interpreted through the lens of cultural transmission theory</w:t>
      </w:r>
      <w:r>
        <w:t xml:space="preserve"> </w:t>
      </w:r>
      <w:r>
        <w:t xml:space="preserve">[95–97]</w:t>
      </w:r>
      <w:r>
        <w:t xml:space="preserve">. Smaller populations are predicted to experience greater drift and reduced capacity to maintain complex cultural repertoires</w:t>
      </w:r>
      <w:r>
        <w:t xml:space="preserve"> </w:t>
      </w:r>
      <w:r>
        <w:t xml:space="preserve">[98]</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[99,100]</w:t>
      </w:r>
      <w:r>
        <w:t xml:space="preserve">, while more clustered networks promote localised conformist transmission and differentiation within subgroups</w:t>
      </w:r>
      <w:r>
        <w:t xml:space="preserve"> </w:t>
      </w:r>
      <w:r>
        <w:t xml:space="preserve">[101]</w:t>
      </w:r>
      <w:r>
        <w:t xml:space="preserve">. Our finding of no statistically significant differences in connectivity metrics across the two phases suggests that relative interaction levels remained consistent over time, even as populations consolidated into fewer sites. The lack of significant geographic structure in either phase contradicts simple isolation-by-distance models</w:t>
      </w:r>
      <w:r>
        <w:t xml:space="preserve"> </w:t>
      </w:r>
      <w:r>
        <w:t xml:space="preserve">[98,102]</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[103]</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[104]</w:t>
      </w:r>
      <w:r>
        <w:t xml:space="preserve">’s proposal that sign sequences having protocuneiform-like information density, suggesting notational function, or</w:t>
      </w:r>
      <w:r>
        <w:t xml:space="preserve"> </w:t>
      </w:r>
      <w:r>
        <w:t xml:space="preserve">[105]</w:t>
      </w:r>
      <w:r>
        <w:t xml:space="preserve">’s claim that some sign recording seasonal prey information. However, these hypotheses are contested:</w:t>
      </w:r>
      <w:r>
        <w:t xml:space="preserve"> </w:t>
      </w:r>
      <w:r>
        <w:t xml:space="preserve">[106]</w:t>
      </w:r>
      <w:r>
        <w:t xml:space="preserve"> </w:t>
      </w:r>
      <w:r>
        <w:t xml:space="preserve">note methodological issues in Bentz &amp; Dutkiewicz;</w:t>
      </w:r>
      <w:r>
        <w:t xml:space="preserve"> </w:t>
      </w:r>
      <w:r>
        <w:t xml:space="preserve">[107]</w:t>
      </w:r>
      <w:r>
        <w:t xml:space="preserve"> </w:t>
      </w:r>
      <w:r>
        <w:t xml:space="preserve">and</w:t>
      </w:r>
      <w:r>
        <w:t xml:space="preserve"> </w:t>
      </w:r>
      <w:r>
        <w:t xml:space="preserve">[108]</w:t>
      </w:r>
      <w:r>
        <w:t xml:space="preserve"> </w:t>
      </w:r>
      <w:r>
        <w:t xml:space="preserve">argue the lunar calendar hypothesis is untestable, circular, and selectively uses data;</w:t>
      </w:r>
      <w:r>
        <w:t xml:space="preserve"> </w:t>
      </w:r>
      <w:r>
        <w:t xml:space="preserve">[109]</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[3,76,110–113]</w:t>
      </w:r>
      <w:r>
        <w:t xml:space="preserve"> </w:t>
      </w:r>
      <w:r>
        <w:t xml:space="preserve">has used material culture analysis to reconstruct Upper Palaeolithic social networks, which have been argued to be a driver of cultural and evolutionary change</w:t>
      </w:r>
      <w:r>
        <w:t xml:space="preserve"> </w:t>
      </w:r>
      <w:r>
        <w:t xml:space="preserve">[2,69,114–118]</w:t>
      </w:r>
      <w:r>
        <w:t xml:space="preserve">. Our results show that the current sample of geometric signs does not support any significant change over the Aurignacian.</w:t>
      </w:r>
    </w:p>
    <w:p>
      <w:pPr>
        <w:pStyle w:val="BodyText"/>
      </w:pPr>
      <w:r>
        <w:t xml:space="preserve">A restricted/broad repertoire axis is visually evident in seriation and supported by bootstrap co-clustering (Aur-P1: within-block 0.75/0.97 vs. across-block 0.2; Aur-P2: 0.49/0.92 vs. 0.4). A negative-binomial regression with an estimated richness–effort exponent finds the group contrast persists at equal object count (rate ratio 2.31, p = 0.003). Stochastic block models recover the two-group partition as their two largest blocks in Aur-P1 under all three emission models (Bernoulli K = 3, Gaussian K = 4, Poisson K = 3; S1 §S9.3), with Labeko Koba, Les Cottés, and Trou al’Wesse forming a stable third block under Bernoulli and Gaussian models (under Poisson the same two broad sites pair off while Grotte du Renne joins the large mixed block), while in Aur-P2 the Bernoulli and Poisson models select a single block. Cross-validation (leave-one-out, object-half holdout, gradient PerMANOVA) recovers the axis, yet the maximally-selected split test under a fixed-fixed (Curveball) null is not significant in either phase (Aur-P1 p = 0.106; Aur-P2 p = 0.984).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However, bootstrap confidence intervals (S1) show the tests are underpowered, so these are null results reflecting limited power, not evidence of geographic irrelevance. Geometric signs do not exhibit the geographically distinct clusters reported for personal ornaments</w:t>
      </w:r>
      <w:r>
        <w:t xml:space="preserve"> </w:t>
      </w:r>
      <w:r>
        <w:t xml:space="preserve">[3,6]</w:t>
      </w:r>
      <w:r>
        <w:t xml:space="preserve">; whether they encode different identity dimensions (notation, calendrical recording, information storage) remains speculative and untested</w:t>
      </w:r>
      <w:r>
        <w:t xml:space="preserve"> </w:t>
      </w:r>
      <w:r>
        <w:t xml:space="preserve">[104–109]</w:t>
      </w:r>
      <w:r>
        <w:t xml:space="preserve">. Our findings are consistent with the conclusions of</w:t>
      </w:r>
      <w:r>
        <w:t xml:space="preserve"> </w:t>
      </w:r>
      <w:r>
        <w:t xml:space="preserve">[94]</w:t>
      </w:r>
      <w:r>
        <w:t xml:space="preserve"> </w:t>
      </w:r>
      <w:r>
        <w:t xml:space="preserve">that cultural identity by-descent with modification is a likely explanation for the distribution of Aurignacian ornaments.</w:t>
      </w:r>
    </w:p>
    <w:p>
      <w:pPr>
        <w:pStyle w:val="BodyText"/>
      </w:pPr>
      <w:r>
        <w:t xml:space="preserve">Our study has four limitations. First is the ambiguity of some of the sign types. While</w:t>
      </w:r>
      <w:r>
        <w:t xml:space="preserve"> </w:t>
      </w:r>
      <w:r>
        <w:t xml:space="preserve">[119]</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[120]</w:t>
      </w:r>
      <w:r>
        <w:t xml:space="preserve">, and additionally, greater quantities of included sign types serve to establish stronger connections</w:t>
      </w:r>
      <w:r>
        <w:t xml:space="preserve"> </w:t>
      </w:r>
      <w:r>
        <w:t xml:space="preserve">[121]</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[104]</w:t>
      </w:r>
      <w:r>
        <w:t xml:space="preserve">.</w:t>
      </w:r>
    </w:p>
    <w:p>
      <w:pPr>
        <w:pStyle w:val="BodyText"/>
      </w:pPr>
      <w:r>
        <w:t xml:space="preserve">A second limitation concerns the effects of time-averaging on our network reconstructions.</w:t>
      </w:r>
      <w:r>
        <w:t xml:space="preserve"> </w:t>
      </w:r>
      <w:r>
        <w:t xml:space="preserve">[122]</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[64]</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[123,124]</w:t>
      </w:r>
      <w:r>
        <w:t xml:space="preserve">, La Ferrassie’s Aurignacian begins with the Early Aurignacian directly above the Châtelperronian</w:t>
      </w:r>
      <w:r>
        <w:t xml:space="preserve"> </w:t>
      </w:r>
      <w:r>
        <w:t xml:space="preserve">[125]</w:t>
      </w:r>
      <w:r>
        <w:t xml:space="preserve">, and Mladeč’s massive-base bone points and ~31 ka ¹⁴C BP (~35–36 ka cal BP) dates indicate an Evolved (Aur-P2) attribution</w:t>
      </w:r>
      <w:r>
        <w:t xml:space="preserve"> </w:t>
      </w:r>
      <w:r>
        <w:t xml:space="preserve">[126]</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[127]</w:t>
      </w:r>
      <w:r>
        <w:t xml:space="preserve">. After exclusions, Aur-P2 rests on only 9 sites and 63 objects, so its two-group structure and network statistics have limited power. To manage this limitation we tested the sensitivity of our assignments to reverting to purely date-based criteria in S1</w:t>
      </w:r>
      <w:r>
        <w:t xml:space="preserve"> </w:t>
      </w:r>
      <w:r>
        <w:t xml:space="preserve">“</w:t>
      </w:r>
      <w:r>
        <w:t xml:space="preserve">Sensitivity Analyses</w:t>
      </w:r>
      <w:r>
        <w:t xml:space="preserve">”</w:t>
      </w:r>
      <w:r>
        <w:t xml:space="preserve"> </w:t>
      </w:r>
      <w:r>
        <w:t xml:space="preserve">and find that the main structures are generally robust. Date parsing itself removes assemblages whose reported dates lack uncertainties, including a large assemblage that would otherwise fall late, so the small Aur-P2 sample partly reflects dating-quality filtering rather than only archaeology (S1). Alternative calibrations move a few boundary sites between phases without changing the phase ordering (S1).</w:t>
      </w:r>
    </w:p>
    <w:p>
      <w:pPr>
        <w:pStyle w:val="BodyText"/>
      </w:pPr>
      <w:r>
        <w:t xml:space="preserve">Fourth, the restricted/broad gradient may not be independent from sampling intensity. Object-level resampling shows that only the best-sampled sites retain stable group assignments when compared at a common object count. A negative-binomial regression with an estimated richness–effort exponent finds the group contrast persists at equal object count (rate ratio 2.31, p = 0.003; S1 S9.4); the offset specification that found no effect fixed the exponent at 1, which the data reject. The raw richness gap is therefore not distinguishable from a genuine group difference, and for sites represented by only a few objects the restricted/broad membership remains provisional. The division should accordingly be read as a descriptive axis of variation whose separation from sampling effort is not demonstrated for small-object sites.</w:t>
      </w:r>
    </w:p>
    <w:bookmarkEnd w:id="61"/>
    <w:bookmarkStart w:id="303" w:name="references"/>
    <w:p>
      <w:pPr>
        <w:pStyle w:val="Heading1"/>
      </w:pPr>
      <w:r>
        <w:t xml:space="preserve">References</w:t>
      </w:r>
    </w:p>
    <w:bookmarkStart w:id="302"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seriation_pckge"/>
    <w:p>
      <w:pPr>
        <w:pStyle w:val="Bibliography"/>
      </w:pPr>
      <w:r>
        <w:t xml:space="preserve">[33]</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4">
        <w:r>
          <w:rPr>
            <w:rStyle w:val="Hyperlink"/>
          </w:rPr>
          <w:t xml:space="preserve">https://doi.org/10.18637/jss.v025.i03</w:t>
        </w:r>
      </w:hyperlink>
      <w:r>
        <w:t xml:space="preserve">.</w:t>
      </w:r>
    </w:p>
    <w:bookmarkEnd w:id="125"/>
    <w:bookmarkStart w:id="127" w:name="ref-Brower_Kile_1988"/>
    <w:p>
      <w:pPr>
        <w:pStyle w:val="Bibliography"/>
      </w:pPr>
      <w:r>
        <w:t xml:space="preserve">[34]</w:t>
      </w:r>
      <w:r>
        <w:t xml:space="preserve"> </w:t>
      </w:r>
      <w:r>
        <w:t xml:space="preserve">	</w:t>
      </w:r>
      <w:r>
        <w:t xml:space="preserve">Brower JC, Kile KM. Seriation of an original data matrix as applied to paleoecology. Lethaia 1988;21:79–93.</w:t>
      </w:r>
      <w:r>
        <w:t xml:space="preserve"> </w:t>
      </w:r>
      <w:hyperlink r:id="rId126">
        <w:r>
          <w:rPr>
            <w:rStyle w:val="Hyperlink"/>
          </w:rPr>
          <w:t xml:space="preserve">https://doi.org/10.1111/j.1502-3931.1988.tb01756.x</w:t>
        </w:r>
      </w:hyperlink>
      <w:r>
        <w:t xml:space="preserve">.</w:t>
      </w:r>
    </w:p>
    <w:bookmarkEnd w:id="127"/>
    <w:bookmarkStart w:id="129" w:name="ref-Mills_2017"/>
    <w:p>
      <w:pPr>
        <w:pStyle w:val="Bibliography"/>
      </w:pPr>
      <w:r>
        <w:t xml:space="preserve">[35]</w:t>
      </w:r>
      <w:r>
        <w:t xml:space="preserve"> </w:t>
      </w:r>
      <w:r>
        <w:t xml:space="preserve">	</w:t>
      </w:r>
      <w:r>
        <w:t xml:space="preserve">Mills BJ. Social network analysis in archaeology. Annual Review of Anthropology 2017;46:379–97.</w:t>
      </w:r>
      <w:r>
        <w:t xml:space="preserve"> </w:t>
      </w:r>
      <w:hyperlink r:id="rId128">
        <w:r>
          <w:rPr>
            <w:rStyle w:val="Hyperlink"/>
          </w:rPr>
          <w:t xml:space="preserve">https://doi.org/10.1146/annurev-anthro-102116-041423</w:t>
        </w:r>
      </w:hyperlink>
      <w:r>
        <w:t xml:space="preserve">.</w:t>
      </w:r>
    </w:p>
    <w:bookmarkEnd w:id="129"/>
    <w:bookmarkStart w:id="131" w:name="ref-Fruchterman_Reingold_1991"/>
    <w:p>
      <w:pPr>
        <w:pStyle w:val="Bibliography"/>
      </w:pPr>
      <w:r>
        <w:t xml:space="preserve">[36]</w:t>
      </w:r>
      <w:r>
        <w:t xml:space="preserve"> </w:t>
      </w:r>
      <w:r>
        <w:t xml:space="preserve">	</w:t>
      </w:r>
      <w:r>
        <w:t xml:space="preserve">Fruchterman TMJ, Reingold EM. Graph drawing by force-directed placement. Software: Practice and Experience 1991;21:1129–64.</w:t>
      </w:r>
      <w:r>
        <w:t xml:space="preserve"> </w:t>
      </w:r>
      <w:hyperlink r:id="rId130">
        <w:r>
          <w:rPr>
            <w:rStyle w:val="Hyperlink"/>
          </w:rPr>
          <w:t xml:space="preserve">https://doi.org/10.1002/spe.4380211102</w:t>
        </w:r>
      </w:hyperlink>
      <w:r>
        <w:t xml:space="preserve">.</w:t>
      </w:r>
    </w:p>
    <w:bookmarkEnd w:id="131"/>
    <w:bookmarkStart w:id="133" w:name="ref-statnet_package"/>
    <w:p>
      <w:pPr>
        <w:pStyle w:val="Bibliography"/>
      </w:pPr>
      <w:r>
        <w:t xml:space="preserve">[37]</w:t>
      </w:r>
      <w:r>
        <w:t xml:space="preserve"> </w:t>
      </w:r>
      <w:r>
        <w:t xml:space="preserve">	</w:t>
      </w:r>
      <w:r>
        <w:t xml:space="preserve">Handcock MS, Hunter DR, Butts CT, Goodreau SM, Krivitsky PN, Bender-deMoll S, et al.</w:t>
      </w:r>
      <w:r>
        <w:t xml:space="preserve"> </w:t>
      </w:r>
      <w:hyperlink r:id="rId132">
        <w:r>
          <w:rPr>
            <w:rStyle w:val="Hyperlink"/>
          </w:rPr>
          <w:t xml:space="preserve">Statnet: Software tools for the statistical analysis of network data</w:t>
        </w:r>
      </w:hyperlink>
      <w:r>
        <w:t xml:space="preserve"> </w:t>
      </w:r>
      <w:r>
        <w:t xml:space="preserve">2019.</w:t>
      </w:r>
    </w:p>
    <w:bookmarkEnd w:id="133"/>
    <w:bookmarkStart w:id="135" w:name="ref-igraph_package"/>
    <w:p>
      <w:pPr>
        <w:pStyle w:val="Bibliography"/>
      </w:pPr>
      <w:r>
        <w:t xml:space="preserve">[38]</w:t>
      </w:r>
      <w:r>
        <w:t xml:space="preserve"> </w:t>
      </w:r>
      <w:r>
        <w:t xml:space="preserve">	</w:t>
      </w:r>
      <w:r>
        <w:t xml:space="preserve">Csardi G, Nepusz T.</w:t>
      </w:r>
      <w:r>
        <w:t xml:space="preserve"> </w:t>
      </w:r>
      <w:hyperlink r:id="rId134">
        <w:r>
          <w:rPr>
            <w:rStyle w:val="Hyperlink"/>
          </w:rPr>
          <w:t xml:space="preserve">The igraph software package for complex network research</w:t>
        </w:r>
      </w:hyperlink>
      <w:r>
        <w:t xml:space="preserve">. InterJournal 2006;Complex Systems:1695.</w:t>
      </w:r>
    </w:p>
    <w:bookmarkEnd w:id="135"/>
    <w:bookmarkStart w:id="137" w:name="ref-Anderson_2017"/>
    <w:p>
      <w:pPr>
        <w:pStyle w:val="Bibliography"/>
      </w:pPr>
      <w:r>
        <w:t xml:space="preserve">[39]</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6">
        <w:r>
          <w:rPr>
            <w:rStyle w:val="Hyperlink"/>
          </w:rPr>
          <w:t xml:space="preserve">https://doi.org/10.1002/9781118445112.stat07841</w:t>
        </w:r>
      </w:hyperlink>
      <w:r>
        <w:t xml:space="preserve">.</w:t>
      </w:r>
    </w:p>
    <w:bookmarkEnd w:id="137"/>
    <w:bookmarkStart w:id="139" w:name="ref-Shennan_Crema_Kerig_2015"/>
    <w:p>
      <w:pPr>
        <w:pStyle w:val="Bibliography"/>
      </w:pPr>
      <w:r>
        <w:t xml:space="preserve">[40]</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38">
        <w:r>
          <w:rPr>
            <w:rStyle w:val="Hyperlink"/>
          </w:rPr>
          <w:t xml:space="preserve">https://doi.org/10.1016/j.evolhumbehav.2014.09.006</w:t>
        </w:r>
      </w:hyperlink>
      <w:r>
        <w:t xml:space="preserve">.</w:t>
      </w:r>
    </w:p>
    <w:bookmarkEnd w:id="139"/>
    <w:bookmarkStart w:id="141" w:name="ref-Marwick2017"/>
    <w:p>
      <w:pPr>
        <w:pStyle w:val="Bibliography"/>
      </w:pPr>
      <w:r>
        <w:t xml:space="preserve">[41]</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0">
        <w:r>
          <w:rPr>
            <w:rStyle w:val="Hyperlink"/>
          </w:rPr>
          <w:t xml:space="preserve">https://doi.org/10.1007/s10816-015-9272-9</w:t>
        </w:r>
      </w:hyperlink>
      <w:r>
        <w:t xml:space="preserve">.</w:t>
      </w:r>
    </w:p>
    <w:bookmarkEnd w:id="141"/>
    <w:bookmarkStart w:id="143" w:name="ref-Marwick_2025"/>
    <w:p>
      <w:pPr>
        <w:pStyle w:val="Bibliography"/>
      </w:pPr>
      <w:r>
        <w:t xml:space="preserve">[42]</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2">
        <w:r>
          <w:rPr>
            <w:rStyle w:val="Hyperlink"/>
          </w:rPr>
          <w:t xml:space="preserve">https://doi.org/10.1016/j.jas.2025.106281</w:t>
        </w:r>
      </w:hyperlink>
      <w:r>
        <w:t xml:space="preserve">.</w:t>
      </w:r>
    </w:p>
    <w:bookmarkEnd w:id="143"/>
    <w:bookmarkStart w:id="145" w:name="ref-Finlayson_Warren_2017"/>
    <w:p>
      <w:pPr>
        <w:pStyle w:val="Bibliography"/>
      </w:pPr>
      <w:r>
        <w:t xml:space="preserve">[43]</w:t>
      </w:r>
      <w:r>
        <w:t xml:space="preserve"> </w:t>
      </w:r>
      <w:r>
        <w:t xml:space="preserve">	</w:t>
      </w:r>
      <w:r>
        <w:t xml:space="preserve">Finlayson B, Warren G.</w:t>
      </w:r>
      <w:r>
        <w:t xml:space="preserve"> </w:t>
      </w:r>
      <w:hyperlink r:id="rId144">
        <w:r>
          <w:rPr>
            <w:rStyle w:val="Hyperlink"/>
          </w:rPr>
          <w:t xml:space="preserve">The diversity of hunter-gatherer pasts: An introduction</w:t>
        </w:r>
      </w:hyperlink>
      <w:r>
        <w:t xml:space="preserve">. In: Finlayson B, Warren G, editors. The diversity of hunter gatherer pasts. 1st ed., Oxbow Books; 2017, p. 1–14.</w:t>
      </w:r>
    </w:p>
    <w:bookmarkEnd w:id="145"/>
    <w:bookmarkStart w:id="147" w:name="ref-Riches_1995"/>
    <w:p>
      <w:pPr>
        <w:pStyle w:val="Bibliography"/>
      </w:pPr>
      <w:r>
        <w:t xml:space="preserve">[44]</w:t>
      </w:r>
      <w:r>
        <w:t xml:space="preserve"> </w:t>
      </w:r>
      <w:r>
        <w:t xml:space="preserve">	</w:t>
      </w:r>
      <w:r>
        <w:t xml:space="preserve">Riches D. Hunter-gatherer structural transformations. The Journal of the Royal Anthropological Institute 1995;1:679–701.</w:t>
      </w:r>
      <w:r>
        <w:t xml:space="preserve"> </w:t>
      </w:r>
      <w:hyperlink r:id="rId146">
        <w:r>
          <w:rPr>
            <w:rStyle w:val="Hyperlink"/>
          </w:rPr>
          <w:t xml:space="preserve">https://doi.org/10.2307/3034956</w:t>
        </w:r>
      </w:hyperlink>
      <w:r>
        <w:t xml:space="preserve">.</w:t>
      </w:r>
    </w:p>
    <w:bookmarkEnd w:id="147"/>
    <w:bookmarkStart w:id="149" w:name="ref-Price_Brown_1985"/>
    <w:p>
      <w:pPr>
        <w:pStyle w:val="Bibliography"/>
      </w:pPr>
      <w:r>
        <w:t xml:space="preserve">[45]</w:t>
      </w:r>
      <w:r>
        <w:t xml:space="preserve"> </w:t>
      </w:r>
      <w:r>
        <w:t xml:space="preserve">	</w:t>
      </w:r>
      <w:r>
        <w:t xml:space="preserve">Price TD, Brown JA. Aspects of hunter–gatherer complexity. In: Price TD, Brown JA, editors. Prehistoric hunters-gatherers, Academic Press; 1985, p. 3–20.</w:t>
      </w:r>
      <w:r>
        <w:t xml:space="preserve"> </w:t>
      </w:r>
      <w:hyperlink r:id="rId148">
        <w:r>
          <w:rPr>
            <w:rStyle w:val="Hyperlink"/>
          </w:rPr>
          <w:t xml:space="preserve">https://doi.org/10.1016/B978-0-12-564750-2.50006-8</w:t>
        </w:r>
      </w:hyperlink>
      <w:r>
        <w:t xml:space="preserve">.</w:t>
      </w:r>
    </w:p>
    <w:bookmarkEnd w:id="149"/>
    <w:bookmarkStart w:id="151" w:name="ref-Lane_2017"/>
    <w:p>
      <w:pPr>
        <w:pStyle w:val="Bibliography"/>
      </w:pPr>
      <w:r>
        <w:t xml:space="preserve">[46]</w:t>
      </w:r>
      <w:r>
        <w:t xml:space="preserve"> </w:t>
      </w:r>
      <w:r>
        <w:t xml:space="preserve">	</w:t>
      </w:r>
      <w:r>
        <w:t xml:space="preserve">Lane PJ.</w:t>
      </w:r>
      <w:r>
        <w:t xml:space="preserve"> </w:t>
      </w:r>
      <w:hyperlink r:id="rId150">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1"/>
    <w:bookmarkStart w:id="152" w:name="ref-Pate_2006"/>
    <w:p>
      <w:pPr>
        <w:pStyle w:val="Bibliography"/>
      </w:pPr>
      <w:r>
        <w:t xml:space="preserve">[47]</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2"/>
    <w:bookmarkStart w:id="154" w:name="ref-Johnson_2014"/>
    <w:p>
      <w:pPr>
        <w:pStyle w:val="Bibliography"/>
      </w:pPr>
      <w:r>
        <w:t xml:space="preserve">[48]</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3">
        <w:r>
          <w:rPr>
            <w:rStyle w:val="Hyperlink"/>
          </w:rPr>
          <w:t xml:space="preserve">https://doi.org/10.1007/s10814-013-9068-y</w:t>
        </w:r>
      </w:hyperlink>
      <w:r>
        <w:t xml:space="preserve">.</w:t>
      </w:r>
    </w:p>
    <w:bookmarkEnd w:id="154"/>
    <w:bookmarkStart w:id="156" w:name="ref-Singh_Glowacki_2022"/>
    <w:p>
      <w:pPr>
        <w:pStyle w:val="Bibliography"/>
      </w:pPr>
      <w:r>
        <w:t xml:space="preserve">[49]</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5">
        <w:r>
          <w:rPr>
            <w:rStyle w:val="Hyperlink"/>
          </w:rPr>
          <w:t xml:space="preserve">https://doi.org/10.1016/j.evolhumbehav.2022.07.003</w:t>
        </w:r>
      </w:hyperlink>
      <w:r>
        <w:t xml:space="preserve">.</w:t>
      </w:r>
    </w:p>
    <w:bookmarkEnd w:id="156"/>
    <w:bookmarkStart w:id="158" w:name="ref-Schwendler_2012"/>
    <w:p>
      <w:pPr>
        <w:pStyle w:val="Bibliography"/>
      </w:pPr>
      <w:r>
        <w:t xml:space="preserve">[50]</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7">
        <w:r>
          <w:rPr>
            <w:rStyle w:val="Hyperlink"/>
          </w:rPr>
          <w:t xml:space="preserve">https://doi.org/10.1016/j.quaint.2012.03.054</w:t>
        </w:r>
      </w:hyperlink>
      <w:r>
        <w:t xml:space="preserve">.</w:t>
      </w:r>
    </w:p>
    <w:bookmarkEnd w:id="158"/>
    <w:bookmarkStart w:id="160" w:name="ref-Morwood_1987"/>
    <w:p>
      <w:pPr>
        <w:pStyle w:val="Bibliography"/>
      </w:pPr>
      <w:r>
        <w:t xml:space="preserve">[51]</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59">
        <w:r>
          <w:rPr>
            <w:rStyle w:val="Hyperlink"/>
          </w:rPr>
          <w:t xml:space="preserve">https://doi.org/10.1017/S0079497X00006265</w:t>
        </w:r>
      </w:hyperlink>
      <w:r>
        <w:t xml:space="preserve">.</w:t>
      </w:r>
    </w:p>
    <w:bookmarkEnd w:id="160"/>
    <w:bookmarkStart w:id="162" w:name="ref-Mattson_2021"/>
    <w:p>
      <w:pPr>
        <w:pStyle w:val="Bibliography"/>
      </w:pPr>
      <w:r>
        <w:t xml:space="preserve">[52]</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1">
        <w:r>
          <w:rPr>
            <w:rStyle w:val="Hyperlink"/>
          </w:rPr>
          <w:t xml:space="preserve">https://doi.org/10.2307/j.ctv24q4z2g.5</w:t>
        </w:r>
      </w:hyperlink>
      <w:r>
        <w:t xml:space="preserve">.</w:t>
      </w:r>
    </w:p>
    <w:bookmarkEnd w:id="162"/>
    <w:bookmarkStart w:id="163" w:name="ref-Larsson_2006"/>
    <w:p>
      <w:pPr>
        <w:pStyle w:val="Bibliography"/>
      </w:pPr>
      <w:r>
        <w:t xml:space="preserve">[53]</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3"/>
    <w:bookmarkStart w:id="165" w:name="ref-Moore_2010"/>
    <w:p>
      <w:pPr>
        <w:pStyle w:val="Bibliography"/>
      </w:pPr>
      <w:r>
        <w:t xml:space="preserve">[54]</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4">
        <w:r>
          <w:rPr>
            <w:rStyle w:val="Hyperlink"/>
          </w:rPr>
          <w:t xml:space="preserve">https://doi.org/10.1179/sea.2010.29.1.013</w:t>
        </w:r>
      </w:hyperlink>
      <w:r>
        <w:t xml:space="preserve">.</w:t>
      </w:r>
    </w:p>
    <w:bookmarkEnd w:id="165"/>
    <w:bookmarkStart w:id="167" w:name="ref-Alfonso-Durrruty_Giles_Misarti2015"/>
    <w:p>
      <w:pPr>
        <w:pStyle w:val="Bibliography"/>
      </w:pPr>
      <w:r>
        <w:t xml:space="preserve">[55]</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6">
        <w:r>
          <w:rPr>
            <w:rStyle w:val="Hyperlink"/>
          </w:rPr>
          <w:t xml:space="preserve">https://doi.org/10.1002/ajpa.22832</w:t>
        </w:r>
      </w:hyperlink>
      <w:r>
        <w:t xml:space="preserve">.</w:t>
      </w:r>
    </w:p>
    <w:bookmarkEnd w:id="167"/>
    <w:bookmarkStart w:id="168" w:name="ref-Vanhaeren_2005"/>
    <w:p>
      <w:pPr>
        <w:pStyle w:val="Bibliography"/>
      </w:pPr>
      <w:r>
        <w:t xml:space="preserve">[56]</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68"/>
    <w:bookmarkStart w:id="170" w:name="ref-Conkey_1985"/>
    <w:p>
      <w:pPr>
        <w:pStyle w:val="Bibliography"/>
      </w:pPr>
      <w:r>
        <w:t xml:space="preserve">[57]</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69">
        <w:r>
          <w:rPr>
            <w:rStyle w:val="Hyperlink"/>
          </w:rPr>
          <w:t xml:space="preserve">https://doi.org/10.1016/B978-0-12-564750-2.50016-0</w:t>
        </w:r>
      </w:hyperlink>
      <w:r>
        <w:t xml:space="preserve">.</w:t>
      </w:r>
    </w:p>
    <w:bookmarkEnd w:id="170"/>
    <w:bookmarkStart w:id="171" w:name="ref-Conkey_1978"/>
    <w:p>
      <w:pPr>
        <w:pStyle w:val="Bibliography"/>
      </w:pPr>
      <w:r>
        <w:t xml:space="preserve">[58]</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1"/>
    <w:bookmarkStart w:id="173" w:name="ref-Tilley_1982"/>
    <w:p>
      <w:pPr>
        <w:pStyle w:val="Bibliography"/>
      </w:pPr>
      <w:r>
        <w:t xml:space="preserve">[59]</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2">
        <w:r>
          <w:rPr>
            <w:rStyle w:val="Hyperlink"/>
          </w:rPr>
          <w:t xml:space="preserve">https://doi.org/10.1017/CBO9780511558252.004</w:t>
        </w:r>
      </w:hyperlink>
      <w:r>
        <w:t xml:space="preserve">.</w:t>
      </w:r>
    </w:p>
    <w:bookmarkEnd w:id="173"/>
    <w:bookmarkStart w:id="175" w:name="ref-Hodder1979"/>
    <w:p>
      <w:pPr>
        <w:pStyle w:val="Bibliography"/>
      </w:pPr>
      <w:r>
        <w:t xml:space="preserve">[60]</w:t>
      </w:r>
      <w:r>
        <w:t xml:space="preserve"> </w:t>
      </w:r>
      <w:r>
        <w:t xml:space="preserve">	</w:t>
      </w:r>
      <w:r>
        <w:t xml:space="preserve">Hodder I. Economic and social stress and material culture patterning. American Antiquity 1979;44:446–54.</w:t>
      </w:r>
      <w:r>
        <w:t xml:space="preserve"> </w:t>
      </w:r>
      <w:hyperlink r:id="rId174">
        <w:r>
          <w:rPr>
            <w:rStyle w:val="Hyperlink"/>
          </w:rPr>
          <w:t xml:space="preserve">https://doi.org/10.2307/279544</w:t>
        </w:r>
      </w:hyperlink>
      <w:r>
        <w:t xml:space="preserve">.</w:t>
      </w:r>
    </w:p>
    <w:bookmarkEnd w:id="175"/>
    <w:bookmarkStart w:id="177" w:name="ref-Hodder1977"/>
    <w:p>
      <w:pPr>
        <w:pStyle w:val="Bibliography"/>
      </w:pPr>
      <w:r>
        <w:t xml:space="preserve">[61]</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6">
        <w:r>
          <w:rPr>
            <w:rStyle w:val="Hyperlink"/>
          </w:rPr>
          <w:t xml:space="preserve">https://doi.org/10.2307/2800797</w:t>
        </w:r>
      </w:hyperlink>
      <w:r>
        <w:t xml:space="preserve">.</w:t>
      </w:r>
    </w:p>
    <w:bookmarkEnd w:id="177"/>
    <w:bookmarkStart w:id="179" w:name="ref-Binford_1990"/>
    <w:p>
      <w:pPr>
        <w:pStyle w:val="Bibliography"/>
      </w:pPr>
      <w:r>
        <w:t xml:space="preserve">[62]</w:t>
      </w:r>
      <w:r>
        <w:t xml:space="preserve"> </w:t>
      </w:r>
      <w:r>
        <w:t xml:space="preserve">	</w:t>
      </w:r>
      <w:r>
        <w:t xml:space="preserve">Binford LR. Mobility, housing, and environment: A comparative study. Journal of Anthropological Research 1990;46:119–52.</w:t>
      </w:r>
      <w:r>
        <w:t xml:space="preserve"> </w:t>
      </w:r>
      <w:hyperlink r:id="rId178">
        <w:r>
          <w:rPr>
            <w:rStyle w:val="Hyperlink"/>
          </w:rPr>
          <w:t xml:space="preserve">https://doi.org/10.1086/jar.46.2.3630069</w:t>
        </w:r>
      </w:hyperlink>
      <w:r>
        <w:t xml:space="preserve">.</w:t>
      </w:r>
    </w:p>
    <w:bookmarkEnd w:id="179"/>
    <w:bookmarkStart w:id="181" w:name="ref-Kelly_1983"/>
    <w:p>
      <w:pPr>
        <w:pStyle w:val="Bibliography"/>
      </w:pPr>
      <w:r>
        <w:t xml:space="preserve">[63]</w:t>
      </w:r>
      <w:r>
        <w:t xml:space="preserve"> </w:t>
      </w:r>
      <w:r>
        <w:t xml:space="preserve">	</w:t>
      </w:r>
      <w:r>
        <w:t xml:space="preserve">Kelly RL. Hunter-gatherer mobility strategies. Journal of Anthropological Research 1983;39:277–306.</w:t>
      </w:r>
      <w:r>
        <w:t xml:space="preserve"> </w:t>
      </w:r>
      <w:hyperlink r:id="rId180">
        <w:r>
          <w:rPr>
            <w:rStyle w:val="Hyperlink"/>
          </w:rPr>
          <w:t xml:space="preserve">https://doi.org/10.1086/jar.39.3.3629672</w:t>
        </w:r>
      </w:hyperlink>
      <w:r>
        <w:t xml:space="preserve">.</w:t>
      </w:r>
    </w:p>
    <w:bookmarkEnd w:id="181"/>
    <w:bookmarkStart w:id="183" w:name="ref-Padilla-Iglesias_Bischoff_2024"/>
    <w:p>
      <w:pPr>
        <w:pStyle w:val="Bibliography"/>
      </w:pPr>
      <w:r>
        <w:t xml:space="preserve">[64]</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2">
        <w:r>
          <w:rPr>
            <w:rStyle w:val="Hyperlink"/>
          </w:rPr>
          <w:t xml:space="preserve">https://doi.org/10.1016/j.jasrep.2024.104798</w:t>
        </w:r>
      </w:hyperlink>
      <w:r>
        <w:t xml:space="preserve">.</w:t>
      </w:r>
    </w:p>
    <w:bookmarkEnd w:id="183"/>
    <w:bookmarkStart w:id="185" w:name="ref-Whallon_2006"/>
    <w:p>
      <w:pPr>
        <w:pStyle w:val="Bibliography"/>
      </w:pPr>
      <w:r>
        <w:t xml:space="preserve">[65]</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4">
        <w:r>
          <w:rPr>
            <w:rStyle w:val="Hyperlink"/>
          </w:rPr>
          <w:t xml:space="preserve">https://doi.org/10.1016/j.jaa.2005.11.004</w:t>
        </w:r>
      </w:hyperlink>
      <w:r>
        <w:t xml:space="preserve">.</w:t>
      </w:r>
    </w:p>
    <w:bookmarkEnd w:id="185"/>
    <w:bookmarkStart w:id="186" w:name="ref-Fitzhugh_Phillips_Gjesfeld_2011"/>
    <w:p>
      <w:pPr>
        <w:pStyle w:val="Bibliography"/>
      </w:pPr>
      <w:r>
        <w:t xml:space="preserve">[66]</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6"/>
    <w:bookmarkStart w:id="188" w:name="ref-Lovis_Donahue_2011"/>
    <w:p>
      <w:pPr>
        <w:pStyle w:val="Bibliography"/>
      </w:pPr>
      <w:r>
        <w:t xml:space="preserve">[67]</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7">
        <w:r>
          <w:rPr>
            <w:rStyle w:val="Hyperlink"/>
          </w:rPr>
          <w:t xml:space="preserve">https://doi.org/10.2307/j.ctvdmwwz4.7</w:t>
        </w:r>
      </w:hyperlink>
      <w:r>
        <w:t xml:space="preserve">.</w:t>
      </w:r>
    </w:p>
    <w:bookmarkEnd w:id="188"/>
    <w:bookmarkStart w:id="190" w:name="ref-Hitchcock_Ebert_2011"/>
    <w:p>
      <w:pPr>
        <w:pStyle w:val="Bibliography"/>
      </w:pPr>
      <w:r>
        <w:t xml:space="preserve">[68]</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89">
        <w:r>
          <w:rPr>
            <w:rStyle w:val="Hyperlink"/>
          </w:rPr>
          <w:t xml:space="preserve">https://doi.org/10.2307/j.ctvdmwwz4.10</w:t>
        </w:r>
      </w:hyperlink>
      <w:r>
        <w:t xml:space="preserve">.</w:t>
      </w:r>
    </w:p>
    <w:bookmarkEnd w:id="190"/>
    <w:bookmarkStart w:id="192" w:name="ref-Romano_Lozano_Fern2022"/>
    <w:p>
      <w:pPr>
        <w:pStyle w:val="Bibliography"/>
      </w:pPr>
      <w:r>
        <w:t xml:space="preserve">[69]</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1">
        <w:r>
          <w:rPr>
            <w:rStyle w:val="Hyperlink"/>
          </w:rPr>
          <w:t xml:space="preserve">https://doi.org/10.1098/rstb.2020.0318</w:t>
        </w:r>
      </w:hyperlink>
      <w:r>
        <w:t xml:space="preserve">.</w:t>
      </w:r>
    </w:p>
    <w:bookmarkEnd w:id="192"/>
    <w:bookmarkStart w:id="194" w:name="ref-Kelly_2024"/>
    <w:p>
      <w:pPr>
        <w:pStyle w:val="Bibliography"/>
      </w:pPr>
      <w:r>
        <w:t xml:space="preserve">[70]</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3">
        <w:r>
          <w:rPr>
            <w:rStyle w:val="Hyperlink"/>
          </w:rPr>
          <w:t xml:space="preserve">https://doi.org/10.1111/tops.12762</w:t>
        </w:r>
      </w:hyperlink>
      <w:r>
        <w:t xml:space="preserve">.</w:t>
      </w:r>
    </w:p>
    <w:bookmarkEnd w:id="194"/>
    <w:bookmarkStart w:id="196" w:name="ref-Kinahan_2013"/>
    <w:p>
      <w:pPr>
        <w:pStyle w:val="Bibliography"/>
      </w:pPr>
      <w:r>
        <w:t xml:space="preserve">[71]</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5">
        <w:r>
          <w:rPr>
            <w:rStyle w:val="Hyperlink"/>
          </w:rPr>
          <w:t xml:space="preserve">https://doi.org/10.3213/2191-5784-10243</w:t>
        </w:r>
      </w:hyperlink>
      <w:r>
        <w:t xml:space="preserve">.</w:t>
      </w:r>
    </w:p>
    <w:bookmarkEnd w:id="196"/>
    <w:bookmarkStart w:id="198" w:name="ref-Newlander_2012"/>
    <w:p>
      <w:pPr>
        <w:pStyle w:val="Bibliography"/>
      </w:pPr>
      <w:r>
        <w:t xml:space="preserve">[72]</w:t>
      </w:r>
      <w:r>
        <w:t xml:space="preserve"> </w:t>
      </w:r>
      <w:r>
        <w:t xml:space="preserve">	</w:t>
      </w:r>
      <w:r>
        <w:t xml:space="preserve">Newlander KS.</w:t>
      </w:r>
      <w:r>
        <w:t xml:space="preserve"> </w:t>
      </w:r>
      <w:hyperlink r:id="rId197">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198"/>
    <w:bookmarkStart w:id="200" w:name="ref-Iizuka_Ferguson_Izuho_2022"/>
    <w:p>
      <w:pPr>
        <w:pStyle w:val="Bibliography"/>
      </w:pPr>
      <w:r>
        <w:t xml:space="preserve">[73]</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199">
        <w:r>
          <w:rPr>
            <w:rStyle w:val="Hyperlink"/>
          </w:rPr>
          <w:t xml:space="preserve">https://doi.org/10.1371/journal.pone.0265329</w:t>
        </w:r>
      </w:hyperlink>
      <w:r>
        <w:t xml:space="preserve">.</w:t>
      </w:r>
    </w:p>
    <w:bookmarkEnd w:id="200"/>
    <w:bookmarkStart w:id="202" w:name="ref-conkey_agg"/>
    <w:p>
      <w:pPr>
        <w:pStyle w:val="Bibliography"/>
      </w:pPr>
      <w:r>
        <w:t xml:space="preserve">[74]</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1">
        <w:r>
          <w:rPr>
            <w:rStyle w:val="Hyperlink"/>
          </w:rPr>
          <w:t xml:space="preserve">https://doi.org/10.1086/202540</w:t>
        </w:r>
      </w:hyperlink>
      <w:r>
        <w:t xml:space="preserve">.</w:t>
      </w:r>
    </w:p>
    <w:bookmarkEnd w:id="202"/>
    <w:bookmarkStart w:id="204" w:name="ref-Maher_Conkey_2019"/>
    <w:p>
      <w:pPr>
        <w:pStyle w:val="Bibliography"/>
      </w:pPr>
      <w:r>
        <w:t xml:space="preserve">[75]</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3">
        <w:r>
          <w:rPr>
            <w:rStyle w:val="Hyperlink"/>
          </w:rPr>
          <w:t xml:space="preserve">https://doi.org/10.1086/701523</w:t>
        </w:r>
      </w:hyperlink>
      <w:r>
        <w:t xml:space="preserve">.</w:t>
      </w:r>
    </w:p>
    <w:bookmarkEnd w:id="204"/>
    <w:bookmarkStart w:id="206" w:name="ref-bahn1982inter"/>
    <w:p>
      <w:pPr>
        <w:pStyle w:val="Bibliography"/>
      </w:pPr>
      <w:r>
        <w:t xml:space="preserve">[76]</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5">
        <w:r>
          <w:rPr>
            <w:rStyle w:val="Hyperlink"/>
          </w:rPr>
          <w:t xml:space="preserve">https://doi.org/10.1111/j.1468-0092.1982.tb00313.x</w:t>
        </w:r>
      </w:hyperlink>
      <w:r>
        <w:t xml:space="preserve">.</w:t>
      </w:r>
    </w:p>
    <w:bookmarkEnd w:id="206"/>
    <w:bookmarkStart w:id="208" w:name="ref-Bourdier_2013"/>
    <w:p>
      <w:pPr>
        <w:pStyle w:val="Bibliography"/>
      </w:pPr>
      <w:r>
        <w:t xml:space="preserve">[77]</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7">
        <w:r>
          <w:rPr>
            <w:rStyle w:val="Hyperlink"/>
          </w:rPr>
          <w:t xml:space="preserve">https://doi.org/10.1016/j.jaa.2013.05.005</w:t>
        </w:r>
      </w:hyperlink>
      <w:r>
        <w:t xml:space="preserve">.</w:t>
      </w:r>
    </w:p>
    <w:bookmarkEnd w:id="208"/>
    <w:bookmarkStart w:id="210" w:name="ref-Svoboda_2013"/>
    <w:p>
      <w:pPr>
        <w:pStyle w:val="Bibliography"/>
      </w:pPr>
      <w:r>
        <w:t xml:space="preserve">[78]</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09">
        <w:r>
          <w:rPr>
            <w:rStyle w:val="Hyperlink"/>
          </w:rPr>
          <w:t xml:space="preserve">https://doi.org/10.4000/palethnologie.4945</w:t>
        </w:r>
      </w:hyperlink>
      <w:r>
        <w:t xml:space="preserve">.</w:t>
      </w:r>
    </w:p>
    <w:bookmarkEnd w:id="210"/>
    <w:bookmarkStart w:id="212" w:name="ref-white1992rethinking"/>
    <w:p>
      <w:pPr>
        <w:pStyle w:val="Bibliography"/>
      </w:pPr>
      <w:r>
        <w:t xml:space="preserve">[79]</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1">
        <w:r>
          <w:rPr>
            <w:rStyle w:val="Hyperlink"/>
          </w:rPr>
          <w:t xml:space="preserve">https://doi.org/10.1086/202802</w:t>
        </w:r>
      </w:hyperlink>
      <w:r>
        <w:t xml:space="preserve">.</w:t>
      </w:r>
    </w:p>
    <w:bookmarkEnd w:id="212"/>
    <w:bookmarkStart w:id="213" w:name="X79d7c52b9cdbe72fc1b94e51c6ee6057d0c4a50"/>
    <w:p>
      <w:pPr>
        <w:pStyle w:val="Bibliography"/>
      </w:pPr>
      <w:r>
        <w:t xml:space="preserve">[80]</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3"/>
    <w:bookmarkStart w:id="215" w:name="ref-montet-white1994"/>
    <w:p>
      <w:pPr>
        <w:pStyle w:val="Bibliography"/>
      </w:pPr>
      <w:r>
        <w:t xml:space="preserve">[81]</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4">
        <w:r>
          <w:rPr>
            <w:rStyle w:val="Hyperlink"/>
          </w:rPr>
          <w:t xml:space="preserve">https://doi.org/10.1146/annurev.an.23.100194.002411</w:t>
        </w:r>
      </w:hyperlink>
      <w:r>
        <w:t xml:space="preserve">.</w:t>
      </w:r>
    </w:p>
    <w:bookmarkEnd w:id="215"/>
    <w:bookmarkStart w:id="217" w:name="ref-Frerebeau_2025"/>
    <w:p>
      <w:pPr>
        <w:pStyle w:val="Bibliography"/>
      </w:pPr>
      <w:r>
        <w:t xml:space="preserve">[82]</w:t>
      </w:r>
      <w:r>
        <w:t xml:space="preserve"> </w:t>
      </w:r>
      <w:r>
        <w:t xml:space="preserve">	</w:t>
      </w:r>
      <w:r>
        <w:t xml:space="preserve">Frerebeau N. Tabula: Analysis and visualization of archaeological count data 2025.</w:t>
      </w:r>
      <w:r>
        <w:t xml:space="preserve"> </w:t>
      </w:r>
      <w:hyperlink r:id="rId216">
        <w:r>
          <w:rPr>
            <w:rStyle w:val="Hyperlink"/>
          </w:rPr>
          <w:t xml:space="preserve">https://doi.org/10.5281/zenodo.15397990</w:t>
        </w:r>
      </w:hyperlink>
      <w:r>
        <w:t xml:space="preserve">.</w:t>
      </w:r>
    </w:p>
    <w:bookmarkEnd w:id="217"/>
    <w:bookmarkStart w:id="219" w:name="ref-Kintigh_1984"/>
    <w:p>
      <w:pPr>
        <w:pStyle w:val="Bibliography"/>
      </w:pPr>
      <w:r>
        <w:t xml:space="preserve">[83]</w:t>
      </w:r>
      <w:r>
        <w:t xml:space="preserve"> </w:t>
      </w:r>
      <w:r>
        <w:t xml:space="preserve">	</w:t>
      </w:r>
      <w:r>
        <w:t xml:space="preserve">Kintigh KW. Measuring archaeological diversity by comparison with simulated assemblages. American Antiquity 1984;49:44–54.</w:t>
      </w:r>
      <w:r>
        <w:t xml:space="preserve"> </w:t>
      </w:r>
      <w:hyperlink r:id="rId218">
        <w:r>
          <w:rPr>
            <w:rStyle w:val="Hyperlink"/>
          </w:rPr>
          <w:t xml:space="preserve">https://doi.org/10.2307/280511</w:t>
        </w:r>
      </w:hyperlink>
      <w:r>
        <w:t xml:space="preserve">.</w:t>
      </w:r>
    </w:p>
    <w:bookmarkEnd w:id="219"/>
    <w:bookmarkStart w:id="221" w:name="X8c17deb08b87fbfa26556dda630532ff62c8bd1"/>
    <w:p>
      <w:pPr>
        <w:pStyle w:val="Bibliography"/>
      </w:pPr>
      <w:r>
        <w:t xml:space="preserve">[84]</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0">
        <w:r>
          <w:rPr>
            <w:rStyle w:val="Hyperlink"/>
          </w:rPr>
          <w:t xml:space="preserve">https://doi.org/10.1038/s41467-024-51349-y</w:t>
        </w:r>
      </w:hyperlink>
      <w:r>
        <w:t xml:space="preserve">.</w:t>
      </w:r>
    </w:p>
    <w:bookmarkEnd w:id="221"/>
    <w:bookmarkStart w:id="223" w:name="ref-smith1992Design"/>
    <w:p>
      <w:pPr>
        <w:pStyle w:val="Bibliography"/>
      </w:pPr>
      <w:r>
        <w:t xml:space="preserve">[85]</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2">
        <w:r>
          <w:rPr>
            <w:rStyle w:val="Hyperlink"/>
          </w:rPr>
          <w:t xml:space="preserve">https://doi.org/10.1080/03122417.1992.11681454</w:t>
        </w:r>
      </w:hyperlink>
      <w:r>
        <w:t xml:space="preserve">.</w:t>
      </w:r>
    </w:p>
    <w:bookmarkEnd w:id="223"/>
    <w:bookmarkStart w:id="224" w:name="ref-hays1993symbol"/>
    <w:p>
      <w:pPr>
        <w:pStyle w:val="Bibliography"/>
      </w:pPr>
      <w:r>
        <w:t xml:space="preserve">[86]</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4"/>
    <w:bookmarkStart w:id="226" w:name="ref-McDonald_Veth_Lilley_2006"/>
    <w:p>
      <w:pPr>
        <w:pStyle w:val="Bibliography"/>
      </w:pPr>
      <w:r>
        <w:t xml:space="preserve">[87]</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5">
        <w:r>
          <w:rPr>
            <w:rStyle w:val="Hyperlink"/>
          </w:rPr>
          <w:t xml:space="preserve">https://doi.org/10.1002/9780470773475.ch5</w:t>
        </w:r>
      </w:hyperlink>
      <w:r>
        <w:t xml:space="preserve">.</w:t>
      </w:r>
    </w:p>
    <w:bookmarkEnd w:id="226"/>
    <w:bookmarkStart w:id="228" w:name="ref-Lourandos_1985"/>
    <w:p>
      <w:pPr>
        <w:pStyle w:val="Bibliography"/>
      </w:pPr>
      <w:r>
        <w:t xml:space="preserve">[88]</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7">
        <w:r>
          <w:rPr>
            <w:rStyle w:val="Hyperlink"/>
          </w:rPr>
          <w:t xml:space="preserve">https://doi.org/10.1016/B978-0-12-564750-2.50020-2</w:t>
        </w:r>
      </w:hyperlink>
      <w:r>
        <w:t xml:space="preserve">.</w:t>
      </w:r>
    </w:p>
    <w:bookmarkEnd w:id="228"/>
    <w:bookmarkStart w:id="230" w:name="ref-barton_clark_cohen1994"/>
    <w:p>
      <w:pPr>
        <w:pStyle w:val="Bibliography"/>
      </w:pPr>
      <w:r>
        <w:t xml:space="preserve">[89]</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29">
        <w:r>
          <w:rPr>
            <w:rStyle w:val="Hyperlink"/>
          </w:rPr>
          <w:t xml:space="preserve">https://doi.org/10.1080/00438243.1994.9980272</w:t>
        </w:r>
      </w:hyperlink>
      <w:r>
        <w:t xml:space="preserve">.</w:t>
      </w:r>
    </w:p>
    <w:bookmarkEnd w:id="230"/>
    <w:bookmarkStart w:id="232" w:name="ref-mcdonald2012social"/>
    <w:p>
      <w:pPr>
        <w:pStyle w:val="Bibliography"/>
      </w:pPr>
      <w:r>
        <w:t xml:space="preserve">[90]</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1">
        <w:r>
          <w:rPr>
            <w:rStyle w:val="Hyperlink"/>
          </w:rPr>
          <w:t xml:space="preserve">https://doi.org/10.1002/9781118253892.ch6</w:t>
        </w:r>
      </w:hyperlink>
      <w:r>
        <w:t xml:space="preserve">.</w:t>
      </w:r>
    </w:p>
    <w:bookmarkEnd w:id="232"/>
    <w:bookmarkStart w:id="234" w:name="ref-bernardini2005reconsidering"/>
    <w:p>
      <w:pPr>
        <w:pStyle w:val="Bibliography"/>
      </w:pPr>
      <w:r>
        <w:t xml:space="preserve">[91]</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3">
        <w:r>
          <w:rPr>
            <w:rStyle w:val="Hyperlink"/>
          </w:rPr>
          <w:t xml:space="preserve">https://doi.org/10.2307/40035267</w:t>
        </w:r>
      </w:hyperlink>
      <w:r>
        <w:t xml:space="preserve">.</w:t>
      </w:r>
    </w:p>
    <w:bookmarkEnd w:id="234"/>
    <w:bookmarkStart w:id="236" w:name="ref-wiessner1984reconsidering"/>
    <w:p>
      <w:pPr>
        <w:pStyle w:val="Bibliography"/>
      </w:pPr>
      <w:r>
        <w:t xml:space="preserve">[92]</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5">
        <w:r>
          <w:rPr>
            <w:rStyle w:val="Hyperlink"/>
          </w:rPr>
          <w:t xml:space="preserve">https://doi.org/10.1016/0278-4165(84)90002-3</w:t>
        </w:r>
      </w:hyperlink>
      <w:r>
        <w:t xml:space="preserve">.</w:t>
      </w:r>
    </w:p>
    <w:bookmarkEnd w:id="236"/>
    <w:bookmarkStart w:id="238" w:name="ref-smith1992"/>
    <w:p>
      <w:pPr>
        <w:pStyle w:val="Bibliography"/>
      </w:pPr>
      <w:r>
        <w:t xml:space="preserve">[93]</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7">
        <w:r>
          <w:rPr>
            <w:rStyle w:val="Hyperlink"/>
          </w:rPr>
          <w:t xml:space="preserve">https://doi.org/10.1080/03122417.1992.11681450</w:t>
        </w:r>
      </w:hyperlink>
      <w:r>
        <w:t xml:space="preserve">.</w:t>
      </w:r>
    </w:p>
    <w:bookmarkEnd w:id="238"/>
    <w:bookmarkStart w:id="240" w:name="X4fed35d53d406ce17aea32f9d6f163fcb563519"/>
    <w:p>
      <w:pPr>
        <w:pStyle w:val="Bibliography"/>
      </w:pPr>
      <w:r>
        <w:t xml:space="preserve">[94]</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39">
        <w:r>
          <w:rPr>
            <w:rStyle w:val="Hyperlink"/>
          </w:rPr>
          <w:t xml:space="preserve">https://doi.org/10.1007/978-4-431-55363-2_8</w:t>
        </w:r>
      </w:hyperlink>
      <w:r>
        <w:t xml:space="preserve">.</w:t>
      </w:r>
    </w:p>
    <w:bookmarkEnd w:id="240"/>
    <w:bookmarkStart w:id="241" w:name="ref-Cavalli_Sforza_Feldman_1981"/>
    <w:p>
      <w:pPr>
        <w:pStyle w:val="Bibliography"/>
      </w:pPr>
      <w:r>
        <w:t xml:space="preserve">[95]</w:t>
      </w:r>
      <w:r>
        <w:t xml:space="preserve"> </w:t>
      </w:r>
      <w:r>
        <w:t xml:space="preserve">	</w:t>
      </w:r>
      <w:r>
        <w:t xml:space="preserve">Cavalli-Sforza L, Feldman MW. Cultural transmission and evolution: A quantitative approach. Princeton University Press; 1981.</w:t>
      </w:r>
    </w:p>
    <w:bookmarkEnd w:id="241"/>
    <w:bookmarkStart w:id="242" w:name="ref-Boyd_Richerson_1985"/>
    <w:p>
      <w:pPr>
        <w:pStyle w:val="Bibliography"/>
      </w:pPr>
      <w:r>
        <w:t xml:space="preserve">[96]</w:t>
      </w:r>
      <w:r>
        <w:t xml:space="preserve"> </w:t>
      </w:r>
      <w:r>
        <w:t xml:space="preserve">	</w:t>
      </w:r>
      <w:r>
        <w:t xml:space="preserve">Boyd R, Richerson PJ. Culture and the evolutionary process. University of Chicago Press; 1985.</w:t>
      </w:r>
    </w:p>
    <w:bookmarkEnd w:id="242"/>
    <w:bookmarkStart w:id="243" w:name="ref-Richerson_Boyd_2005"/>
    <w:p>
      <w:pPr>
        <w:pStyle w:val="Bibliography"/>
      </w:pPr>
      <w:r>
        <w:t xml:space="preserve">[97]</w:t>
      </w:r>
      <w:r>
        <w:t xml:space="preserve"> </w:t>
      </w:r>
      <w:r>
        <w:t xml:space="preserve">	</w:t>
      </w:r>
      <w:r>
        <w:t xml:space="preserve">Richerson PJ, Boyd R. Not by genes alone: How culture transformed human evolution. University of Chicago Press; 2005.</w:t>
      </w:r>
    </w:p>
    <w:bookmarkEnd w:id="243"/>
    <w:bookmarkStart w:id="245" w:name="ref-Henrich_2004"/>
    <w:p>
      <w:pPr>
        <w:pStyle w:val="Bibliography"/>
      </w:pPr>
      <w:r>
        <w:t xml:space="preserve">[98]</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4">
        <w:r>
          <w:rPr>
            <w:rStyle w:val="Hyperlink"/>
          </w:rPr>
          <w:t xml:space="preserve">https://doi.org/10.2307/4128416</w:t>
        </w:r>
      </w:hyperlink>
      <w:r>
        <w:t xml:space="preserve">.</w:t>
      </w:r>
    </w:p>
    <w:bookmarkEnd w:id="245"/>
    <w:bookmarkStart w:id="247" w:name="ref-Migliano_2020"/>
    <w:p>
      <w:pPr>
        <w:pStyle w:val="Bibliography"/>
      </w:pPr>
      <w:r>
        <w:t xml:space="preserve">[99]</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6">
        <w:r>
          <w:rPr>
            <w:rStyle w:val="Hyperlink"/>
          </w:rPr>
          <w:t xml:space="preserve">https://doi.org/10.1126/sciadv.aax5913</w:t>
        </w:r>
      </w:hyperlink>
      <w:r>
        <w:t xml:space="preserve">.</w:t>
      </w:r>
    </w:p>
    <w:bookmarkEnd w:id="247"/>
    <w:bookmarkStart w:id="249" w:name="ref-Romano_Lozano_2020"/>
    <w:p>
      <w:pPr>
        <w:pStyle w:val="Bibliography"/>
      </w:pPr>
      <w:r>
        <w:t xml:space="preserve">[100]</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48">
        <w:r>
          <w:rPr>
            <w:rStyle w:val="Hyperlink"/>
          </w:rPr>
          <w:t xml:space="preserve">https://doi.org/10.1111/brv.12599</w:t>
        </w:r>
      </w:hyperlink>
      <w:r>
        <w:t xml:space="preserve">.</w:t>
      </w:r>
    </w:p>
    <w:bookmarkEnd w:id="249"/>
    <w:bookmarkStart w:id="251" w:name="ref-Buchanan_Hamilton_2023"/>
    <w:p>
      <w:pPr>
        <w:pStyle w:val="Bibliography"/>
      </w:pPr>
      <w:r>
        <w:t xml:space="preserve">[101]</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0">
        <w:r>
          <w:rPr>
            <w:rStyle w:val="Hyperlink"/>
          </w:rPr>
          <w:t xml:space="preserve">https://doi.org/10.1093/oxfordhb/9780198854265.013.34</w:t>
        </w:r>
      </w:hyperlink>
      <w:r>
        <w:t xml:space="preserve">.</w:t>
      </w:r>
    </w:p>
    <w:bookmarkEnd w:id="251"/>
    <w:bookmarkStart w:id="253" w:name="ref-Eerkens_Lipo_2005"/>
    <w:p>
      <w:pPr>
        <w:pStyle w:val="Bibliography"/>
      </w:pPr>
      <w:r>
        <w:t xml:space="preserve">[102]</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2">
        <w:r>
          <w:rPr>
            <w:rStyle w:val="Hyperlink"/>
          </w:rPr>
          <w:t xml:space="preserve">https://doi.org/10.1016/j.jaa.2005.08.001</w:t>
        </w:r>
      </w:hyperlink>
      <w:r>
        <w:t xml:space="preserve">.</w:t>
      </w:r>
    </w:p>
    <w:bookmarkEnd w:id="253"/>
    <w:bookmarkStart w:id="255" w:name="ref-Intxaurbe_2026"/>
    <w:p>
      <w:pPr>
        <w:pStyle w:val="Bibliography"/>
      </w:pPr>
      <w:r>
        <w:t xml:space="preserve">[103]</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4">
        <w:r>
          <w:rPr>
            <w:rStyle w:val="Hyperlink"/>
          </w:rPr>
          <w:t xml:space="preserve">https://doi.org/10.1007/s10816-026-09796-y</w:t>
        </w:r>
      </w:hyperlink>
      <w:r>
        <w:t xml:space="preserve">.</w:t>
      </w:r>
    </w:p>
    <w:bookmarkEnd w:id="255"/>
    <w:bookmarkStart w:id="257" w:name="ref-Bentz_Dutkiewicz_2026"/>
    <w:p>
      <w:pPr>
        <w:pStyle w:val="Bibliography"/>
      </w:pPr>
      <w:r>
        <w:t xml:space="preserve">[104]</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56">
        <w:r>
          <w:rPr>
            <w:rStyle w:val="Hyperlink"/>
          </w:rPr>
          <w:t xml:space="preserve">https://doi.org/10.1073/pnas.2520385123</w:t>
        </w:r>
      </w:hyperlink>
      <w:r>
        <w:t xml:space="preserve">.</w:t>
      </w:r>
    </w:p>
    <w:bookmarkEnd w:id="257"/>
    <w:bookmarkStart w:id="259" w:name="ref-Bacon_2023"/>
    <w:p>
      <w:pPr>
        <w:pStyle w:val="Bibliography"/>
      </w:pPr>
      <w:r>
        <w:t xml:space="preserve">[105]</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58">
        <w:r>
          <w:rPr>
            <w:rStyle w:val="Hyperlink"/>
          </w:rPr>
          <w:t xml:space="preserve">https://doi.org/10.1017/S0959774322000415</w:t>
        </w:r>
      </w:hyperlink>
      <w:r>
        <w:t xml:space="preserve">.</w:t>
      </w:r>
    </w:p>
    <w:bookmarkEnd w:id="259"/>
    <w:bookmarkStart w:id="261" w:name="Xa4990169aeb885a690070ab4fd90972c31994f8"/>
    <w:p>
      <w:pPr>
        <w:pStyle w:val="Bibliography"/>
      </w:pPr>
      <w:r>
        <w:t xml:space="preserve">[106]</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0">
        <w:r>
          <w:rPr>
            <w:rStyle w:val="Hyperlink"/>
          </w:rPr>
          <w:t xml:space="preserve">https://doi.org/10.2139/ssrn.7053279</w:t>
        </w:r>
      </w:hyperlink>
      <w:r>
        <w:t xml:space="preserve">.</w:t>
      </w:r>
    </w:p>
    <w:bookmarkEnd w:id="261"/>
    <w:bookmarkStart w:id="263" w:name="X8ea620419c64d551554c48b7075c9934881930b"/>
    <w:p>
      <w:pPr>
        <w:pStyle w:val="Bibliography"/>
      </w:pPr>
      <w:r>
        <w:t xml:space="preserve">[107]</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2">
        <w:r>
          <w:rPr>
            <w:rStyle w:val="Hyperlink"/>
          </w:rPr>
          <w:t xml:space="preserve">https://doi.org/10.1007/s41982-023-00158-8</w:t>
        </w:r>
      </w:hyperlink>
      <w:r>
        <w:t xml:space="preserve">.</w:t>
      </w:r>
    </w:p>
    <w:bookmarkEnd w:id="263"/>
    <w:bookmarkStart w:id="265" w:name="ref-Magli_2024"/>
    <w:p>
      <w:pPr>
        <w:pStyle w:val="Bibliography"/>
      </w:pPr>
      <w:r>
        <w:t xml:space="preserve">[108]</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4">
        <w:r>
          <w:rPr>
            <w:rStyle w:val="Hyperlink"/>
          </w:rPr>
          <w:t xml:space="preserve">https://doi.org/10.1080/1751696X.2024.2441115</w:t>
        </w:r>
      </w:hyperlink>
      <w:r>
        <w:t xml:space="preserve">.</w:t>
      </w:r>
    </w:p>
    <w:bookmarkEnd w:id="265"/>
    <w:bookmarkStart w:id="267" w:name="ref-Nowell_2024_evidence"/>
    <w:p>
      <w:pPr>
        <w:pStyle w:val="Bibliography"/>
      </w:pPr>
      <w:r>
        <w:t xml:space="preserve">[109]</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66">
        <w:r>
          <w:rPr>
            <w:rStyle w:val="Hyperlink"/>
          </w:rPr>
          <w:t xml:space="preserve">https://doi.org/10.1017/S0959774324000155</w:t>
        </w:r>
      </w:hyperlink>
      <w:r>
        <w:t xml:space="preserve">.</w:t>
      </w:r>
    </w:p>
    <w:bookmarkEnd w:id="267"/>
    <w:bookmarkStart w:id="269" w:name="ref-Horiuchi_Takakura_2019"/>
    <w:p>
      <w:pPr>
        <w:pStyle w:val="Bibliography"/>
      </w:pPr>
      <w:r>
        <w:t xml:space="preserve">[110]</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68">
        <w:r>
          <w:rPr>
            <w:rStyle w:val="Hyperlink"/>
          </w:rPr>
          <w:t xml:space="preserve">https://doi.org/10.1007/978-981-13-8980-1_12</w:t>
        </w:r>
      </w:hyperlink>
      <w:r>
        <w:t xml:space="preserve">.</w:t>
      </w:r>
    </w:p>
    <w:bookmarkEnd w:id="269"/>
    <w:bookmarkStart w:id="270" w:name="ref-Rogers_2018"/>
    <w:p>
      <w:pPr>
        <w:pStyle w:val="Bibliography"/>
      </w:pPr>
      <w:r>
        <w:t xml:space="preserve">[111]</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0"/>
    <w:bookmarkStart w:id="272" w:name="X94f875be1b7e5d23641daff5d53857bec24e739"/>
    <w:p>
      <w:pPr>
        <w:pStyle w:val="Bibliography"/>
      </w:pPr>
      <w:r>
        <w:t xml:space="preserve">[112]</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1">
        <w:r>
          <w:rPr>
            <w:rStyle w:val="Hyperlink"/>
          </w:rPr>
          <w:t xml:space="preserve">https://doi.org/10.1016/j.jasrep.2021.103118</w:t>
        </w:r>
      </w:hyperlink>
      <w:r>
        <w:t xml:space="preserve">.</w:t>
      </w:r>
    </w:p>
    <w:bookmarkEnd w:id="272"/>
    <w:bookmarkStart w:id="274" w:name="ref-Gamble_1982"/>
    <w:p>
      <w:pPr>
        <w:pStyle w:val="Bibliography"/>
      </w:pPr>
      <w:r>
        <w:t xml:space="preserve">[113]</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3">
        <w:r>
          <w:rPr>
            <w:rStyle w:val="Hyperlink"/>
          </w:rPr>
          <w:t xml:space="preserve">https://doi.org/10.2307/2802103</w:t>
        </w:r>
      </w:hyperlink>
      <w:r>
        <w:t xml:space="preserve">.</w:t>
      </w:r>
    </w:p>
    <w:bookmarkEnd w:id="274"/>
    <w:bookmarkStart w:id="276" w:name="Xba346573845225b1b1d5ef358e2fea0d893a789"/>
    <w:p>
      <w:pPr>
        <w:pStyle w:val="Bibliography"/>
      </w:pPr>
      <w:r>
        <w:t xml:space="preserve">[114]</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5">
        <w:r>
          <w:rPr>
            <w:rStyle w:val="Hyperlink"/>
          </w:rPr>
          <w:t xml:space="preserve">https://doi.org/10.1016/j.quascirev.2018.12.011</w:t>
        </w:r>
      </w:hyperlink>
      <w:r>
        <w:t xml:space="preserve">.</w:t>
      </w:r>
    </w:p>
    <w:bookmarkEnd w:id="276"/>
    <w:bookmarkStart w:id="278" w:name="ref-Creanza_Kolodny_Feldman_2017"/>
    <w:p>
      <w:pPr>
        <w:pStyle w:val="Bibliography"/>
      </w:pPr>
      <w:r>
        <w:t xml:space="preserve">[115]</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77">
        <w:r>
          <w:rPr>
            <w:rStyle w:val="Hyperlink"/>
          </w:rPr>
          <w:t xml:space="preserve">https://doi.org/10.1098/rsif.2017.0171</w:t>
        </w:r>
      </w:hyperlink>
      <w:r>
        <w:t xml:space="preserve">.</w:t>
      </w:r>
    </w:p>
    <w:bookmarkEnd w:id="278"/>
    <w:bookmarkStart w:id="280" w:name="ref-Cullen_1996"/>
    <w:p>
      <w:pPr>
        <w:pStyle w:val="Bibliography"/>
      </w:pPr>
      <w:r>
        <w:t xml:space="preserve">[116]</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79">
        <w:r>
          <w:rPr>
            <w:rStyle w:val="Hyperlink"/>
          </w:rPr>
          <w:t xml:space="preserve">https://doi.org/10.1007/978-1-4757-9945-3_4</w:t>
        </w:r>
      </w:hyperlink>
      <w:r>
        <w:t xml:space="preserve">.</w:t>
      </w:r>
    </w:p>
    <w:bookmarkEnd w:id="280"/>
    <w:bookmarkStart w:id="282" w:name="ref-Hill_Wood_Baggio_Hurtado_Boyd_2014"/>
    <w:p>
      <w:pPr>
        <w:pStyle w:val="Bibliography"/>
      </w:pPr>
      <w:r>
        <w:t xml:space="preserve">[117]</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1">
        <w:r>
          <w:rPr>
            <w:rStyle w:val="Hyperlink"/>
          </w:rPr>
          <w:t xml:space="preserve">https://doi.org/10.1371/journal.pone.0102806</w:t>
        </w:r>
      </w:hyperlink>
      <w:r>
        <w:t xml:space="preserve">.</w:t>
      </w:r>
    </w:p>
    <w:bookmarkEnd w:id="282"/>
    <w:bookmarkStart w:id="284" w:name="ref-Derex_Boyd_2016"/>
    <w:p>
      <w:pPr>
        <w:pStyle w:val="Bibliography"/>
      </w:pPr>
      <w:r>
        <w:t xml:space="preserve">[118]</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3">
        <w:r>
          <w:rPr>
            <w:rStyle w:val="Hyperlink"/>
          </w:rPr>
          <w:t xml:space="preserve">https://doi.org/10.1073/pnas.1518798113</w:t>
        </w:r>
      </w:hyperlink>
      <w:r>
        <w:t xml:space="preserve">.</w:t>
      </w:r>
    </w:p>
    <w:bookmarkEnd w:id="284"/>
    <w:bookmarkStart w:id="285" w:name="ref-Von_Petzinger_2009"/>
    <w:p>
      <w:pPr>
        <w:pStyle w:val="Bibliography"/>
      </w:pPr>
      <w:r>
        <w:t xml:space="preserve">[119]</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5"/>
    <w:bookmarkStart w:id="287" w:name="ref-Herskind2023"/>
    <w:p>
      <w:pPr>
        <w:pStyle w:val="Bibliography"/>
      </w:pPr>
      <w:r>
        <w:t xml:space="preserve">[120]</w:t>
      </w:r>
      <w:r>
        <w:t xml:space="preserve"> </w:t>
      </w:r>
      <w:r>
        <w:t xml:space="preserve">	</w:t>
      </w:r>
      <w:r>
        <w:t xml:space="preserve">Herskind LLP. A case for idle graffiti: Challenging the semiotic resurgence within prehistoric art research. Hunter Gatherer Research 2023;9:59–93.</w:t>
      </w:r>
      <w:r>
        <w:t xml:space="preserve"> </w:t>
      </w:r>
      <w:hyperlink r:id="rId286">
        <w:r>
          <w:rPr>
            <w:rStyle w:val="Hyperlink"/>
          </w:rPr>
          <w:t xml:space="preserve">https://doi.org/10.3828/hgr.2023.12</w:t>
        </w:r>
      </w:hyperlink>
      <w:r>
        <w:t xml:space="preserve">.</w:t>
      </w:r>
    </w:p>
    <w:bookmarkEnd w:id="287"/>
    <w:bookmarkStart w:id="289" w:name="ref-Gravel-Miguel_Coward_2023"/>
    <w:p>
      <w:pPr>
        <w:pStyle w:val="Bibliography"/>
      </w:pPr>
      <w:r>
        <w:t xml:space="preserve">[121]</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88">
        <w:r>
          <w:rPr>
            <w:rStyle w:val="Hyperlink"/>
          </w:rPr>
          <w:t xml:space="preserve">https://doi.org/10.1093/oxfordhb/9780198854265.013.31</w:t>
        </w:r>
      </w:hyperlink>
      <w:r>
        <w:t xml:space="preserve">.</w:t>
      </w:r>
    </w:p>
    <w:bookmarkEnd w:id="289"/>
    <w:bookmarkStart w:id="291" w:name="X42e36537dda68556aeacf852410efd6ac3bb1ca"/>
    <w:p>
      <w:pPr>
        <w:pStyle w:val="Bibliography"/>
      </w:pPr>
      <w:r>
        <w:t xml:space="preserve">[122]</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0">
        <w:r>
          <w:rPr>
            <w:rStyle w:val="Hyperlink"/>
          </w:rPr>
          <w:t xml:space="preserve">https://doi.org/10.1007/s10816-023-09608-7</w:t>
        </w:r>
      </w:hyperlink>
      <w:r>
        <w:t xml:space="preserve">.</w:t>
      </w:r>
    </w:p>
    <w:bookmarkEnd w:id="291"/>
    <w:bookmarkStart w:id="293" w:name="ref-Chiotti_2005"/>
    <w:p>
      <w:pPr>
        <w:pStyle w:val="Bibliography"/>
      </w:pPr>
      <w:r>
        <w:t xml:space="preserve">[123]</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2">
        <w:r>
          <w:rPr>
            <w:rStyle w:val="Hyperlink"/>
          </w:rPr>
          <w:t xml:space="preserve">https://doi.org/10.30861/9781841718309</w:t>
        </w:r>
      </w:hyperlink>
      <w:r>
        <w:t xml:space="preserve">.</w:t>
      </w:r>
    </w:p>
    <w:bookmarkEnd w:id="293"/>
    <w:bookmarkStart w:id="295" w:name="ref-Higham_Abri_Pataud_2011"/>
    <w:p>
      <w:pPr>
        <w:pStyle w:val="Bibliography"/>
      </w:pPr>
      <w:r>
        <w:t xml:space="preserve">[124]</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4">
        <w:r>
          <w:rPr>
            <w:rStyle w:val="Hyperlink"/>
          </w:rPr>
          <w:t xml:space="preserve">https://doi.org/10.1016/j.jhevol.2011.06.005</w:t>
        </w:r>
      </w:hyperlink>
      <w:r>
        <w:t xml:space="preserve">.</w:t>
      </w:r>
    </w:p>
    <w:bookmarkEnd w:id="295"/>
    <w:bookmarkStart w:id="297" w:name="ref-Talamo_La_Ferrassie_2020"/>
    <w:p>
      <w:pPr>
        <w:pStyle w:val="Bibliography"/>
      </w:pPr>
      <w:r>
        <w:t xml:space="preserve">[125]</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96">
        <w:r>
          <w:rPr>
            <w:rStyle w:val="Hyperlink"/>
          </w:rPr>
          <w:t xml:space="preserve">https://doi.org/10.1002/jqs.3236</w:t>
        </w:r>
      </w:hyperlink>
      <w:r>
        <w:t xml:space="preserve">.</w:t>
      </w:r>
    </w:p>
    <w:bookmarkEnd w:id="297"/>
    <w:bookmarkStart w:id="299" w:name="ref-Wild_et_al_2005"/>
    <w:p>
      <w:pPr>
        <w:pStyle w:val="Bibliography"/>
      </w:pPr>
      <w:r>
        <w:t xml:space="preserve">[126]</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98">
        <w:r>
          <w:rPr>
            <w:rStyle w:val="Hyperlink"/>
          </w:rPr>
          <w:t xml:space="preserve">https://doi.org/10.1038/nature03585</w:t>
        </w:r>
      </w:hyperlink>
      <w:r>
        <w:t xml:space="preserve">.</w:t>
      </w:r>
    </w:p>
    <w:bookmarkEnd w:id="299"/>
    <w:bookmarkStart w:id="301" w:name="ref-Schurch_Conard_2026_reassess"/>
    <w:p>
      <w:pPr>
        <w:pStyle w:val="Bibliography"/>
      </w:pPr>
      <w:r>
        <w:t xml:space="preserve">[127]</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0">
        <w:r>
          <w:rPr>
            <w:rStyle w:val="Hyperlink"/>
          </w:rPr>
          <w:t xml:space="preserve">https://doi.org/10.1007/s41982-025-00246-x</w:t>
        </w:r>
      </w:hyperlink>
      <w:r>
        <w:t xml:space="preserve">.</w:t>
      </w:r>
    </w:p>
    <w:bookmarkEnd w:id="301"/>
    <w:bookmarkEnd w:id="302"/>
    <w:bookmarkEnd w:id="303"/>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132"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5" Target="https://doi.org/10.1002/9780470773475.ch5" TargetMode="External" /><Relationship Type="http://schemas.openxmlformats.org/officeDocument/2006/relationships/hyperlink" Id="rId231" Target="https://doi.org/10.1002/9781118253892.ch6" TargetMode="External" /><Relationship Type="http://schemas.openxmlformats.org/officeDocument/2006/relationships/hyperlink" Id="rId136"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296" Target="https://doi.org/10.1002/jqs.3236" TargetMode="External" /><Relationship Type="http://schemas.openxmlformats.org/officeDocument/2006/relationships/hyperlink" Id="rId130" Target="https://doi.org/10.1002/spe.4380211102" TargetMode="External" /><Relationship Type="http://schemas.openxmlformats.org/officeDocument/2006/relationships/hyperlink" Id="rId279"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39" Target="https://doi.org/10.1007/978-4-431-55363-2_8" TargetMode="External" /><Relationship Type="http://schemas.openxmlformats.org/officeDocument/2006/relationships/hyperlink" Id="rId268"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140" Target="https://doi.org/10.1007/s10816-015-9272-9" TargetMode="External" /><Relationship Type="http://schemas.openxmlformats.org/officeDocument/2006/relationships/hyperlink" Id="rId290" Target="https://doi.org/10.1007/s10816-023-09608-7" TargetMode="External" /><Relationship Type="http://schemas.openxmlformats.org/officeDocument/2006/relationships/hyperlink" Id="rId254"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62" Target="https://doi.org/10.1007/s41982-023-00158-8" TargetMode="External" /><Relationship Type="http://schemas.openxmlformats.org/officeDocument/2006/relationships/hyperlink" Id="rId300" Target="https://doi.org/10.1007/s41982-025-00246-x" TargetMode="External" /><Relationship Type="http://schemas.openxmlformats.org/officeDocument/2006/relationships/hyperlink" Id="rId235" Target="https://doi.org/10.1016/0278-4165(84)90002-3"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7" Target="https://doi.org/10.1016/B978-0-12-564750-2.50020-2" TargetMode="External" /><Relationship Type="http://schemas.openxmlformats.org/officeDocument/2006/relationships/hyperlink" Id="rId138"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252" Target="https://doi.org/10.1016/j.jaa.2005.08.001" TargetMode="External" /><Relationship Type="http://schemas.openxmlformats.org/officeDocument/2006/relationships/hyperlink" Id="rId184" Target="https://doi.org/10.1016/j.jaa.2005.11.004" TargetMode="External" /><Relationship Type="http://schemas.openxmlformats.org/officeDocument/2006/relationships/hyperlink" Id="rId207"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2" Target="https://doi.org/10.1016/j.jas.2025.106281" TargetMode="External" /><Relationship Type="http://schemas.openxmlformats.org/officeDocument/2006/relationships/hyperlink" Id="rId271" Target="https://doi.org/10.1016/j.jasrep.2021.103118" TargetMode="External" /><Relationship Type="http://schemas.openxmlformats.org/officeDocument/2006/relationships/hyperlink" Id="rId182" Target="https://doi.org/10.1016/j.jasrep.2024.104798" TargetMode="External" /><Relationship Type="http://schemas.openxmlformats.org/officeDocument/2006/relationships/hyperlink" Id="rId294"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7"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5"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58" Target="https://doi.org/10.1017/S0959774322000415" TargetMode="External" /><Relationship Type="http://schemas.openxmlformats.org/officeDocument/2006/relationships/hyperlink" Id="rId266"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298" Target="https://doi.org/10.1038/nature03585" TargetMode="External" /><Relationship Type="http://schemas.openxmlformats.org/officeDocument/2006/relationships/hyperlink" Id="rId220"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3" Target="https://doi.org/10.1073/pnas.1518798113" TargetMode="External" /><Relationship Type="http://schemas.openxmlformats.org/officeDocument/2006/relationships/hyperlink" Id="rId256" Target="https://doi.org/10.1073/pnas.2520385123" TargetMode="External" /><Relationship Type="http://schemas.openxmlformats.org/officeDocument/2006/relationships/hyperlink" Id="rId229" Target="https://doi.org/10.1080/00438243.1994.9980272" TargetMode="External" /><Relationship Type="http://schemas.openxmlformats.org/officeDocument/2006/relationships/hyperlink" Id="rId237" Target="https://doi.org/10.1080/03122417.1992.11681450" TargetMode="External" /><Relationship Type="http://schemas.openxmlformats.org/officeDocument/2006/relationships/hyperlink" Id="rId222" Target="https://doi.org/10.1080/03122417.1992.11681454" TargetMode="External" /><Relationship Type="http://schemas.openxmlformats.org/officeDocument/2006/relationships/hyperlink" Id="rId264" Target="https://doi.org/10.1080/1751696X.2024.2441115" TargetMode="External" /><Relationship Type="http://schemas.openxmlformats.org/officeDocument/2006/relationships/hyperlink" Id="rId201" Target="https://doi.org/10.1086/202540" TargetMode="External" /><Relationship Type="http://schemas.openxmlformats.org/officeDocument/2006/relationships/hyperlink" Id="rId211" Target="https://doi.org/10.1086/202802" TargetMode="External" /><Relationship Type="http://schemas.openxmlformats.org/officeDocument/2006/relationships/hyperlink" Id="rId203" Target="https://doi.org/10.1086/701523" TargetMode="External" /><Relationship Type="http://schemas.openxmlformats.org/officeDocument/2006/relationships/hyperlink" Id="rId180" Target="https://doi.org/10.1086/jar.39.3.3629672" TargetMode="External" /><Relationship Type="http://schemas.openxmlformats.org/officeDocument/2006/relationships/hyperlink" Id="rId178" Target="https://doi.org/10.1086/jar.46.2.3630069" TargetMode="External" /><Relationship Type="http://schemas.openxmlformats.org/officeDocument/2006/relationships/hyperlink" Id="rId288" Target="https://doi.org/10.1093/oxfordhb/9780198854265.013.31" TargetMode="External" /><Relationship Type="http://schemas.openxmlformats.org/officeDocument/2006/relationships/hyperlink" Id="rId250" Target="https://doi.org/10.1093/oxfordhb/9780198854265.013.34" TargetMode="External" /><Relationship Type="http://schemas.openxmlformats.org/officeDocument/2006/relationships/hyperlink" Id="rId277" Target="https://doi.org/10.1098/rsif.2017.0171" TargetMode="External" /><Relationship Type="http://schemas.openxmlformats.org/officeDocument/2006/relationships/hyperlink" Id="rId191" Target="https://doi.org/10.1098/rstb.2020.0318" TargetMode="External" /><Relationship Type="http://schemas.openxmlformats.org/officeDocument/2006/relationships/hyperlink" Id="rId248" Target="https://doi.org/10.1111/brv.12599" TargetMode="External" /><Relationship Type="http://schemas.openxmlformats.org/officeDocument/2006/relationships/hyperlink" Id="rId205" Target="https://doi.org/10.1111/j.1468-0092.1982.tb00313.x" TargetMode="External" /><Relationship Type="http://schemas.openxmlformats.org/officeDocument/2006/relationships/hyperlink" Id="rId126" Target="https://doi.org/10.1111/j.1502-3931.1988.tb01756.x" TargetMode="External" /><Relationship Type="http://schemas.openxmlformats.org/officeDocument/2006/relationships/hyperlink" Id="rId193" Target="https://doi.org/10.1111/tops.12762" TargetMode="External" /><Relationship Type="http://schemas.openxmlformats.org/officeDocument/2006/relationships/hyperlink" Id="rId246" Target="https://doi.org/10.1126/sciadv.aax5913" TargetMode="External" /><Relationship Type="http://schemas.openxmlformats.org/officeDocument/2006/relationships/hyperlink" Id="rId128" Target="https://doi.org/10.1146/annurev-anthro-102116-041423" TargetMode="External" /><Relationship Type="http://schemas.openxmlformats.org/officeDocument/2006/relationships/hyperlink" Id="rId214"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81"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199"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4" Target="https://doi.org/10.18637/jss.v025.i03" TargetMode="External" /><Relationship Type="http://schemas.openxmlformats.org/officeDocument/2006/relationships/hyperlink" Id="rId260" Target="https://doi.org/10.2139/ssrn.7053279" TargetMode="External" /><Relationship Type="http://schemas.openxmlformats.org/officeDocument/2006/relationships/hyperlink" Id="rId174" Target="https://doi.org/10.2307/279544" TargetMode="External" /><Relationship Type="http://schemas.openxmlformats.org/officeDocument/2006/relationships/hyperlink" Id="rId176" Target="https://doi.org/10.2307/2800797" TargetMode="External" /><Relationship Type="http://schemas.openxmlformats.org/officeDocument/2006/relationships/hyperlink" Id="rId273" Target="https://doi.org/10.2307/2802103" TargetMode="External" /><Relationship Type="http://schemas.openxmlformats.org/officeDocument/2006/relationships/hyperlink" Id="rId218"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233" Target="https://doi.org/10.2307/40035267" TargetMode="External" /><Relationship Type="http://schemas.openxmlformats.org/officeDocument/2006/relationships/hyperlink" Id="rId244" Target="https://doi.org/10.2307/4128416" TargetMode="External" /><Relationship Type="http://schemas.openxmlformats.org/officeDocument/2006/relationships/hyperlink" Id="rId161" Target="https://doi.org/10.2307/j.ctv24q4z2g.5" TargetMode="External" /><Relationship Type="http://schemas.openxmlformats.org/officeDocument/2006/relationships/hyperlink" Id="rId189" Target="https://doi.org/10.2307/j.ctvdmwwz4.10" TargetMode="External" /><Relationship Type="http://schemas.openxmlformats.org/officeDocument/2006/relationships/hyperlink" Id="rId187" Target="https://doi.org/10.2307/j.ctvdmwwz4.7" TargetMode="External" /><Relationship Type="http://schemas.openxmlformats.org/officeDocument/2006/relationships/hyperlink" Id="rId292" Target="https://doi.org/10.30861/9781841718309" TargetMode="External" /><Relationship Type="http://schemas.openxmlformats.org/officeDocument/2006/relationships/hyperlink" Id="rId195"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86" Target="https://doi.org/10.3828/hgr.2023.12" TargetMode="External" /><Relationship Type="http://schemas.openxmlformats.org/officeDocument/2006/relationships/hyperlink" Id="rId209"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6"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4"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7"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132"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5" Target="https://doi.org/10.1002/9780470773475.ch5" TargetMode="External" /><Relationship Type="http://schemas.openxmlformats.org/officeDocument/2006/relationships/hyperlink" Id="rId231" Target="https://doi.org/10.1002/9781118253892.ch6" TargetMode="External" /><Relationship Type="http://schemas.openxmlformats.org/officeDocument/2006/relationships/hyperlink" Id="rId136"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296" Target="https://doi.org/10.1002/jqs.3236" TargetMode="External" /><Relationship Type="http://schemas.openxmlformats.org/officeDocument/2006/relationships/hyperlink" Id="rId130" Target="https://doi.org/10.1002/spe.4380211102" TargetMode="External" /><Relationship Type="http://schemas.openxmlformats.org/officeDocument/2006/relationships/hyperlink" Id="rId279"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39" Target="https://doi.org/10.1007/978-4-431-55363-2_8" TargetMode="External" /><Relationship Type="http://schemas.openxmlformats.org/officeDocument/2006/relationships/hyperlink" Id="rId268"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140" Target="https://doi.org/10.1007/s10816-015-9272-9" TargetMode="External" /><Relationship Type="http://schemas.openxmlformats.org/officeDocument/2006/relationships/hyperlink" Id="rId290" Target="https://doi.org/10.1007/s10816-023-09608-7" TargetMode="External" /><Relationship Type="http://schemas.openxmlformats.org/officeDocument/2006/relationships/hyperlink" Id="rId254"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62" Target="https://doi.org/10.1007/s41982-023-00158-8" TargetMode="External" /><Relationship Type="http://schemas.openxmlformats.org/officeDocument/2006/relationships/hyperlink" Id="rId300" Target="https://doi.org/10.1007/s41982-025-00246-x" TargetMode="External" /><Relationship Type="http://schemas.openxmlformats.org/officeDocument/2006/relationships/hyperlink" Id="rId235" Target="https://doi.org/10.1016/0278-4165(84)90002-3"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7" Target="https://doi.org/10.1016/B978-0-12-564750-2.50020-2" TargetMode="External" /><Relationship Type="http://schemas.openxmlformats.org/officeDocument/2006/relationships/hyperlink" Id="rId138"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252" Target="https://doi.org/10.1016/j.jaa.2005.08.001" TargetMode="External" /><Relationship Type="http://schemas.openxmlformats.org/officeDocument/2006/relationships/hyperlink" Id="rId184" Target="https://doi.org/10.1016/j.jaa.2005.11.004" TargetMode="External" /><Relationship Type="http://schemas.openxmlformats.org/officeDocument/2006/relationships/hyperlink" Id="rId207"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2" Target="https://doi.org/10.1016/j.jas.2025.106281" TargetMode="External" /><Relationship Type="http://schemas.openxmlformats.org/officeDocument/2006/relationships/hyperlink" Id="rId271" Target="https://doi.org/10.1016/j.jasrep.2021.103118" TargetMode="External" /><Relationship Type="http://schemas.openxmlformats.org/officeDocument/2006/relationships/hyperlink" Id="rId182" Target="https://doi.org/10.1016/j.jasrep.2024.104798" TargetMode="External" /><Relationship Type="http://schemas.openxmlformats.org/officeDocument/2006/relationships/hyperlink" Id="rId294"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7"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5"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58" Target="https://doi.org/10.1017/S0959774322000415" TargetMode="External" /><Relationship Type="http://schemas.openxmlformats.org/officeDocument/2006/relationships/hyperlink" Id="rId266"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298" Target="https://doi.org/10.1038/nature03585" TargetMode="External" /><Relationship Type="http://schemas.openxmlformats.org/officeDocument/2006/relationships/hyperlink" Id="rId220"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3" Target="https://doi.org/10.1073/pnas.1518798113" TargetMode="External" /><Relationship Type="http://schemas.openxmlformats.org/officeDocument/2006/relationships/hyperlink" Id="rId256" Target="https://doi.org/10.1073/pnas.2520385123" TargetMode="External" /><Relationship Type="http://schemas.openxmlformats.org/officeDocument/2006/relationships/hyperlink" Id="rId229" Target="https://doi.org/10.1080/00438243.1994.9980272" TargetMode="External" /><Relationship Type="http://schemas.openxmlformats.org/officeDocument/2006/relationships/hyperlink" Id="rId237" Target="https://doi.org/10.1080/03122417.1992.11681450" TargetMode="External" /><Relationship Type="http://schemas.openxmlformats.org/officeDocument/2006/relationships/hyperlink" Id="rId222" Target="https://doi.org/10.1080/03122417.1992.11681454" TargetMode="External" /><Relationship Type="http://schemas.openxmlformats.org/officeDocument/2006/relationships/hyperlink" Id="rId264" Target="https://doi.org/10.1080/1751696X.2024.2441115" TargetMode="External" /><Relationship Type="http://schemas.openxmlformats.org/officeDocument/2006/relationships/hyperlink" Id="rId201" Target="https://doi.org/10.1086/202540" TargetMode="External" /><Relationship Type="http://schemas.openxmlformats.org/officeDocument/2006/relationships/hyperlink" Id="rId211" Target="https://doi.org/10.1086/202802" TargetMode="External" /><Relationship Type="http://schemas.openxmlformats.org/officeDocument/2006/relationships/hyperlink" Id="rId203" Target="https://doi.org/10.1086/701523" TargetMode="External" /><Relationship Type="http://schemas.openxmlformats.org/officeDocument/2006/relationships/hyperlink" Id="rId180" Target="https://doi.org/10.1086/jar.39.3.3629672" TargetMode="External" /><Relationship Type="http://schemas.openxmlformats.org/officeDocument/2006/relationships/hyperlink" Id="rId178" Target="https://doi.org/10.1086/jar.46.2.3630069" TargetMode="External" /><Relationship Type="http://schemas.openxmlformats.org/officeDocument/2006/relationships/hyperlink" Id="rId288" Target="https://doi.org/10.1093/oxfordhb/9780198854265.013.31" TargetMode="External" /><Relationship Type="http://schemas.openxmlformats.org/officeDocument/2006/relationships/hyperlink" Id="rId250" Target="https://doi.org/10.1093/oxfordhb/9780198854265.013.34" TargetMode="External" /><Relationship Type="http://schemas.openxmlformats.org/officeDocument/2006/relationships/hyperlink" Id="rId277" Target="https://doi.org/10.1098/rsif.2017.0171" TargetMode="External" /><Relationship Type="http://schemas.openxmlformats.org/officeDocument/2006/relationships/hyperlink" Id="rId191" Target="https://doi.org/10.1098/rstb.2020.0318" TargetMode="External" /><Relationship Type="http://schemas.openxmlformats.org/officeDocument/2006/relationships/hyperlink" Id="rId248" Target="https://doi.org/10.1111/brv.12599" TargetMode="External" /><Relationship Type="http://schemas.openxmlformats.org/officeDocument/2006/relationships/hyperlink" Id="rId205" Target="https://doi.org/10.1111/j.1468-0092.1982.tb00313.x" TargetMode="External" /><Relationship Type="http://schemas.openxmlformats.org/officeDocument/2006/relationships/hyperlink" Id="rId126" Target="https://doi.org/10.1111/j.1502-3931.1988.tb01756.x" TargetMode="External" /><Relationship Type="http://schemas.openxmlformats.org/officeDocument/2006/relationships/hyperlink" Id="rId193" Target="https://doi.org/10.1111/tops.12762" TargetMode="External" /><Relationship Type="http://schemas.openxmlformats.org/officeDocument/2006/relationships/hyperlink" Id="rId246" Target="https://doi.org/10.1126/sciadv.aax5913" TargetMode="External" /><Relationship Type="http://schemas.openxmlformats.org/officeDocument/2006/relationships/hyperlink" Id="rId128" Target="https://doi.org/10.1146/annurev-anthro-102116-041423" TargetMode="External" /><Relationship Type="http://schemas.openxmlformats.org/officeDocument/2006/relationships/hyperlink" Id="rId214"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81"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199"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4" Target="https://doi.org/10.18637/jss.v025.i03" TargetMode="External" /><Relationship Type="http://schemas.openxmlformats.org/officeDocument/2006/relationships/hyperlink" Id="rId260" Target="https://doi.org/10.2139/ssrn.7053279" TargetMode="External" /><Relationship Type="http://schemas.openxmlformats.org/officeDocument/2006/relationships/hyperlink" Id="rId174" Target="https://doi.org/10.2307/279544" TargetMode="External" /><Relationship Type="http://schemas.openxmlformats.org/officeDocument/2006/relationships/hyperlink" Id="rId176" Target="https://doi.org/10.2307/2800797" TargetMode="External" /><Relationship Type="http://schemas.openxmlformats.org/officeDocument/2006/relationships/hyperlink" Id="rId273" Target="https://doi.org/10.2307/2802103" TargetMode="External" /><Relationship Type="http://schemas.openxmlformats.org/officeDocument/2006/relationships/hyperlink" Id="rId218"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233" Target="https://doi.org/10.2307/40035267" TargetMode="External" /><Relationship Type="http://schemas.openxmlformats.org/officeDocument/2006/relationships/hyperlink" Id="rId244" Target="https://doi.org/10.2307/4128416" TargetMode="External" /><Relationship Type="http://schemas.openxmlformats.org/officeDocument/2006/relationships/hyperlink" Id="rId161" Target="https://doi.org/10.2307/j.ctv24q4z2g.5" TargetMode="External" /><Relationship Type="http://schemas.openxmlformats.org/officeDocument/2006/relationships/hyperlink" Id="rId189" Target="https://doi.org/10.2307/j.ctvdmwwz4.10" TargetMode="External" /><Relationship Type="http://schemas.openxmlformats.org/officeDocument/2006/relationships/hyperlink" Id="rId187" Target="https://doi.org/10.2307/j.ctvdmwwz4.7" TargetMode="External" /><Relationship Type="http://schemas.openxmlformats.org/officeDocument/2006/relationships/hyperlink" Id="rId292" Target="https://doi.org/10.30861/9781841718309" TargetMode="External" /><Relationship Type="http://schemas.openxmlformats.org/officeDocument/2006/relationships/hyperlink" Id="rId195"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86" Target="https://doi.org/10.3828/hgr.2023.12" TargetMode="External" /><Relationship Type="http://schemas.openxmlformats.org/officeDocument/2006/relationships/hyperlink" Id="rId209"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6"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4"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7"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do not reveal geographically distinct cultural groups in the Aurignacian</dc:title>
  <dc:creator>Sophie Cooper1, Aleah Rosner1, Eva Oryn1, Kenneth B. Vernon2, and Ben Marwick1,✉</dc:creator>
  <cp:keywords/>
  <dcterms:created xsi:type="dcterms:W3CDTF">2026-09-06T05:12:32Z</dcterms:created>
  <dcterms:modified xsi:type="dcterms:W3CDTF">2026-09-06T05:12:32Z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5,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