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35"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29" w:name="sec-s6-3"/>
    <w:p>
      <w:pPr>
        <w:pStyle w:val="Heading2"/>
      </w:pPr>
      <w:r>
        <w:t xml:space="preserve">S6.3 Stochastic Block Models</w:t>
      </w:r>
    </w:p>
    <w:bookmarkStart w:id="127"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1-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1-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1-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1-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1-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1-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1-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25"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-51.9</w:t>
                  </w:r>
                </w:p>
              </w:tc>
              <w:tc>
                <w:tcPr/>
                <w:p>
                  <w:pPr>
                    <w:pStyle w:val="Compact"/>
                    <w:jc w:val="center"/>
                    <w:jc w:val="center"/>
                  </w:pPr>
                  <w:r>
                    <w:t xml:space="preserve">-52.3</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26"/>
        </w:tc>
      </w:tr>
    </w:tbl>
    <w:bookmarkEnd w:id="127"/>
    <w:bookmarkStart w:id="128"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1 block. The ICL gap between the best and second-best model quantifies how decisively the optimum is preferred (2.04 in Aur-P1 and 0.35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In</w:t>
      </w:r>
      <w:r>
        <w:t xml:space="preserve"> </w:t>
      </w:r>
      <w:r>
        <w:rPr>
          <w:bCs/>
          <w:b/>
        </w:rPr>
        <w:t xml:space="preserve">Aur-P1</w:t>
      </w:r>
      <w:r>
        <w:t xml:space="preserve"> </w:t>
      </w:r>
      <w:r>
        <w:t xml:space="preserve">the best-supported model contains 3 blocks, and after aligning each SBM block to the nearest manual group it diverges on 1 of 20 sites (Labeko Koba). In</w:t>
      </w:r>
      <w:r>
        <w:t xml:space="preserve"> </w:t>
      </w:r>
      <w:r>
        <w:rPr>
          <w:bCs/>
          <w:b/>
        </w:rPr>
        <w:t xml:space="preserve">Aur-P2</w:t>
      </w:r>
      <w:r>
        <w:t xml:space="preserve"> </w:t>
      </w:r>
      <w:r>
        <w:t xml:space="preserve">the SBM selects a</w:t>
      </w:r>
      <w:r>
        <w:t xml:space="preserve"> </w:t>
      </w:r>
      <w:r>
        <w:rPr>
          <w:bCs/>
          <w:b/>
        </w:rPr>
        <w:t xml:space="preserve">single block</w:t>
      </w:r>
      <w:r>
        <w:t xml:space="preserve">: its ICL profile is essentially flat (the gap between the one- and two-block solutions is 0.35),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bookmarkEnd w:id="128"/>
    <w:bookmarkEnd w:id="129"/>
    <w:bookmarkStart w:id="133" w:name="sec-s6-4"/>
    <w:p>
      <w:pPr>
        <w:pStyle w:val="Heading2"/>
      </w:pPr>
      <w:r>
        <w:t xml:space="preserve">S6.4 Cross-Validation of Group Assignments (ARI)</w:t>
      </w:r>
    </w:p>
    <w:bookmarkStart w:id="131"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30"/>
        </w:tc>
      </w:tr>
    </w:tbl>
    <w:bookmarkEnd w:id="131"/>
    <w:bookmarkStart w:id="132"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2"/>
    <w:bookmarkEnd w:id="133"/>
    <w:bookmarkStart w:id="13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9 sites.</w:t>
      </w:r>
    </w:p>
    <w:bookmarkEnd w:id="134"/>
    <w:bookmarkEnd w:id="135"/>
    <w:bookmarkStart w:id="152" w:name="sec-s7"/>
    <w:p>
      <w:pPr>
        <w:pStyle w:val="Heading1"/>
      </w:pPr>
      <w:r>
        <w:t xml:space="preserve">S7. Object-Type Sensitivity: Figurine Exclusion</w:t>
      </w:r>
    </w:p>
    <w:bookmarkStart w:id="136"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6"/>
    <w:bookmarkStart w:id="138"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37"/>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8"/>
    <w:bookmarkStart w:id="143" w:name="s7.3-analysis-1-exclude-all-figurines"/>
    <w:p>
      <w:pPr>
        <w:pStyle w:val="Heading2"/>
      </w:pPr>
      <w:r>
        <w:t xml:space="preserve">S7.3 Analysis 1: Exclude All Figurines</w:t>
      </w:r>
    </w:p>
    <w:bookmarkStart w:id="14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9"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0"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0"/>
        </w:tc>
      </w:tr>
    </w:tbl>
    <w:bookmarkEnd w:id="141"/>
    <w:bookmarkStart w:id="142"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42"/>
    <w:bookmarkEnd w:id="143"/>
    <w:bookmarkStart w:id="148" w:name="X7549e60451b9f7bbee640100d361a0cf771ac62"/>
    <w:p>
      <w:pPr>
        <w:pStyle w:val="Heading2"/>
      </w:pPr>
      <w:r>
        <w:t xml:space="preserve">S7.4 Analysis 2: Exclude Vogelherd Figurines Only</w:t>
      </w:r>
    </w:p>
    <w:bookmarkStart w:id="14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44"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45"/>
        </w:tc>
      </w:tr>
    </w:tbl>
    <w:bookmarkEnd w:id="146"/>
    <w:bookmarkStart w:id="147"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7"/>
    <w:bookmarkEnd w:id="148"/>
    <w:bookmarkStart w:id="150"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9"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49"/>
        </w:tc>
      </w:tr>
    </w:tbl>
    <w:bookmarkEnd w:id="150"/>
    <w:bookmarkStart w:id="15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51"/>
    <w:bookmarkEnd w:id="152"/>
    <w:bookmarkStart w:id="184" w:name="sec-s8"/>
    <w:p>
      <w:pPr>
        <w:pStyle w:val="Heading1"/>
      </w:pPr>
      <w:r>
        <w:t xml:space="preserve">S8. Site Reclassification Sensitivity Analysis</w:t>
      </w:r>
    </w:p>
    <w:bookmarkStart w:id="15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3"/>
    <w:bookmarkStart w:id="156"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5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54"/>
        </w:tc>
      </w:tr>
    </w:tbl>
    <w:bookmarkStart w:id="15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5"/>
    <w:bookmarkEnd w:id="156"/>
    <w:bookmarkStart w:id="15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7"/>
    <w:bookmarkStart w:id="15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58"/>
    <w:bookmarkStart w:id="183" w:name="references-cited"/>
    <w:p>
      <w:pPr>
        <w:pStyle w:val="Heading2"/>
      </w:pPr>
      <w:r>
        <w:t xml:space="preserve">References cited</w:t>
      </w:r>
    </w:p>
    <w:bookmarkStart w:id="182" w:name="refs"/>
    <w:bookmarkStart w:id="160"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59">
        <w:r>
          <w:rPr>
            <w:rStyle w:val="Hyperlink"/>
          </w:rPr>
          <w:t xml:space="preserve">https://doi.org/10.1016/j.quascirev.2021.106995</w:t>
        </w:r>
      </w:hyperlink>
      <w:r>
        <w:t xml:space="preserve">.</w:t>
      </w:r>
    </w:p>
    <w:bookmarkEnd w:id="160"/>
    <w:bookmarkStart w:id="162"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61">
        <w:r>
          <w:rPr>
            <w:rStyle w:val="Hyperlink"/>
          </w:rPr>
          <w:t xml:space="preserve">https://doi.org/10.1007/s41982-017-0004-4</w:t>
        </w:r>
      </w:hyperlink>
      <w:r>
        <w:t xml:space="preserve">.</w:t>
      </w:r>
    </w:p>
    <w:bookmarkEnd w:id="162"/>
    <w:bookmarkStart w:id="164"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63">
        <w:r>
          <w:rPr>
            <w:rStyle w:val="Hyperlink"/>
          </w:rPr>
          <w:t xml:space="preserve">https://doi.org/10.1103/PhysRevE.69.026113</w:t>
        </w:r>
      </w:hyperlink>
      <w:r>
        <w:t xml:space="preserve">.</w:t>
      </w:r>
    </w:p>
    <w:bookmarkEnd w:id="164"/>
    <w:bookmarkStart w:id="166"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65">
        <w:r>
          <w:rPr>
            <w:rStyle w:val="Hyperlink"/>
          </w:rPr>
          <w:t xml:space="preserve">https://doi.org/10.1023/A:1023949509487</w:t>
        </w:r>
      </w:hyperlink>
      <w:r>
        <w:t xml:space="preserve">.</w:t>
      </w:r>
    </w:p>
    <w:bookmarkEnd w:id="166"/>
    <w:bookmarkStart w:id="168"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67">
        <w:r>
          <w:rPr>
            <w:rStyle w:val="Hyperlink"/>
          </w:rPr>
          <w:t xml:space="preserve">https://doi.org/10.1073/pnas.2520385123</w:t>
        </w:r>
      </w:hyperlink>
      <w:r>
        <w:t xml:space="preserve">.</w:t>
      </w:r>
    </w:p>
    <w:bookmarkEnd w:id="168"/>
    <w:bookmarkStart w:id="170"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69">
        <w:r>
          <w:rPr>
            <w:rStyle w:val="Hyperlink"/>
          </w:rPr>
          <w:t xml:space="preserve">https://doi.org/10.30861/9781841718309</w:t>
        </w:r>
      </w:hyperlink>
      <w:r>
        <w:t xml:space="preserve">.</w:t>
      </w:r>
    </w:p>
    <w:bookmarkEnd w:id="170"/>
    <w:bookmarkStart w:id="172"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71">
        <w:r>
          <w:rPr>
            <w:rStyle w:val="Hyperlink"/>
          </w:rPr>
          <w:t xml:space="preserve">https://doi.org/10.1016/j.jhevol.2011.06.005</w:t>
        </w:r>
      </w:hyperlink>
      <w:r>
        <w:t xml:space="preserve">.</w:t>
      </w:r>
    </w:p>
    <w:bookmarkEnd w:id="172"/>
    <w:bookmarkStart w:id="174"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73">
        <w:r>
          <w:rPr>
            <w:rStyle w:val="Hyperlink"/>
          </w:rPr>
          <w:t xml:space="preserve">https://doi.org/10.1002/jqs.3236</w:t>
        </w:r>
      </w:hyperlink>
      <w:r>
        <w:t xml:space="preserve">.</w:t>
      </w:r>
    </w:p>
    <w:bookmarkEnd w:id="174"/>
    <w:bookmarkStart w:id="175"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75"/>
    <w:bookmarkStart w:id="177"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76">
        <w:r>
          <w:rPr>
            <w:rStyle w:val="Hyperlink"/>
          </w:rPr>
          <w:t xml:space="preserve">https://doi.org/10.1007/978-3-211-49294-9_4</w:t>
        </w:r>
      </w:hyperlink>
      <w:r>
        <w:t xml:space="preserve">.</w:t>
      </w:r>
    </w:p>
    <w:bookmarkEnd w:id="177"/>
    <w:bookmarkStart w:id="179"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78">
        <w:r>
          <w:rPr>
            <w:rStyle w:val="Hyperlink"/>
          </w:rPr>
          <w:t xml:space="preserve">https://doi.org/10.1038/nature03585</w:t>
        </w:r>
      </w:hyperlink>
      <w:r>
        <w:t xml:space="preserve">.</w:t>
      </w:r>
    </w:p>
    <w:bookmarkEnd w:id="179"/>
    <w:bookmarkStart w:id="181"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80">
        <w:r>
          <w:rPr>
            <w:rStyle w:val="Hyperlink"/>
          </w:rPr>
          <w:t xml:space="preserve">https://doi.org/10.1007/s41982-025-00246-x</w:t>
        </w:r>
      </w:hyperlink>
      <w:r>
        <w:t xml:space="preserve">.</w:t>
      </w:r>
    </w:p>
    <w:bookmarkEnd w:id="181"/>
    <w:bookmarkEnd w:id="182"/>
    <w:bookmarkEnd w:id="183"/>
    <w:bookmarkEnd w:id="184"/>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73" Target="https://doi.org/10.1002/jqs.3236" TargetMode="External" /><Relationship Type="http://schemas.openxmlformats.org/officeDocument/2006/relationships/hyperlink" Id="rId176" Target="https://doi.org/10.1007/978-3-211-49294-9_4" TargetMode="External" /><Relationship Type="http://schemas.openxmlformats.org/officeDocument/2006/relationships/hyperlink" Id="rId161" Target="https://doi.org/10.1007/s41982-017-0004-4" TargetMode="External" /><Relationship Type="http://schemas.openxmlformats.org/officeDocument/2006/relationships/hyperlink" Id="rId180" Target="https://doi.org/10.1007/s41982-025-00246-x" TargetMode="External" /><Relationship Type="http://schemas.openxmlformats.org/officeDocument/2006/relationships/hyperlink" Id="rId171" Target="https://doi.org/10.1016/j.jhevol.2011.06.005" TargetMode="External" /><Relationship Type="http://schemas.openxmlformats.org/officeDocument/2006/relationships/hyperlink" Id="rId159" Target="https://doi.org/10.1016/j.quascirev.2021.106995" TargetMode="External" /><Relationship Type="http://schemas.openxmlformats.org/officeDocument/2006/relationships/hyperlink" Id="rId165" Target="https://doi.org/10.1023/A:1023949509487" TargetMode="External" /><Relationship Type="http://schemas.openxmlformats.org/officeDocument/2006/relationships/hyperlink" Id="rId178" Target="https://doi.org/10.1038/nature03585" TargetMode="External" /><Relationship Type="http://schemas.openxmlformats.org/officeDocument/2006/relationships/hyperlink" Id="rId167" Target="https://doi.org/10.1073/pnas.2520385123" TargetMode="External" /><Relationship Type="http://schemas.openxmlformats.org/officeDocument/2006/relationships/hyperlink" Id="rId163" Target="https://doi.org/10.1103/PhysRevE.69.026113" TargetMode="External" /><Relationship Type="http://schemas.openxmlformats.org/officeDocument/2006/relationships/hyperlink" Id="rId169"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3" Target="https://doi.org/10.1002/jqs.3236" TargetMode="External" /><Relationship Type="http://schemas.openxmlformats.org/officeDocument/2006/relationships/hyperlink" Id="rId176" Target="https://doi.org/10.1007/978-3-211-49294-9_4" TargetMode="External" /><Relationship Type="http://schemas.openxmlformats.org/officeDocument/2006/relationships/hyperlink" Id="rId161" Target="https://doi.org/10.1007/s41982-017-0004-4" TargetMode="External" /><Relationship Type="http://schemas.openxmlformats.org/officeDocument/2006/relationships/hyperlink" Id="rId180" Target="https://doi.org/10.1007/s41982-025-00246-x" TargetMode="External" /><Relationship Type="http://schemas.openxmlformats.org/officeDocument/2006/relationships/hyperlink" Id="rId171" Target="https://doi.org/10.1016/j.jhevol.2011.06.005" TargetMode="External" /><Relationship Type="http://schemas.openxmlformats.org/officeDocument/2006/relationships/hyperlink" Id="rId159" Target="https://doi.org/10.1016/j.quascirev.2021.106995" TargetMode="External" /><Relationship Type="http://schemas.openxmlformats.org/officeDocument/2006/relationships/hyperlink" Id="rId165" Target="https://doi.org/10.1023/A:1023949509487" TargetMode="External" /><Relationship Type="http://schemas.openxmlformats.org/officeDocument/2006/relationships/hyperlink" Id="rId178" Target="https://doi.org/10.1038/nature03585" TargetMode="External" /><Relationship Type="http://schemas.openxmlformats.org/officeDocument/2006/relationships/hyperlink" Id="rId167" Target="https://doi.org/10.1073/pnas.2520385123" TargetMode="External" /><Relationship Type="http://schemas.openxmlformats.org/officeDocument/2006/relationships/hyperlink" Id="rId163" Target="https://doi.org/10.1103/PhysRevE.69.026113" TargetMode="External" /><Relationship Type="http://schemas.openxmlformats.org/officeDocument/2006/relationships/hyperlink" Id="rId169"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2026-08-23T22:04:52Z</dcterms:created>
  <dcterms:modified xsi:type="dcterms:W3CDTF">2026-08-23T22:04:52Z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