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1"/>
    <w:bookmarkStart w:id="22"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w:t>
      </w:r>
    </w:p>
    <w:p>
      <w:pPr>
        <w:pStyle w:val="SourceCode"/>
      </w:pPr>
      <w:r>
        <w:rPr>
          <w:rStyle w:val="VerbatimChar"/>
        </w:rPr>
        <w:t xml:space="preserve"># A tibble: 2 × 3</w:t>
      </w:r>
      <w:r>
        <w:br/>
      </w:r>
      <w:r>
        <w:rPr>
          <w:rStyle w:val="VerbatimChar"/>
        </w:rPr>
        <w:t xml:space="preserve">  phase2 sites objects</w:t>
      </w:r>
      <w:r>
        <w:br/>
      </w:r>
      <w:r>
        <w:rPr>
          <w:rStyle w:val="VerbatimChar"/>
        </w:rPr>
        <w:t xml:space="preserve">  &lt;chr&gt;  &lt;int&gt;   &lt;int&gt;</w:t>
      </w:r>
      <w:r>
        <w:br/>
      </w:r>
      <w:r>
        <w:rPr>
          <w:rStyle w:val="VerbatimChar"/>
        </w:rPr>
        <w:t xml:space="preserve">1 Aur-P1    20     346</w:t>
      </w:r>
      <w:r>
        <w:br/>
      </w:r>
      <w:r>
        <w:rPr>
          <w:rStyle w:val="VerbatimChar"/>
        </w:rPr>
        <w:t xml:space="preserve">2 Aur-P2     9      63</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[3,4]</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[5]</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[6]</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41436</w:t>
            </w:r>
          </w:p>
        </w:tc>
        <w:tc>
          <w:tcPr/>
          <w:p>
            <w:pPr>
              <w:pStyle w:val="Compact"/>
              <w:jc w:val="left"/>
            </w:pPr>
            <w:r>
              <w:t xml:space="preserve">technology</w:t>
            </w:r>
          </w:p>
        </w:tc>
        <w:tc>
          <w:tcPr/>
          <w:p>
            <w:pPr>
              <w:pStyle w:val="Compact"/>
              <w:jc w:val="left"/>
            </w:pPr>
            <w:r>
              <w:t xml:space="preserve">Early Aurignacian</w:t>
            </w:r>
            <w:r>
              <w:t xml:space="preserve"> </w:t>
            </w:r>
            <w:r>
              <w:t xml:space="preserve">[9]</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[10]</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[6,11]</w:t>
            </w:r>
          </w:p>
        </w:tc>
      </w:tr>
    </w:tbl>
    <w:bookmarkEnd w:id="22"/>
    <w:bookmarkStart w:id="33" w:name="key-literature-findings"/>
    <w:p>
      <w:pPr>
        <w:pStyle w:val="Heading2"/>
      </w:pPr>
      <w:r>
        <w:t xml:space="preserve">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[6]</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[7]</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[8]</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[6]</w:t>
      </w:r>
      <w:r>
        <w:t xml:space="preserve"> </w:t>
      </w:r>
      <w:r>
        <w:t xml:space="preserve">: The Geissenklösterle Aurignacian (AH III and II) is assigned to the Early Aurignacian on technological grounds.</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[12]</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[11]</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[13]</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[3]</w:t>
      </w:r>
      <w:r>
        <w:t xml:space="preserve"> </w:t>
      </w:r>
      <w:r>
        <w:t xml:space="preserve">: Protoaurignacian techno-typology persists throughout sequence at Fumane (A2-A1 through D3).</w:t>
      </w:r>
    </w:p>
    <w:p>
      <w:pPr>
        <w:numPr>
          <w:ilvl w:val="0"/>
          <w:numId w:val="1004"/>
        </w:numPr>
        <w:pStyle w:val="Compact"/>
      </w:pPr>
      <w:r>
        <w:t xml:space="preserve">[4]</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[9]</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[10]</w:t>
      </w:r>
      <w:r>
        <w:t xml:space="preserve"> </w:t>
      </w:r>
      <w:r>
        <w:t xml:space="preserve">: Technological and typological analysis assigns Mladeč to the Evolved Aurignacian.</w:t>
      </w:r>
    </w:p>
    <w:bookmarkEnd w:id="29"/>
    <w:bookmarkStart w:id="30" w:name="spy-excluded"/>
    <w:p>
      <w:pPr>
        <w:pStyle w:val="Heading3"/>
      </w:pPr>
      <w:r>
        <w:t xml:space="preserve">Spy → Excluded</w:t>
      </w:r>
    </w:p>
    <w:p>
      <w:pPr>
        <w:numPr>
          <w:ilvl w:val="0"/>
          <w:numId w:val="1008"/>
        </w:numPr>
        <w:pStyle w:val="Compact"/>
      </w:pPr>
      <w:r>
        <w:t xml:space="preserve">[14]</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[15]</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[16]</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[5]</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[17]</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6"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[6,11]</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[6]</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[9]</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[5]</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[10]</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[14–16]</w:t>
                  </w:r>
                </w:p>
              </w:tc>
            </w:tr>
          </w:tbl>
          <w:bookmarkEnd w:id="38"/>
          <w:p/>
        </w:tc>
      </w:tr>
    </w:tbl>
    <w:bookmarkEnd w:id="39"/>
    <w:bookmarkStart w:id="41"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0" w:name="tbl-date-aurp1"/>
          <w:p>
            <w:pPr>
              <w:jc w:val="center"/>
            </w:pPr>
            <w:pPr>
              <w:jc w:val="start"/>
              <w:spacing w:before="200"/>
              <w:pStyle w:val="ImageCaption"/>
            </w:pPr>
            <w:r>
              <w:t xml:space="preserve">Table 4: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[3,4]</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0"/>
          <w:p/>
        </w:tc>
      </w:tr>
    </w:tbl>
    <w:bookmarkEnd w:id="41"/>
    <w:bookmarkStart w:id="43"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2" w:name="tbl-date-aurp2"/>
          <w:p>
            <w:pPr>
              <w:jc w:val="center"/>
            </w:pPr>
            <w:pPr>
              <w:jc w:val="start"/>
              <w:spacing w:before="200"/>
              <w:pStyle w:val="ImageCaption"/>
            </w:pPr>
            <w:r>
              <w:t xml:space="preserve">Table 5: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2"/>
          <w:p/>
        </w:tc>
      </w:tr>
    </w:tbl>
    <w:bookmarkEnd w:id="43"/>
    <w:bookmarkStart w:id="45"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4" w:name="tbl-zero-sign"/>
          <w:p>
            <w:pPr>
              <w:jc w:val="center"/>
            </w:pPr>
            <w:pPr>
              <w:jc w:val="start"/>
              <w:spacing w:before="200"/>
              <w:pStyle w:val="ImageCaption"/>
            </w:pPr>
            <w:r>
              <w:t xml:space="preserve">Table 6: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4"/>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5"/>
    <w:bookmarkEnd w:id="46"/>
    <w:bookmarkStart w:id="81" w:name="references-cited"/>
    <w:p>
      <w:pPr>
        <w:pStyle w:val="Heading2"/>
      </w:pPr>
      <w:r>
        <w:t xml:space="preserve">References cited</w:t>
      </w:r>
    </w:p>
    <w:bookmarkStart w:id="80" w:name="refs"/>
    <w:bookmarkStart w:id="48"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47">
        <w:r>
          <w:rPr>
            <w:rStyle w:val="Hyperlink"/>
          </w:rPr>
          <w:t xml:space="preserve">https://doi.org/10.30861/9781841718309</w:t>
        </w:r>
      </w:hyperlink>
      <w:r>
        <w:t xml:space="preserve">.</w:t>
      </w:r>
    </w:p>
    <w:bookmarkEnd w:id="48"/>
    <w:bookmarkStart w:id="50"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49">
        <w:r>
          <w:rPr>
            <w:rStyle w:val="Hyperlink"/>
          </w:rPr>
          <w:t xml:space="preserve">https://doi.org/10.1016/j.jhevol.2011.06.005</w:t>
        </w:r>
      </w:hyperlink>
      <w:r>
        <w:t xml:space="preserve">.</w:t>
      </w:r>
    </w:p>
    <w:bookmarkEnd w:id="50"/>
    <w:bookmarkStart w:id="52" w:name="ref-Falcucci_Peresani_2017"/>
    <w:p>
      <w:pPr>
        <w:pStyle w:val="Bibliography"/>
      </w:pPr>
      <w:r>
        <w:t xml:space="preserve">[3]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51">
        <w:r>
          <w:rPr>
            <w:rStyle w:val="Hyperlink"/>
          </w:rPr>
          <w:t xml:space="preserve">https://doi.org/10.1371/journal.pone.0189241</w:t>
        </w:r>
      </w:hyperlink>
      <w:r>
        <w:t xml:space="preserve">.</w:t>
      </w:r>
    </w:p>
    <w:bookmarkEnd w:id="52"/>
    <w:bookmarkStart w:id="54" w:name="ref-falcucci2020breaking"/>
    <w:p>
      <w:pPr>
        <w:pStyle w:val="Bibliography"/>
      </w:pPr>
      <w:r>
        <w:t xml:space="preserve">[4]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53">
        <w:r>
          <w:rPr>
            <w:rStyle w:val="Hyperlink"/>
          </w:rPr>
          <w:t xml:space="preserve">https://doi.org/10.4436/JASS.98021</w:t>
        </w:r>
      </w:hyperlink>
      <w:r>
        <w:t xml:space="preserve">.</w:t>
      </w:r>
    </w:p>
    <w:bookmarkEnd w:id="54"/>
    <w:bookmarkStart w:id="56" w:name="ref-Barshay_Szmidt_2012"/>
    <w:p>
      <w:pPr>
        <w:pStyle w:val="Bibliography"/>
      </w:pPr>
      <w:r>
        <w:t xml:space="preserve">[5]</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55">
        <w:r>
          <w:rPr>
            <w:rStyle w:val="Hyperlink"/>
          </w:rPr>
          <w:t xml:space="preserve">https://doi.org/10.4000/paleo.2250</w:t>
        </w:r>
      </w:hyperlink>
      <w:r>
        <w:t xml:space="preserve">.</w:t>
      </w:r>
    </w:p>
    <w:bookmarkEnd w:id="56"/>
    <w:bookmarkStart w:id="58" w:name="ref-Bataille_Conard_2018"/>
    <w:p>
      <w:pPr>
        <w:pStyle w:val="Bibliography"/>
      </w:pPr>
      <w:r>
        <w:t xml:space="preserve">[6]</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7">
        <w:r>
          <w:rPr>
            <w:rStyle w:val="Hyperlink"/>
          </w:rPr>
          <w:t xml:space="preserve">https://doi.org/10.1371/journal.pone.0194097</w:t>
        </w:r>
      </w:hyperlink>
      <w:r>
        <w:t xml:space="preserve">.</w:t>
      </w:r>
    </w:p>
    <w:bookmarkEnd w:id="58"/>
    <w:bookmarkStart w:id="60" w:name="ref-Bataille_Conard_2019"/>
    <w:p>
      <w:pPr>
        <w:pStyle w:val="Bibliography"/>
      </w:pPr>
      <w:r>
        <w:t xml:space="preserve">[7]</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59">
        <w:r>
          <w:rPr>
            <w:rStyle w:val="Hyperlink"/>
          </w:rPr>
          <w:t xml:space="preserve">https://doi.org/10.7485/QU65_1</w:t>
        </w:r>
      </w:hyperlink>
      <w:r>
        <w:t xml:space="preserve">.</w:t>
      </w:r>
    </w:p>
    <w:bookmarkEnd w:id="60"/>
    <w:bookmarkStart w:id="62" w:name="ref-Dinnis_et_al_2019"/>
    <w:p>
      <w:pPr>
        <w:pStyle w:val="Bibliography"/>
      </w:pPr>
      <w:r>
        <w:t xml:space="preserve">[8]</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1">
        <w:r>
          <w:rPr>
            <w:rStyle w:val="Hyperlink"/>
          </w:rPr>
          <w:t xml:space="preserve">https://doi.org/10.1017/ppr.2019.11</w:t>
        </w:r>
      </w:hyperlink>
      <w:r>
        <w:t xml:space="preserve">.</w:t>
      </w:r>
    </w:p>
    <w:bookmarkEnd w:id="62"/>
    <w:bookmarkStart w:id="64" w:name="ref-Talamo_La_Ferrassie_2020"/>
    <w:p>
      <w:pPr>
        <w:pStyle w:val="Bibliography"/>
      </w:pPr>
      <w:r>
        <w:t xml:space="preserve">[9]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63">
        <w:r>
          <w:rPr>
            <w:rStyle w:val="Hyperlink"/>
          </w:rPr>
          <w:t xml:space="preserve">https://doi.org/10.1002/jqs.3236</w:t>
        </w:r>
      </w:hyperlink>
      <w:r>
        <w:t xml:space="preserve">.</w:t>
      </w:r>
    </w:p>
    <w:bookmarkEnd w:id="64"/>
    <w:bookmarkStart w:id="66"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65">
        <w:r>
          <w:rPr>
            <w:rStyle w:val="Hyperlink"/>
          </w:rPr>
          <w:t xml:space="preserve">https://doi.org/10.1007/978-3-211-49294-9_4</w:t>
        </w:r>
      </w:hyperlink>
      <w:r>
        <w:t xml:space="preserve">.</w:t>
      </w:r>
    </w:p>
    <w:bookmarkEnd w:id="66"/>
    <w:bookmarkStart w:id="6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zilhao2003aurignacian"/>
    <w:p>
      <w:pPr>
        <w:pStyle w:val="Bibliography"/>
      </w:pPr>
      <w:r>
        <w:t xml:space="preserve">[12]</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69">
        <w:r>
          <w:rPr>
            <w:rStyle w:val="Hyperlink"/>
          </w:rPr>
          <w:t xml:space="preserve">https://doi.org/10.4000/paleo.1231</w:t>
        </w:r>
      </w:hyperlink>
      <w:r>
        <w:t xml:space="preserve">.</w:t>
      </w:r>
    </w:p>
    <w:bookmarkEnd w:id="70"/>
    <w:bookmarkStart w:id="72" w:name="ref-Schurch_et_al_2025_bladelet"/>
    <w:p>
      <w:pPr>
        <w:pStyle w:val="Bibliography"/>
      </w:pPr>
      <w:r>
        <w:t xml:space="preserve">[13]</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71">
        <w:r>
          <w:rPr>
            <w:rStyle w:val="Hyperlink"/>
          </w:rPr>
          <w:t xml:space="preserve">https://doi.org/10.1371/journal.pone.0331921</w:t>
        </w:r>
      </w:hyperlink>
      <w:r>
        <w:t xml:space="preserve">.</w:t>
      </w:r>
    </w:p>
    <w:bookmarkEnd w:id="72"/>
    <w:bookmarkStart w:id="73" w:name="ref-Flas_et_al_2013"/>
    <w:p>
      <w:pPr>
        <w:pStyle w:val="Bibliography"/>
      </w:pPr>
      <w:r>
        <w:t xml:space="preserve">[14]</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73"/>
    <w:bookmarkStart w:id="75" w:name="ref-Flas_2015"/>
    <w:p>
      <w:pPr>
        <w:pStyle w:val="Bibliography"/>
      </w:pPr>
      <w:r>
        <w:t xml:space="preserve">[15]</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74">
        <w:r>
          <w:rPr>
            <w:rStyle w:val="Hyperlink"/>
          </w:rPr>
          <w:t xml:space="preserve">https://doi.org/10.4000/palethnologie.736</w:t>
        </w:r>
      </w:hyperlink>
      <w:r>
        <w:t xml:space="preserve">.</w:t>
      </w:r>
    </w:p>
    <w:bookmarkEnd w:id="75"/>
    <w:bookmarkStart w:id="77" w:name="ref-Semal_2009"/>
    <w:p>
      <w:pPr>
        <w:pStyle w:val="Bibliography"/>
      </w:pPr>
      <w:r>
        <w:t xml:space="preserve">[16]</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76">
        <w:r>
          <w:rPr>
            <w:rStyle w:val="Hyperlink"/>
          </w:rPr>
          <w:t xml:space="preserve">https://doi.org/10.1002/ajpa.20954</w:t>
        </w:r>
      </w:hyperlink>
      <w:r>
        <w:t xml:space="preserve">.</w:t>
      </w:r>
    </w:p>
    <w:bookmarkEnd w:id="77"/>
    <w:bookmarkStart w:id="79" w:name="ref-Deschamps_2019"/>
    <w:p>
      <w:pPr>
        <w:pStyle w:val="Bibliography"/>
      </w:pPr>
      <w:r>
        <w:t xml:space="preserve">[17]</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78">
        <w:r>
          <w:rPr>
            <w:rStyle w:val="Hyperlink"/>
          </w:rPr>
          <w:t xml:space="preserve">https://doi.org/10.1016/j.crpv.2019.04.001</w:t>
        </w:r>
      </w:hyperlink>
      <w:r>
        <w:t xml:space="preserve">.</w:t>
      </w:r>
    </w:p>
    <w:bookmarkEnd w:id="79"/>
    <w:bookmarkEnd w:id="80"/>
    <w:bookmarkEnd w:id="81"/>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6"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78"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1" Target="https://doi.org/10.1017/ppr.2019.11"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1"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69"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4"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78"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1" Target="https://doi.org/10.1017/ppr.2019.11"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1"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69"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4"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2026-08-23T22:03:52Z</dcterms:created>
  <dcterms:modified xsi:type="dcterms:W3CDTF">2026-08-23T22:03:52Z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