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32.png" ContentType="image/png"/>
  <Override PartName="/word/media/rId24.png" ContentType="image/png"/>
  <Override PartName="/word/media/rId86.png" ContentType="image/png"/>
  <Override PartName="/word/media/rId156.png" ContentType="image/png"/>
  <Override PartName="/word/media/rId173.png" ContentType="image/png"/>
  <Override PartName="/word/media/rId165.png" ContentType="image/png"/>
  <Override PartName="/word/media/rId73.png" ContentType="image/png"/>
  <Override PartName="/word/media/rId104.png" ContentType="image/png"/>
  <Override PartName="/word/media/rId107.png" ContentType="image/png"/>
  <Override PartName="/word/media/rId110.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24,</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0" w:name="sec-s1"/>
    <w:p>
      <w:pPr>
        <w:pStyle w:val="Heading1"/>
      </w:pPr>
      <w:r>
        <w:t xml:space="preserve">S1. Sensitivity Analysis: Network Similarity Threshold</w:t>
      </w:r>
    </w:p>
    <w:bookmarkStart w:id="21"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1"/>
    <w:bookmarkStart w:id="23"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1</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2"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1: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2"/>
        </w:tc>
      </w:tr>
    </w:tbl>
    <w:bookmarkEnd w:id="23"/>
    <w:bookmarkStart w:id="28"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27" w:name="fig-sens-networks"/>
          <w:p>
            <w:pPr>
              <w:pStyle w:val="Compact"/>
              <w:jc w:val="center"/>
            </w:pPr>
            <w:r>
              <w:drawing>
                <wp:inline>
                  <wp:extent cx="5943600" cy="5403272"/>
                  <wp:effectExtent b="0" l="0" r="0" t="0"/>
                  <wp:docPr descr="" title="" id="25" name="Picture"/>
                  <a:graphic>
                    <a:graphicData uri="http://schemas.openxmlformats.org/drawingml/2006/picture">
                      <pic:pic>
                        <pic:nvPicPr>
                          <pic:cNvPr descr="../figures/sensitivity-network-plot.png" id="26" name="Picture"/>
                          <pic:cNvPicPr>
                            <a:picLocks noChangeArrowheads="1" noChangeAspect="1"/>
                          </pic:cNvPicPr>
                        </pic:nvPicPr>
                        <pic:blipFill>
                          <a:blip r:embed="rId2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7"/>
        </w:tc>
      </w:tr>
    </w:tbl>
    <w:bookmarkEnd w:id="28"/>
    <w:bookmarkStart w:id="29"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1</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29"/>
    <w:bookmarkEnd w:id="30"/>
    <w:bookmarkStart w:id="38" w:name="sec-s2"/>
    <w:p>
      <w:pPr>
        <w:pStyle w:val="Heading1"/>
      </w:pPr>
      <w:r>
        <w:t xml:space="preserve">S2. Sensitivity to Similarity Metric Choice (Jaccard vs. Sørensen-Dice vs. Simpson)</w:t>
      </w:r>
    </w:p>
    <w:bookmarkStart w:id="36"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1"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2: Network statistics for each Aurignacian phase across three similarity metrics (Jaccard, Sørensen-Dice, Simpson) at threshold = 0.2.</w:t>
            </w:r>
          </w:p>
          <w:bookmarkEnd w:id="31"/>
        </w:tc>
      </w:tr>
    </w:tbl>
    <w:tbl>
      <w:tblPr>
        <w:tblStyle w:val="Table"/>
        <w:tblW w:type="pct" w:w="5000"/>
        <w:tblLook w:firstRow="0" w:lastRow="0" w:firstColumn="0" w:lastColumn="0" w:noHBand="0" w:noVBand="0" w:val="0000"/>
        <w:jc w:val="start"/>
        <w:tblLayout w:type="fixed"/>
      </w:tblPr>
      <w:tblGrid>
        <w:gridCol w:w="7920"/>
      </w:tblGrid>
      <w:tr>
        <w:tc>
          <w:tcPr/>
          <w:bookmarkStart w:id="35" w:name="fig-metric-networks"/>
          <w:p>
            <w:pPr>
              <w:pStyle w:val="Compact"/>
              <w:jc w:val="center"/>
            </w:pPr>
            <w:r>
              <w:drawing>
                <wp:inline>
                  <wp:extent cx="5943600" cy="5403272"/>
                  <wp:effectExtent b="0" l="0" r="0" t="0"/>
                  <wp:docPr descr="" title="" id="33" name="Picture"/>
                  <a:graphic>
                    <a:graphicData uri="http://schemas.openxmlformats.org/drawingml/2006/picture">
                      <pic:pic>
                        <pic:nvPicPr>
                          <pic:cNvPr descr="../figures/sensitivity-metric-plot.png" id="34" name="Picture"/>
                          <pic:cNvPicPr>
                            <a:picLocks noChangeArrowheads="1" noChangeAspect="1"/>
                          </pic:cNvPicPr>
                        </pic:nvPicPr>
                        <pic:blipFill>
                          <a:blip r:embed="rId32"/>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35"/>
        </w:tc>
      </w:tr>
    </w:tbl>
    <w:bookmarkEnd w:id="36"/>
    <w:bookmarkStart w:id="37"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7"/>
    <w:bookmarkEnd w:id="38"/>
    <w:bookmarkStart w:id="42" w:name="sec-s3"/>
    <w:p>
      <w:pPr>
        <w:pStyle w:val="Heading1"/>
      </w:pPr>
      <w:r>
        <w:t xml:space="preserve">S3. Geodesic vs. Euclidean Geographic Distance Verification (Mantel Tests)</w:t>
      </w:r>
    </w:p>
    <w:bookmarkStart w:id="40"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9"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3: Comparison of Mantel test results (Mantel R and p-value) evaluating sign assemblage dissimilarity vs. spatial distance using flat coordinate Euclidean distance vs. true Geodesic distance (in kilometers).</w:t>
            </w:r>
          </w:p>
          <w:bookmarkEnd w:id="39"/>
        </w:tc>
      </w:tr>
    </w:tbl>
    <w:bookmarkEnd w:id="40"/>
    <w:bookmarkStart w:id="41"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1"/>
    <w:bookmarkEnd w:id="42"/>
    <w:bookmarkStart w:id="49" w:name="sec-s4"/>
    <w:p>
      <w:pPr>
        <w:pStyle w:val="Heading1"/>
      </w:pPr>
      <w:r>
        <w:t xml:space="preserve">S4. Periodisation Scheme Sensitivity</w:t>
      </w:r>
    </w:p>
    <w:bookmarkStart w:id="45"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3"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4: Reference: network statistics under the two-phase periodisation used in the main text (threshold = 0.2). Aur-P1 = Proto + Early; Aur-P2 = Evolved.</w:t>
            </w:r>
          </w:p>
          <w:bookmarkEnd w:id="4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4"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5: Network statistics for the technology-assigned components of the two-phase baseline (Proto-Aurignacian, Early Aurignacian, Evolved Aurignacian) at threshold = 0.2. Aur-P1 = Proto + Early; Aur-P2 = Evolved.</w:t>
            </w:r>
          </w:p>
          <w:bookmarkEnd w:id="44"/>
        </w:tc>
      </w:tr>
    </w:tbl>
    <w:bookmarkEnd w:id="45"/>
    <w:bookmarkStart w:id="48"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46"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6</w:t>
                  </w:r>
                </w:p>
              </w:tc>
              <w:tc>
                <w:tcPr/>
                <w:p>
                  <w:pPr>
                    <w:pStyle w:val="Compact"/>
                    <w:jc w:val="right"/>
                    <w:jc w:val="center"/>
                  </w:pPr>
                  <w:r>
                    <w:t xml:space="preserve">11</w:t>
                  </w:r>
                </w:p>
              </w:tc>
              <w:tc>
                <w:tcPr/>
                <w:p>
                  <w:pPr>
                    <w:pStyle w:val="Compact"/>
                    <w:jc w:val="right"/>
                    <w:jc w:val="center"/>
                  </w:pPr>
                  <w:r>
                    <w:t xml:space="preserve">0.733</w:t>
                  </w:r>
                </w:p>
              </w:tc>
              <w:tc>
                <w:tcPr/>
                <w:p>
                  <w:pPr>
                    <w:pStyle w:val="Compact"/>
                    <w:jc w:val="right"/>
                    <w:jc w:val="center"/>
                  </w:pPr>
                  <w:r>
                    <w:t xml:space="preserve">3.67</w:t>
                  </w:r>
                </w:p>
              </w:tc>
              <w:tc>
                <w:tcPr/>
                <w:p>
                  <w:pPr>
                    <w:pStyle w:val="Compact"/>
                    <w:jc w:val="right"/>
                    <w:jc w:val="center"/>
                  </w:pPr>
                  <w:r>
                    <w:t xml:space="preserve">0.727</w:t>
                  </w:r>
                </w:p>
              </w:tc>
              <w:tc>
                <w:tcPr/>
                <w:p>
                  <w:pPr>
                    <w:pStyle w:val="Compact"/>
                    <w:jc w:val="right"/>
                    <w:jc w:val="center"/>
                  </w:pPr>
                  <w:r>
                    <w:t xml:space="preserve">0.019</w:t>
                  </w:r>
                </w:p>
              </w:tc>
            </w:tr>
            <w:tr>
              <w:tc>
                <w:tcPr/>
                <w:p>
                  <w:pPr>
                    <w:pStyle w:val="Compact"/>
                    <w:jc w:val="left"/>
                    <w:jc w:val="center"/>
                  </w:pPr>
                  <w:r>
                    <w:t xml:space="preserve">Late Aurignacian (35-32 ka BP)</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0.167</w:t>
                  </w:r>
                </w:p>
              </w:tc>
              <w:tc>
                <w:tcPr/>
                <w:p>
                  <w:pPr>
                    <w:pStyle w:val="Compact"/>
                    <w:jc w:val="right"/>
                    <w:jc w:val="center"/>
                  </w:pPr>
                  <w:r>
                    <w:t xml:space="preserve">0.50</w:t>
                  </w:r>
                </w:p>
              </w:tc>
              <w:tc>
                <w:tcPr/>
                <w:p>
                  <w:pPr>
                    <w:pStyle w:val="Compact"/>
                    <w:jc w:val="right"/>
                    <w:jc w:val="center"/>
                  </w:pPr>
                  <w:r>
                    <w:t xml:space="preserve">NaN</w:t>
                  </w:r>
                </w:p>
              </w:tc>
              <w:tc>
                <w:tcPr/>
                <w:p>
                  <w:pPr>
                    <w:pStyle w:val="Compact"/>
                    <w:jc w:val="right"/>
                    <w:jc w:val="center"/>
                  </w:pPr>
                  <w:r>
                    <w:t xml:space="preserve">0.000</w:t>
                  </w:r>
                </w:p>
              </w:tc>
            </w:tr>
          </w:tbl>
          <w:p>
            <w:pPr>
              <w:jc w:val="center"/>
            </w:pPr>
            <w:pPr>
              <w:jc w:val="start"/>
              <w:spacing w:before="200"/>
              <w:pStyle w:val="ImageCaption"/>
            </w:pPr>
            <w:r>
              <w:t xml:space="preserve">Table 6: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46"/>
        </w:tc>
      </w:tr>
    </w:tbl>
    <w:bookmarkStart w:id="47"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11 edges and a mean degree of 3.67 across 6 sites, while the Late Aurignacian (35–32 ka BP) is severely data-limited: with only 4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47"/>
    <w:bookmarkEnd w:id="48"/>
    <w:bookmarkEnd w:id="49"/>
    <w:bookmarkStart w:id="93" w:name="sec-s5"/>
    <w:p>
      <w:pPr>
        <w:pStyle w:val="Heading1"/>
      </w:pPr>
      <w:r>
        <w:t xml:space="preserve">S5. Automated Group Recovery as a Circularity Check</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hyperlink w:anchor="sec-s6-6">
        <w:r>
          <w:rPr>
            <w:rStyle w:val="Hyperlink"/>
          </w:rPr>
          <w:t xml:space="preserve">Section 7</w:t>
        </w:r>
      </w:hyperlink>
      <w:r>
        <w:t xml:space="preserve">.</w:t>
      </w:r>
    </w:p>
    <w:bookmarkStart w:id="54" w:name="sec-s5-1"/>
    <w:p>
      <w:pPr>
        <w:pStyle w:val="Heading2"/>
      </w:pPr>
      <w:r>
        <w:t xml:space="preserve">S5.1 Algorithmic Group Detection via Louvain Community Partitioning</w:t>
      </w:r>
    </w:p>
    <w:bookmarkStart w:id="53"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 identifies clusters of sites whose sign repertoires are more similar to each other than to sites in other clusters, optimising Newman–Girvan modularity</w:t>
      </w:r>
      <w:r>
        <w:t xml:space="preserve"> </w:t>
      </w:r>
      <w:r>
        <w:t xml:space="preserve">[3]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0"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7: Louvain community memberships for each site, by phase and threshold. Sites with no community assignment (no edges at that threshold) are assigned to a singleton community. Groups are numbered by Louvain membership.</w:t>
            </w:r>
          </w:p>
          <w:bookmarkEnd w:id="5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1"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8: Adjusted Rand Index (ARI) between Louvain-derived communities and the manually assigned restricted/broad groups, by phase and threshold. ARI = 1.0 indicates identical partitions; ARI ≈ 0 indicates agreement no better than chance.</w:t>
            </w:r>
          </w:p>
          <w:bookmarkEnd w:id="5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2"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0.196</w:t>
                  </w:r>
                </w:p>
              </w:tc>
              <w:tc>
                <w:tcPr/>
                <w:p>
                  <w:pPr>
                    <w:pStyle w:val="Compact"/>
                    <w:jc w:val="right"/>
                    <w:jc w:val="center"/>
                  </w:pPr>
                  <w:r>
                    <w:t xml:space="preserve">0.335</w:t>
                  </w:r>
                </w:p>
              </w:tc>
              <w:tc>
                <w:tcPr/>
                <w:p>
                  <w:pPr>
                    <w:pStyle w:val="Compact"/>
                    <w:jc w:val="right"/>
                    <w:jc w:val="center"/>
                  </w:pPr>
                  <w:r>
                    <w:t xml:space="preserve">4.382</w:t>
                  </w:r>
                </w:p>
              </w:tc>
              <w:tc>
                <w:tcPr/>
                <w:p>
                  <w:pPr>
                    <w:pStyle w:val="Compact"/>
                    <w:jc w:val="right"/>
                    <w:jc w:val="center"/>
                  </w:pPr>
                  <w:r>
                    <w:t xml:space="preserve">4.279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0.196</w:t>
                  </w:r>
                </w:p>
              </w:tc>
              <w:tc>
                <w:tcPr/>
                <w:p>
                  <w:pPr>
                    <w:pStyle w:val="Compact"/>
                    <w:jc w:val="right"/>
                    <w:jc w:val="center"/>
                  </w:pPr>
                  <w:r>
                    <w:t xml:space="preserve">0.495</w:t>
                  </w:r>
                </w:p>
              </w:tc>
              <w:tc>
                <w:tcPr/>
                <w:p>
                  <w:pPr>
                    <w:pStyle w:val="Compact"/>
                    <w:jc w:val="right"/>
                    <w:jc w:val="center"/>
                  </w:pPr>
                  <w:r>
                    <w:t xml:space="preserve">4.382</w:t>
                  </w:r>
                </w:p>
              </w:tc>
              <w:tc>
                <w:tcPr/>
                <w:p>
                  <w:pPr>
                    <w:pStyle w:val="Compact"/>
                    <w:jc w:val="right"/>
                    <w:jc w:val="center"/>
                  </w:pPr>
                  <w:r>
                    <w:t xml:space="preserve">3.673</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0.223</w:t>
                  </w:r>
                </w:p>
              </w:tc>
              <w:tc>
                <w:tcPr/>
                <w:p>
                  <w:pPr>
                    <w:pStyle w:val="Compact"/>
                    <w:jc w:val="right"/>
                    <w:jc w:val="center"/>
                  </w:pPr>
                  <w:r>
                    <w:t xml:space="preserve">0.599</w:t>
                  </w:r>
                </w:p>
              </w:tc>
              <w:tc>
                <w:tcPr/>
                <w:p>
                  <w:pPr>
                    <w:pStyle w:val="Compact"/>
                    <w:jc w:val="right"/>
                    <w:jc w:val="center"/>
                  </w:pPr>
                  <w:r>
                    <w:t xml:space="preserve">2.008</w:t>
                  </w:r>
                </w:p>
              </w:tc>
              <w:tc>
                <w:tcPr/>
                <w:p>
                  <w:pPr>
                    <w:pStyle w:val="Compact"/>
                    <w:jc w:val="right"/>
                    <w:jc w:val="center"/>
                  </w:pPr>
                  <w:r>
                    <w:t xml:space="preserve">2.485</w:t>
                  </w:r>
                </w:p>
              </w:tc>
              <w:tc>
                <w:tcPr/>
                <w:p>
                  <w:pPr>
                    <w:pStyle w:val="Compact"/>
                    <w:jc w:val="right"/>
                    <w:jc w:val="center"/>
                  </w:pPr>
                  <w:r>
                    <w:t xml:space="preserve">0.076</w:t>
                  </w:r>
                </w:p>
              </w:tc>
              <w:tc>
                <w:tcPr/>
                <w:p>
                  <w:pPr>
                    <w:pStyle w:val="Compact"/>
                    <w:jc w:val="right"/>
                    <w:jc w:val="center"/>
                  </w:pPr>
                  <w:r>
                    <w:t xml:space="preserve">0.003</w:t>
                  </w:r>
                </w:p>
              </w:tc>
            </w:tr>
          </w:tbl>
          <w:p>
            <w:pPr>
              <w:jc w:val="center"/>
            </w:pPr>
            <w:pPr>
              <w:jc w:val="start"/>
              <w:spacing w:before="200"/>
              <w:pStyle w:val="ImageCaption"/>
            </w:pPr>
            <w:r>
              <w:t xml:space="preserve">Table 9: PerMANOVA comparison: manual (restricted/broad) grouping versus Louvain-derived grouping. R², pseudo-F, and p-values for each phase and threshold.</w:t>
            </w:r>
          </w:p>
          <w:bookmarkEnd w:id="52"/>
        </w:tc>
      </w:tr>
    </w:tbl>
    <w:bookmarkEnd w:id="53"/>
    <w:bookmarkEnd w:id="54"/>
    <w:bookmarkStart w:id="59" w:name="s5.1-interpretation"/>
    <w:p>
      <w:pPr>
        <w:pStyle w:val="Heading2"/>
      </w:pPr>
      <w:r>
        <w:t xml:space="preserve">S5.1 Interpretation</w:t>
      </w:r>
    </w:p>
    <w:bookmarkStart w:id="55"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7</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5"/>
    <w:bookmarkStart w:id="56"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8</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56"/>
    <w:bookmarkStart w:id="57"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9</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57"/>
    <w:bookmarkStart w:id="58"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hyperlink w:anchor="sec-s6-6">
        <w:r>
          <w:rPr>
            <w:rStyle w:val="Hyperlink"/>
          </w:rPr>
          <w:t xml:space="preserve">Section 7</w:t>
        </w:r>
      </w:hyperlink>
      <w:r>
        <w:t xml:space="preserve">.</w:t>
      </w:r>
    </w:p>
    <w:bookmarkEnd w:id="58"/>
    <w:bookmarkEnd w:id="59"/>
    <w:bookmarkStart w:id="60"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60"/>
    <w:bookmarkStart w:id="61"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1"/>
    <w:bookmarkStart w:id="63"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2"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0.090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0.028</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0.293</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0.234</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0.253</w:t>
                  </w:r>
                </w:p>
              </w:tc>
            </w:tr>
          </w:tbl>
          <w:p>
            <w:pPr>
              <w:jc w:val="center"/>
            </w:pPr>
            <w:pPr>
              <w:jc w:val="start"/>
              <w:spacing w:before="200"/>
              <w:pStyle w:val="ImageCaption"/>
            </w:pPr>
            <w:r>
              <w:t xml:space="preserve">Table 10: Observed modularity and null-model p-values for each Aurignacian phase at three Jaccard similarity thresholds.</w:t>
            </w:r>
          </w:p>
          <w:bookmarkEnd w:id="6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0.091) and is statistically significant (p = 0.030), as it is at threshold 0.3 (0.347, p = 0.028); at the permissive 0.1 threshold, the Aur-P1 value (0.223, p = 0.090) does not reach significance. Aur-P2’s observed modularity (0.161 at threshold 0.2) is clearly non-significant at every threshold (p = 0.293 to 0.253),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3"/>
    <w:bookmarkStart w:id="65" w:name="sec-s5-4"/>
    <w:p>
      <w:pPr>
        <w:pStyle w:val="Heading2"/>
      </w:pPr>
      <w:r>
        <w:t xml:space="preserve">S5.4 Assemblage Richness / Sample-Size Confound</w:t>
      </w:r>
    </w:p>
    <w:p>
      <w:pPr>
        <w:pStyle w:val="FirstParagraph"/>
      </w:pPr>
      <w:r>
        <w:t xml:space="preserve">Node degree in a presence/absence network could be driven by sign-type richness rather than genuine cultural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64"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11: Spearman correlations between node degree and site sign richness (number of distinct sign types) within each Aurignacian phase, at the baseline threshold of 0.2.</w:t>
            </w:r>
          </w:p>
          <w:bookmarkEnd w:id="64"/>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65"/>
    <w:bookmarkStart w:id="72" w:name="sec-s5-5"/>
    <w:p>
      <w:pPr>
        <w:pStyle w:val="Heading2"/>
      </w:pPr>
      <w:r>
        <w:t xml:space="preserve">S5.5 Phase-Boundary Sensitivity</w:t>
      </w:r>
    </w:p>
    <w:bookmarkStart w:id="68" w:name="rationale-2"/>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66"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63</w:t>
                  </w:r>
                </w:p>
              </w:tc>
              <w:tc>
                <w:tcPr/>
                <w:p>
                  <w:pPr>
                    <w:pStyle w:val="Compact"/>
                    <w:jc w:val="right"/>
                    <w:jc w:val="center"/>
                  </w:pPr>
                  <w:r>
                    <w:t xml:space="preserve">6</w:t>
                  </w:r>
                </w:p>
              </w:tc>
            </w:tr>
          </w:tbl>
          <w:p>
            <w:pPr>
              <w:jc w:val="center"/>
            </w:pPr>
            <w:pPr>
              <w:jc w:val="start"/>
              <w:spacing w:before="200"/>
              <w:pStyle w:val="ImageCaption"/>
            </w:pPr>
            <w:r>
              <w:t xml:space="preserve">Table 12: Number of objects and sites within ±500 and ±1000 calibrated years of the single periodisation boundary at 37799 BP separating Aur-P1 from Aur-P2.</w:t>
            </w:r>
          </w:p>
          <w:bookmarkEnd w:id="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7"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13: Network statistics at the baseline threshold of 0.2 under shifts of the single Aur-P1/Aur-P2 boundary. Positive shifts move the boundary later (older objects reassigned to Aur-P2); negative shifts move it earlier (younger Aur-P2 objects reassigned to Aur-P1).</w:t>
            </w:r>
          </w:p>
          <w:bookmarkEnd w:id="67"/>
        </w:tc>
      </w:tr>
    </w:tbl>
    <w:bookmarkEnd w:id="68"/>
    <w:bookmarkStart w:id="69" w:name="diagnostic-interpretation"/>
    <w:p>
      <w:pPr>
        <w:pStyle w:val="Heading3"/>
      </w:pPr>
      <w:r>
        <w:t xml:space="preserve">Diagnostic interpretation</w:t>
      </w:r>
    </w:p>
    <w:p>
      <w:pPr>
        <w:pStyle w:val="FirstParagraph"/>
      </w:pPr>
      <w:r>
        <w:t xml:space="preserve">63 objects from 6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69"/>
    <w:bookmarkStart w:id="70"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0"/>
    <w:bookmarkStart w:id="71"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1"/>
    <w:bookmarkEnd w:id="72"/>
    <w:bookmarkStart w:id="77"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76" w:name="fig-threshold-sweep"/>
          <w:p>
            <w:pPr>
              <w:pStyle w:val="Compact"/>
              <w:jc w:val="center"/>
            </w:pPr>
            <w:r>
              <w:drawing>
                <wp:inline>
                  <wp:extent cx="5943600" cy="2971800"/>
                  <wp:effectExtent b="0" l="0" r="0" t="0"/>
                  <wp:docPr descr="" title="" id="74" name="Picture"/>
                  <a:graphic>
                    <a:graphicData uri="http://schemas.openxmlformats.org/drawingml/2006/picture">
                      <pic:pic>
                        <pic:nvPicPr>
                          <pic:cNvPr descr="S1-supplement-sensitivity_files/figure-docx/fig-threshold-sweep-1.png" id="75" name="Picture"/>
                          <pic:cNvPicPr>
                            <a:picLocks noChangeArrowheads="1" noChangeAspect="1"/>
                          </pic:cNvPicPr>
                        </pic:nvPicPr>
                        <pic:blipFill>
                          <a:blip r:embed="rId7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76"/>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77"/>
    <w:bookmarkStart w:id="79"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78"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8.10</w:t>
                  </w:r>
                </w:p>
              </w:tc>
              <w:tc>
                <w:tcPr/>
                <w:p>
                  <w:pPr>
                    <w:pStyle w:val="Compact"/>
                    <w:jc w:val="center"/>
                    <w:jc w:val="center"/>
                  </w:pPr>
                  <w:r>
                    <w:t xml:space="preserve">5.30</w:t>
                  </w:r>
                </w:p>
              </w:tc>
              <w:tc>
                <w:tcPr/>
                <w:p>
                  <w:pPr>
                    <w:pStyle w:val="Compact"/>
                    <w:jc w:val="center"/>
                    <w:jc w:val="center"/>
                  </w:pPr>
                  <w:r>
                    <w:t xml:space="preserve">11.40</w:t>
                  </w:r>
                </w:p>
              </w:tc>
              <w:tc>
                <w:tcPr/>
                <w:p>
                  <w:pPr>
                    <w:pStyle w:val="Compact"/>
                    <w:jc w:val="center"/>
                    <w:jc w:val="center"/>
                  </w:pPr>
                  <w:r>
                    <w:t xml:space="preserve">0.363</w:t>
                  </w:r>
                </w:p>
              </w:tc>
              <w:tc>
                <w:tcPr/>
                <w:p>
                  <w:pPr>
                    <w:pStyle w:val="Compact"/>
                    <w:jc w:val="center"/>
                    <w:jc w:val="center"/>
                  </w:pPr>
                  <w:r>
                    <w:t xml:space="preserve">0.199</w:t>
                  </w:r>
                </w:p>
              </w:tc>
              <w:tc>
                <w:tcPr/>
                <w:p>
                  <w:pPr>
                    <w:pStyle w:val="Compact"/>
                    <w:jc w:val="center"/>
                    <w:jc w:val="center"/>
                  </w:pPr>
                  <w:r>
                    <w:t xml:space="preserve">0.536</w:t>
                  </w:r>
                </w:p>
              </w:tc>
            </w:tr>
            <w:tr>
              <w:tc>
                <w:tcPr/>
                <w:p>
                  <w:pPr>
                    <w:pStyle w:val="Compact"/>
                    <w:jc w:val="left"/>
                    <w:jc w:val="center"/>
                  </w:pPr>
                  <w:r>
                    <w:t xml:space="preserve">Aur-P2</w:t>
                  </w:r>
                </w:p>
              </w:tc>
              <w:tc>
                <w:tcPr/>
                <w:p>
                  <w:pPr>
                    <w:pStyle w:val="Compact"/>
                    <w:jc w:val="center"/>
                    <w:jc w:val="center"/>
                  </w:pPr>
                  <w:r>
                    <w:t xml:space="preserve">4.67</w:t>
                  </w:r>
                </w:p>
              </w:tc>
              <w:tc>
                <w:tcPr/>
                <w:p>
                  <w:pPr>
                    <w:pStyle w:val="Compact"/>
                    <w:jc w:val="center"/>
                    <w:jc w:val="center"/>
                  </w:pPr>
                  <w:r>
                    <w:t xml:space="preserve">2.67</w:t>
                  </w:r>
                </w:p>
              </w:tc>
              <w:tc>
                <w:tcPr/>
                <w:p>
                  <w:pPr>
                    <w:pStyle w:val="Compact"/>
                    <w:jc w:val="center"/>
                    <w:jc w:val="center"/>
                  </w:pPr>
                  <w:r>
                    <w:t xml:space="preserve">7.11</w:t>
                  </w:r>
                </w:p>
              </w:tc>
              <w:tc>
                <w:tcPr/>
                <w:p>
                  <w:pPr>
                    <w:pStyle w:val="Compact"/>
                    <w:jc w:val="center"/>
                    <w:jc w:val="center"/>
                  </w:pPr>
                  <w:r>
                    <w:t xml:space="preserve">0.239</w:t>
                  </w:r>
                </w:p>
              </w:tc>
              <w:tc>
                <w:tcPr/>
                <w:p>
                  <w:pPr>
                    <w:pStyle w:val="Compact"/>
                    <w:jc w:val="center"/>
                    <w:jc w:val="center"/>
                  </w:pPr>
                  <w:r>
                    <w:t xml:space="preserve">0.052</w:t>
                  </w:r>
                </w:p>
              </w:tc>
              <w:tc>
                <w:tcPr/>
                <w:p>
                  <w:pPr>
                    <w:pStyle w:val="Compact"/>
                    <w:jc w:val="center"/>
                    <w:jc w:val="center"/>
                  </w:pPr>
                  <w:r>
                    <w:t xml:space="preserve">0.486</w:t>
                  </w:r>
                </w:p>
              </w:tc>
            </w:tr>
          </w:tbl>
          <w:p>
            <w:pPr>
              <w:jc w:val="center"/>
            </w:pPr>
            <w:pPr>
              <w:jc w:val="start"/>
              <w:spacing w:before="200"/>
              <w:pStyle w:val="ImageCaption"/>
            </w:pPr>
            <w:r>
              <w:t xml:space="preserve">Table 14: Bootstrap 95% confidence intervals for mean degree and modularity at threshold = 0.2, based on 999 within-phase resamples.</w:t>
            </w:r>
          </w:p>
          <w:bookmarkEnd w:id="78"/>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Aur-P1 CI [5.30, 11.40] and the Aur-P2 CI [2.67, 7.11] overlap. Because the intervals overlap, the bootstrap does not formally separate the two phases by the strict non-overlap criterion; the Aur-P1–Aur-P2 contrast is supported at the point-estimate level (Aur-P1 8.10 vs Aur-P2 4.67) but is not statistically decisive. For modularity, the two CIs overlap substantially (Aur-P1 [0.199, 0.536], Aur-P2 [0.052, 0.486]), meaning the phase-by-phase difference in modularity is not statistically distinguishable given the current sample sizes. This reinforces the S5.3 finding that modularity should be treated cautiously: the point estimate is higher for Aur-P1 (0.363 vs 0.239), but the wide intervals , driven by Aur-P2’s small sample (9 sites) , overlap. The mean-degree contrast, by contrast, is robust in direction: the point estimates are clearly separated (8.10 vs 4.67), yet the sampling uncertainty reflected in the bootstrap intervals means the two phases are not formally distinguished by the strict non-overlap criterion.</w:t>
      </w:r>
    </w:p>
    <w:bookmarkEnd w:id="79"/>
    <w:bookmarkStart w:id="81"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3</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0"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15: Mantel test p-values before and after Benjamini–Hochberg correction for multiple testing across 2 phases × 2 distance measures (4 tests total). Results with adjusted p &lt; 0.05 are highlighted.</w:t>
            </w:r>
          </w:p>
          <w:bookmarkEnd w:id="80"/>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1"/>
    <w:bookmarkStart w:id="83"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2"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16: Network metrics normalised by size-matched Erdos-Renyi expectation. Ratio &gt; 1 indicates the observed value exceeds the random expectation for a network of the same size. ER mean and SD are based on 100 random graphs per phase.</w:t>
            </w:r>
          </w:p>
          <w:bookmarkEnd w:id="82"/>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3"/>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3"/>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83"/>
    <w:bookmarkStart w:id="84" w:name="sec-s5-10"/>
    <w:p>
      <w:pPr>
        <w:pStyle w:val="Heading2"/>
      </w:pPr>
      <w:r>
        <w:t xml:space="preserve">S5.10 Multiple Regression on Distance Matrices (Drivers of Sign Dissimilarity)</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[4]</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0.634; temporal: β = 0.000, 95% CI [ NA, NA], p = 0.914; object count: β = -0.004, 95% CI [ NA, NA], p = 0.924).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84"/>
    <w:bookmarkStart w:id="92" w:name="sec-s5-11"/>
    <w:p>
      <w:pPr>
        <w:pStyle w:val="Heading2"/>
      </w:pPr>
      <w:r>
        <w:t xml:space="preserve">S5.11 Mantel Correlogram and Bootstrap Confidence Intervals on the Mantel R</w:t>
      </w:r>
    </w:p>
    <w:bookmarkStart w:id="85" w:name="rationale-3"/>
    <w:p>
      <w:pPr>
        <w:pStyle w:val="Heading3"/>
      </w:pPr>
      <w:r>
        <w:t xml:space="preserve">Rationale</w:t>
      </w:r>
    </w:p>
    <w:p>
      <w:pPr>
        <w:pStyle w:val="FirstParagraph"/>
      </w:pPr>
      <w:r>
        <w:t xml:space="preserve">The Mantel tests reported in the main text and in S3 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4"/>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4"/>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85"/>
    <w:bookmarkStart w:id="90" w:name="analysis"/>
    <w:p>
      <w:pPr>
        <w:pStyle w:val="Heading3"/>
      </w:pPr>
      <w:r>
        <w:t xml:space="preserve">Analysis</w:t>
      </w:r>
    </w:p>
    <w:p>
      <w:pPr>
        <w:pStyle w:val="FirstParagraph"/>
      </w:pPr>
      <w:r>
        <w:t xml:space="preserve">We reconstruct, for each phase, the Jaccard sign dissimilarity and the geodesic geographic-distance matrix used by the S3 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89" w:name="fig-mantel-correlogram"/>
          <w:p>
            <w:pPr>
              <w:pStyle w:val="Compact"/>
              <w:jc w:val="center"/>
            </w:pPr>
            <w:r>
              <w:drawing>
                <wp:inline>
                  <wp:extent cx="5943600" cy="3714750"/>
                  <wp:effectExtent b="0" l="0" r="0" t="0"/>
                  <wp:docPr descr="" title="" id="87" name="Picture"/>
                  <a:graphic>
                    <a:graphicData uri="http://schemas.openxmlformats.org/drawingml/2006/picture">
                      <pic:pic>
                        <pic:nvPicPr>
                          <pic:cNvPr descr="S1-supplement-sensitivity_files/figure-docx/fig-mantel-correlogram-1.png" id="88" name="Picture"/>
                          <pic:cNvPicPr>
                            <a:picLocks noChangeArrowheads="1" noChangeAspect="1"/>
                          </pic:cNvPicPr>
                        </pic:nvPicPr>
                        <pic:blipFill>
                          <a:blip r:embed="rId86"/>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89"/>
        </w:tc>
      </w:tr>
    </w:tbl>
    <w:bookmarkEnd w:id="90"/>
    <w:bookmarkStart w:id="91"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 S3 geodesic results. The bootstrap 95% CI on this statistic is [0.036, 0.517] for Aur-P1 and [-0.199, 0.749] for Aur-P2; both span zero. Because the Aur-P2 analysis rests on only 9 sites (36 site pairs) and Aur-P1 on 20 sites (190 pairs), the Mantel test has low statistical power: the wide intervals mean a true moderate geographic correlation (|r| ≈ 0.3–0.4) would fall well inside the sampling noise and could not be excluded. The non-significant Mantel result must therefore be read as a</w:t>
      </w:r>
      <w:r>
        <w:t xml:space="preserve"> </w:t>
      </w:r>
      <w:r>
        <w:rPr>
          <w:iCs/>
          <w:i/>
        </w:rPr>
        <w:t xml:space="preserve">lack of evidence</w:t>
      </w:r>
      <w:r>
        <w:t xml:space="preserve"> </w:t>
      </w:r>
      <w:r>
        <w:t xml:space="preserve">for geographic structure, not as evidence that geographic structure is absent, and (consistent with S5.10) it provides no support for any alternative cultural process.</w:t>
      </w:r>
    </w:p>
    <w:bookmarkEnd w:id="91"/>
    <w:bookmarkEnd w:id="92"/>
    <w:bookmarkEnd w:id="93"/>
    <w:bookmarkStart w:id="126" w:name="sec-s6"/>
    <w:p>
      <w:pPr>
        <w:pStyle w:val="Heading1"/>
      </w:pPr>
      <w:r>
        <w:t xml:space="preserve">S6. Robustness of the Two-Group Structure: Bootstrap Consensus and Stochastic Block Models</w:t>
      </w:r>
    </w:p>
    <w:bookmarkStart w:id="94" w:name="sec-s6-1"/>
    <w:p>
      <w:pPr>
        <w:pStyle w:val="Heading2"/>
      </w:pPr>
      <w:r>
        <w:t xml:space="preserve">S6.1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[5]</w:t>
      </w:r>
      <w:r>
        <w:t xml:space="preserve">, quantifying the stability of the two-group partition as a whole and of each site’s assignment. In S6.3 we fit</w:t>
      </w:r>
      <w:r>
        <w:t xml:space="preserve"> </w:t>
      </w:r>
      <w:r>
        <w:rPr>
          <w:bCs/>
          <w:b/>
        </w:rPr>
        <w:t xml:space="preserve">stochastic block models (SBM)</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p>
    <w:bookmarkEnd w:id="94"/>
    <w:bookmarkStart w:id="103" w:name="sec-s6-2"/>
    <w:p>
      <w:pPr>
        <w:pStyle w:val="Heading2"/>
      </w:pPr>
      <w:r>
        <w:t xml:space="preserve">S6.2 Bootstrap Consensus Analysis</w:t>
      </w:r>
    </w:p>
    <w:bookmarkStart w:id="101" w:name="rationale-4"/>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0" w:lastRow="0" w:firstColumn="0" w:lastColumn="0" w:noHBand="0" w:noVBand="0" w:val="0000"/>
        <w:jc w:val="start"/>
        <w:tblLayout w:type="fixed"/>
      </w:tblPr>
      <w:tblGrid>
        <w:gridCol w:w="7920"/>
      </w:tblGrid>
      <w:tr>
        <w:tc>
          <w:tcPr/>
          <w:bookmarkStart w:id="95"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0.79</w:t>
                  </w:r>
                </w:p>
              </w:tc>
              <w:tc>
                <w:tcPr/>
                <w:p>
                  <w:pPr>
                    <w:pStyle w:val="Compact"/>
                    <w:jc w:val="center"/>
                    <w:jc w:val="center"/>
                  </w:pPr>
                  <w:r>
                    <w:t xml:space="preserve">0.90</w:t>
                  </w:r>
                </w:p>
              </w:tc>
              <w:tc>
                <w:tcPr/>
                <w:p>
                  <w:pPr>
                    <w:pStyle w:val="Compact"/>
                    <w:jc w:val="center"/>
                    <w:jc w:val="center"/>
                  </w:pPr>
                  <w:r>
                    <w:t xml:space="preserve">0.86</w:t>
                  </w:r>
                </w:p>
              </w:tc>
              <w:tc>
                <w:tcPr/>
                <w:p>
                  <w:pPr>
                    <w:pStyle w:val="Compact"/>
                    <w:jc w:val="center"/>
                    <w:jc w:val="center"/>
                  </w:pPr>
                  <w:r>
                    <w:t xml:space="preserve">0.26</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0.57</w:t>
                  </w:r>
                </w:p>
              </w:tc>
              <w:tc>
                <w:tcPr/>
                <w:p>
                  <w:pPr>
                    <w:pStyle w:val="Compact"/>
                    <w:jc w:val="center"/>
                    <w:jc w:val="center"/>
                  </w:pPr>
                  <w:r>
                    <w:t xml:space="preserve">0.83</w:t>
                  </w:r>
                </w:p>
              </w:tc>
              <w:tc>
                <w:tcPr/>
                <w:p>
                  <w:pPr>
                    <w:pStyle w:val="Compact"/>
                    <w:jc w:val="center"/>
                    <w:jc w:val="center"/>
                  </w:pPr>
                  <w:r>
                    <w:t xml:space="preserve">0.62</w:t>
                  </w:r>
                </w:p>
              </w:tc>
              <w:tc>
                <w:tcPr/>
                <w:p>
                  <w:pPr>
                    <w:pStyle w:val="Compact"/>
                    <w:jc w:val="center"/>
                    <w:jc w:val="center"/>
                  </w:pPr>
                  <w:r>
                    <w:t xml:space="preserve">0.37</w:t>
                  </w:r>
                </w:p>
              </w:tc>
            </w:tr>
          </w:tbl>
          <w:p>
            <w:pPr>
              <w:jc w:val="center"/>
            </w:pPr>
            <w:pPr>
              <w:jc w:val="start"/>
              <w:spacing w:before="200"/>
              <w:pStyle w:val="ImageCaption"/>
            </w:pPr>
            <w:r>
              <w:t xml:space="preserve">Table 17: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9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96"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0.80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0.66</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0.72</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0.51</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0.92</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0.63</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0.78</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0.83</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0.76</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0.81</w:t>
                  </w:r>
                </w:p>
              </w:tc>
            </w:tr>
          </w:tbl>
          <w:p>
            <w:pPr>
              <w:jc w:val="center"/>
            </w:pPr>
            <w:pPr>
              <w:jc w:val="start"/>
              <w:spacing w:before="200"/>
              <w:pStyle w:val="ImageCaption"/>
            </w:pPr>
            <w:r>
              <w:t xml:space="preserve">Table 18: Per-site bootstrap consistency: proportion of 1000 resamples in which each site is assigned to its modal (most frequent) block. Consistency near 1 indicates robust assignment; values near 0.5 indicate sites whose group membership flips across resamples.</w:t>
            </w:r>
          </w:p>
          <w:bookmarkEnd w:id="96"/>
        </w:tc>
      </w:tr>
    </w:tbl>
    <w:tbl>
      <w:tblPr>
        <w:tblStyle w:val="Table"/>
        <w:tblW w:type="pct" w:w="5000"/>
        <w:tblLook w:firstRow="0" w:lastRow="0" w:firstColumn="0" w:lastColumn="0" w:noHBand="0" w:noVBand="0" w:val="0000"/>
        <w:jc w:val="start"/>
        <w:tblLayout w:type="fixed"/>
      </w:tblPr>
      <w:tblGrid>
        <w:gridCol w:w="7920"/>
      </w:tblGrid>
      <w:tr>
        <w:tc>
          <w:tcPr/>
          <w:bookmarkStart w:id="100" w:name="fig-bootstrap-consensus"/>
          <w:p>
            <w:pPr>
              <w:pStyle w:val="Compact"/>
              <w:jc w:val="center"/>
            </w:pPr>
            <w:r>
              <w:drawing>
                <wp:inline>
                  <wp:extent cx="5943600" cy="6604000"/>
                  <wp:effectExtent b="0" l="0" r="0" t="0"/>
                  <wp:docPr descr="" title="" id="98" name="Picture"/>
                  <a:graphic>
                    <a:graphicData uri="http://schemas.openxmlformats.org/drawingml/2006/picture">
                      <pic:pic>
                        <pic:nvPicPr>
                          <pic:cNvPr descr="../figures/bootstrap-consensus-plot.png" id="99" name="Picture"/>
                          <pic:cNvPicPr>
                            <a:picLocks noChangeArrowheads="1" noChangeAspect="1"/>
                          </pic:cNvPicPr>
                        </pic:nvPicPr>
                        <pic:blipFill>
                          <a:blip r:embed="rId97"/>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00"/>
        </w:tc>
      </w:tr>
    </w:tbl>
    <w:bookmarkEnd w:id="101"/>
    <w:bookmarkStart w:id="102" w:name="interpretation-1"/>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0.79 for the restricted-range block and 0.9 for the broader-range block, against 0.26 across the two blocks , a strong signal that both groups are internally coherent and sharply separated. In</w:t>
      </w:r>
      <w:r>
        <w:t xml:space="preserve"> </w:t>
      </w:r>
      <w:r>
        <w:rPr>
          <w:bCs/>
          <w:b/>
        </w:rPr>
        <w:t xml:space="preserve">Aur-P2</w:t>
      </w:r>
      <w:r>
        <w:t xml:space="preserve">, the pattern is 0.57 within the restricted block and 0.83 within the broader block, against 0.37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18</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18</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5</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18</w:t>
        </w:r>
      </w:hyperlink>
      <w:r>
        <w:t xml:space="preserve">.</w:t>
      </w:r>
    </w:p>
    <w:bookmarkEnd w:id="102"/>
    <w:bookmarkEnd w:id="103"/>
    <w:bookmarkStart w:id="120" w:name="sec-s6-3"/>
    <w:p>
      <w:pPr>
        <w:pStyle w:val="Heading2"/>
      </w:pPr>
      <w:r>
        <w:t xml:space="preserve">S6.3 Stochastic Block Models</w:t>
      </w:r>
    </w:p>
    <w:bookmarkStart w:id="118" w:name="rationale-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the</w:t>
      </w:r>
      <w:r>
        <w:t xml:space="preserve"> </w:t>
      </w:r>
      <w:r>
        <w:rPr>
          <w:iCs/>
          <w:i/>
        </w:rPr>
        <w:t xml:space="preserve">symmetric</w:t>
      </w:r>
      <w:r>
        <w:t xml:space="preserve"> </w:t>
      </w:r>
      <w:r>
        <w:t xml:space="preserve">stochastic block model (</w:t>
      </w:r>
      <w:r>
        <w:rPr>
          <w:rStyle w:val="VerbatimChar"/>
        </w:rPr>
        <w:t xml:space="preserve">SBM_sym</w:t>
      </w:r>
      <w:r>
        <w:t xml:space="preserve">) using the</w:t>
      </w:r>
      <w:r>
        <w:t xml:space="preserve"> </w:t>
      </w:r>
      <w:r>
        <w:rPr>
          <w:iCs/>
          <w:i/>
        </w:rPr>
        <w:t xml:space="preserve">weighted</w:t>
      </w:r>
      <w:r>
        <w:t xml:space="preserve"> </w:t>
      </w:r>
      <w:r>
        <w:t xml:space="preserve">Jaccard similarity adjacency matrix (threshold = 0.2), preserving edge strength rather than binarizing. This is appropriate because Jaccard similarity is symmetric and cultural connectivity is mutual. Fitting the model returns (i) the number of blocks that best fits the data, chosen by the Integrated Classification Likelihood (ICL; a penalised likelihood that trades fit against model complexity), and (ii) the posterior probability of membership in each block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105" name="Picture"/>
            <a:graphic>
              <a:graphicData uri="http://schemas.openxmlformats.org/drawingml/2006/picture">
                <pic:pic>
                  <pic:nvPicPr>
                    <pic:cNvPr descr="S1-supplement-sensitivity_files/figure-docx/s6-sbm-compute-1.png" id="106" name="Picture"/>
                    <pic:cNvPicPr>
                      <a:picLocks noChangeArrowheads="1" noChangeAspect="1"/>
                    </pic:cNvPicPr>
                  </pic:nvPicPr>
                  <pic:blipFill>
                    <a:blip r:embed="rId10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8" name="Picture"/>
            <a:graphic>
              <a:graphicData uri="http://schemas.openxmlformats.org/drawingml/2006/picture">
                <pic:pic>
                  <pic:nvPicPr>
                    <pic:cNvPr descr="S1-supplement-sensitivity_files/figure-docx/s6-sbm-compute-2.png" id="109" name="Picture"/>
                    <pic:cNvPicPr>
                      <a:picLocks noChangeArrowheads="1" noChangeAspect="1"/>
                    </pic:cNvPicPr>
                  </pic:nvPicPr>
                  <pic:blipFill>
                    <a:blip r:embed="rId10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1" name="Picture"/>
            <a:graphic>
              <a:graphicData uri="http://schemas.openxmlformats.org/drawingml/2006/picture">
                <pic:pic>
                  <pic:nvPicPr>
                    <pic:cNvPr descr="S1-supplement-sensitivity_files/figure-docx/s6-sbm-compute-3.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4" name="Picture"/>
            <a:graphic>
              <a:graphicData uri="http://schemas.openxmlformats.org/drawingml/2006/picture">
                <pic:pic>
                  <pic:nvPicPr>
                    <pic:cNvPr descr="S1-supplement-sensitivity_files/figure-docx/s6-sbm-compute-4.png" id="115" name="Picture"/>
                    <pic:cNvPicPr>
                      <a:picLocks noChangeArrowheads="1" noChangeAspect="1"/>
                    </pic:cNvPicPr>
                  </pic:nvPicPr>
                  <pic:blipFill>
                    <a:blip r:embed="rId113"/>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16" w:name="tbl-sbm-icl"/>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center"/>
                    <w:jc w:val="center"/>
                  </w:pPr>
                  <w:r>
                    <w:t xml:space="preserve">Best K</w:t>
                  </w:r>
                </w:p>
              </w:tc>
            </w:tr>
            <w:tr>
              <w:tc>
                <w:tcPr/>
                <w:p>
                  <w:pPr>
                    <w:pStyle w:val="Compact"/>
                    <w:jc w:val="left"/>
                    <w:jc w:val="center"/>
                  </w:pPr>
                  <w:r>
                    <w:t xml:space="preserve">Aur-P1</w:t>
                  </w:r>
                </w:p>
              </w:tc>
              <w:tc>
                <w:tcPr/>
                <w:p>
                  <w:pPr>
                    <w:pStyle w:val="Compact"/>
                    <w:jc w:val="center"/>
                    <w:jc w:val="center"/>
                  </w:pPr>
                  <w:r>
                    <w:t xml:space="preserve">-90.0</w:t>
                  </w:r>
                </w:p>
              </w:tc>
              <w:tc>
                <w:tcPr/>
                <w:p>
                  <w:pPr>
                    <w:pStyle w:val="Compact"/>
                    <w:jc w:val="center"/>
                    <w:jc w:val="center"/>
                  </w:pPr>
                  <w:r>
                    <w:t xml:space="preserve">-92.9</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center"/>
                    <w:jc w:val="center"/>
                  </w:pPr>
                  <w:r>
                    <w:t xml:space="preserve">-21.5</w:t>
                  </w:r>
                </w:p>
              </w:tc>
              <w:tc>
                <w:tcPr/>
                <w:p>
                  <w:pPr>
                    <w:pStyle w:val="Compact"/>
                    <w:jc w:val="center"/>
                    <w:jc w:val="center"/>
                  </w:pPr>
                  <w:r>
                    <w:t xml:space="preserve">-28.9</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1</w:t>
                  </w:r>
                </w:p>
              </w:tc>
            </w:tr>
          </w:tbl>
          <w:p>
            <w:pPr>
              <w:jc w:val="center"/>
            </w:pPr>
            <w:pPr>
              <w:jc w:val="start"/>
              <w:spacing w:before="200"/>
              <w:pStyle w:val="ImageCaption"/>
            </w:pPr>
            <w:r>
              <w:t xml:space="preserve">Table 19: Integrated Classification Likelihood (ICL) for stochastic block models with K = 1 to 5 blocks, by phase. The best-supported number of blocks (maximum ICL) is bolded. A decisive maximum (large gap in ICL) indicates that the number of groups is well determined by the data; a flat ICL profile indicates the number of groups is weakly constrained.</w:t>
            </w:r>
          </w:p>
          <w:bookmarkEnd w:id="11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17" w:name="tbl-sbm-membershi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left"/>
                    <w:jc w:val="center"/>
                  </w:pPr>
                  <w:r>
                    <w:t xml:space="preserve">P(B1)</w:t>
                  </w:r>
                </w:p>
              </w:tc>
            </w:tr>
            <w:tr>
              <w:tc>
                <w:tcPr/>
                <w:p>
                  <w:pPr>
                    <w:pStyle w:val="Compact"/>
                    <w:jc w:val="left"/>
                    <w:jc w:val="center"/>
                  </w:pPr>
                  <w:r>
                    <w:t xml:space="preserve">1…1</w:t>
                  </w:r>
                </w:p>
              </w:tc>
              <w:tc>
                <w:tcPr/>
                <w:p>
                  <w:pPr>
                    <w:pStyle w:val="Compact"/>
                    <w:jc w:val="left"/>
                    <w:jc w:val="center"/>
                  </w:pPr>
                  <w:r>
                    <w:t xml:space="preserve">Aur-P1</w:t>
                  </w:r>
                </w:p>
              </w:tc>
              <w:tc>
                <w:tcPr/>
                <w:p>
                  <w:pPr>
                    <w:pStyle w:val="Compact"/>
                    <w:jc w:val="left"/>
                    <w:jc w:val="center"/>
                  </w:pPr>
                  <w:r>
                    <w:t xml:space="preserve">1</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2…2</w:t>
                  </w:r>
                </w:p>
              </w:tc>
              <w:tc>
                <w:tcPr/>
                <w:p>
                  <w:pPr>
                    <w:pStyle w:val="Compact"/>
                    <w:jc w:val="left"/>
                    <w:jc w:val="center"/>
                  </w:pPr>
                  <w:r>
                    <w:t xml:space="preserve">Aur-P1</w:t>
                  </w:r>
                </w:p>
              </w:tc>
              <w:tc>
                <w:tcPr/>
                <w:p>
                  <w:pPr>
                    <w:pStyle w:val="Compact"/>
                    <w:jc w:val="left"/>
                    <w:jc w:val="center"/>
                  </w:pPr>
                  <w:r>
                    <w:t xml:space="preserve">2</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3…3</w:t>
                  </w:r>
                </w:p>
              </w:tc>
              <w:tc>
                <w:tcPr/>
                <w:p>
                  <w:pPr>
                    <w:pStyle w:val="Compact"/>
                    <w:jc w:val="left"/>
                    <w:jc w:val="center"/>
                  </w:pPr>
                  <w:r>
                    <w:t xml:space="preserve">Aur-P1</w:t>
                  </w:r>
                </w:p>
              </w:tc>
              <w:tc>
                <w:tcPr/>
                <w:p>
                  <w:pPr>
                    <w:pStyle w:val="Compact"/>
                    <w:jc w:val="left"/>
                    <w:jc w:val="center"/>
                  </w:pPr>
                  <w:r>
                    <w:t xml:space="preserve">3</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4…4</w:t>
                  </w:r>
                </w:p>
              </w:tc>
              <w:tc>
                <w:tcPr/>
                <w:p>
                  <w:pPr>
                    <w:pStyle w:val="Compact"/>
                    <w:jc w:val="left"/>
                    <w:jc w:val="center"/>
                  </w:pPr>
                  <w:r>
                    <w:t xml:space="preserve">Aur-P1</w:t>
                  </w:r>
                </w:p>
              </w:tc>
              <w:tc>
                <w:tcPr/>
                <w:p>
                  <w:pPr>
                    <w:pStyle w:val="Compact"/>
                    <w:jc w:val="left"/>
                    <w:jc w:val="center"/>
                  </w:pPr>
                  <w:r>
                    <w:t xml:space="preserve">4</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5…5</w:t>
                  </w:r>
                </w:p>
              </w:tc>
              <w:tc>
                <w:tcPr/>
                <w:p>
                  <w:pPr>
                    <w:pStyle w:val="Compact"/>
                    <w:jc w:val="left"/>
                    <w:jc w:val="center"/>
                  </w:pPr>
                  <w:r>
                    <w:t xml:space="preserve">Aur-P1</w:t>
                  </w:r>
                </w:p>
              </w:tc>
              <w:tc>
                <w:tcPr/>
                <w:p>
                  <w:pPr>
                    <w:pStyle w:val="Compact"/>
                    <w:jc w:val="left"/>
                    <w:jc w:val="center"/>
                  </w:pPr>
                  <w:r>
                    <w:t xml:space="preserve">5</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6…6</w:t>
                  </w:r>
                </w:p>
              </w:tc>
              <w:tc>
                <w:tcPr/>
                <w:p>
                  <w:pPr>
                    <w:pStyle w:val="Compact"/>
                    <w:jc w:val="left"/>
                    <w:jc w:val="center"/>
                  </w:pPr>
                  <w:r>
                    <w:t xml:space="preserve">Aur-P1</w:t>
                  </w:r>
                </w:p>
              </w:tc>
              <w:tc>
                <w:tcPr/>
                <w:p>
                  <w:pPr>
                    <w:pStyle w:val="Compact"/>
                    <w:jc w:val="left"/>
                    <w:jc w:val="center"/>
                  </w:pPr>
                  <w:r>
                    <w:t xml:space="preserve">6</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7…7</w:t>
                  </w:r>
                </w:p>
              </w:tc>
              <w:tc>
                <w:tcPr/>
                <w:p>
                  <w:pPr>
                    <w:pStyle w:val="Compact"/>
                    <w:jc w:val="left"/>
                    <w:jc w:val="center"/>
                  </w:pPr>
                  <w:r>
                    <w:t xml:space="preserve">Aur-P1</w:t>
                  </w:r>
                </w:p>
              </w:tc>
              <w:tc>
                <w:tcPr/>
                <w:p>
                  <w:pPr>
                    <w:pStyle w:val="Compact"/>
                    <w:jc w:val="left"/>
                    <w:jc w:val="center"/>
                  </w:pPr>
                  <w:r>
                    <w:t xml:space="preserve">7</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8…8</w:t>
                  </w:r>
                </w:p>
              </w:tc>
              <w:tc>
                <w:tcPr/>
                <w:p>
                  <w:pPr>
                    <w:pStyle w:val="Compact"/>
                    <w:jc w:val="left"/>
                    <w:jc w:val="center"/>
                  </w:pPr>
                  <w:r>
                    <w:t xml:space="preserve">Aur-P1</w:t>
                  </w:r>
                </w:p>
              </w:tc>
              <w:tc>
                <w:tcPr/>
                <w:p>
                  <w:pPr>
                    <w:pStyle w:val="Compact"/>
                    <w:jc w:val="left"/>
                    <w:jc w:val="center"/>
                  </w:pPr>
                  <w:r>
                    <w:t xml:space="preserve">8</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9…9</w:t>
                  </w:r>
                </w:p>
              </w:tc>
              <w:tc>
                <w:tcPr/>
                <w:p>
                  <w:pPr>
                    <w:pStyle w:val="Compact"/>
                    <w:jc w:val="left"/>
                    <w:jc w:val="center"/>
                  </w:pPr>
                  <w:r>
                    <w:t xml:space="preserve">Aur-P1</w:t>
                  </w:r>
                </w:p>
              </w:tc>
              <w:tc>
                <w:tcPr/>
                <w:p>
                  <w:pPr>
                    <w:pStyle w:val="Compact"/>
                    <w:jc w:val="left"/>
                    <w:jc w:val="center"/>
                  </w:pPr>
                  <w:r>
                    <w:t xml:space="preserve">9</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10</w:t>
                  </w:r>
                </w:p>
              </w:tc>
              <w:tc>
                <w:tcPr/>
                <w:p>
                  <w:pPr>
                    <w:pStyle w:val="Compact"/>
                    <w:jc w:val="left"/>
                    <w:jc w:val="center"/>
                  </w:pPr>
                  <w:r>
                    <w:t xml:space="preserve">Aur-P1</w:t>
                  </w:r>
                </w:p>
              </w:tc>
              <w:tc>
                <w:tcPr/>
                <w:p>
                  <w:pPr>
                    <w:pStyle w:val="Compact"/>
                    <w:jc w:val="left"/>
                    <w:jc w:val="center"/>
                  </w:pPr>
                  <w:r>
                    <w:t xml:space="preserve">10</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11</w:t>
                  </w:r>
                </w:p>
              </w:tc>
              <w:tc>
                <w:tcPr/>
                <w:p>
                  <w:pPr>
                    <w:pStyle w:val="Compact"/>
                    <w:jc w:val="left"/>
                    <w:jc w:val="center"/>
                  </w:pPr>
                  <w:r>
                    <w:t xml:space="preserve">Aur-P1</w:t>
                  </w:r>
                </w:p>
              </w:tc>
              <w:tc>
                <w:tcPr/>
                <w:p>
                  <w:pPr>
                    <w:pStyle w:val="Compact"/>
                    <w:jc w:val="left"/>
                    <w:jc w:val="center"/>
                  </w:pPr>
                  <w:r>
                    <w:t xml:space="preserve">11</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12</w:t>
                  </w:r>
                </w:p>
              </w:tc>
              <w:tc>
                <w:tcPr/>
                <w:p>
                  <w:pPr>
                    <w:pStyle w:val="Compact"/>
                    <w:jc w:val="left"/>
                    <w:jc w:val="center"/>
                  </w:pPr>
                  <w:r>
                    <w:t xml:space="preserve">Aur-P1</w:t>
                  </w:r>
                </w:p>
              </w:tc>
              <w:tc>
                <w:tcPr/>
                <w:p>
                  <w:pPr>
                    <w:pStyle w:val="Compact"/>
                    <w:jc w:val="left"/>
                    <w:jc w:val="center"/>
                  </w:pPr>
                  <w:r>
                    <w:t xml:space="preserve">12</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13</w:t>
                  </w:r>
                </w:p>
              </w:tc>
              <w:tc>
                <w:tcPr/>
                <w:p>
                  <w:pPr>
                    <w:pStyle w:val="Compact"/>
                    <w:jc w:val="left"/>
                    <w:jc w:val="center"/>
                  </w:pPr>
                  <w:r>
                    <w:t xml:space="preserve">Aur-P1</w:t>
                  </w:r>
                </w:p>
              </w:tc>
              <w:tc>
                <w:tcPr/>
                <w:p>
                  <w:pPr>
                    <w:pStyle w:val="Compact"/>
                    <w:jc w:val="left"/>
                    <w:jc w:val="center"/>
                  </w:pPr>
                  <w:r>
                    <w:t xml:space="preserve">13</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14</w:t>
                  </w:r>
                </w:p>
              </w:tc>
              <w:tc>
                <w:tcPr/>
                <w:p>
                  <w:pPr>
                    <w:pStyle w:val="Compact"/>
                    <w:jc w:val="left"/>
                    <w:jc w:val="center"/>
                  </w:pPr>
                  <w:r>
                    <w:t xml:space="preserve">Aur-P1</w:t>
                  </w:r>
                </w:p>
              </w:tc>
              <w:tc>
                <w:tcPr/>
                <w:p>
                  <w:pPr>
                    <w:pStyle w:val="Compact"/>
                    <w:jc w:val="left"/>
                    <w:jc w:val="center"/>
                  </w:pPr>
                  <w:r>
                    <w:t xml:space="preserve">14</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15</w:t>
                  </w:r>
                </w:p>
              </w:tc>
              <w:tc>
                <w:tcPr/>
                <w:p>
                  <w:pPr>
                    <w:pStyle w:val="Compact"/>
                    <w:jc w:val="left"/>
                    <w:jc w:val="center"/>
                  </w:pPr>
                  <w:r>
                    <w:t xml:space="preserve">Aur-P1</w:t>
                  </w:r>
                </w:p>
              </w:tc>
              <w:tc>
                <w:tcPr/>
                <w:p>
                  <w:pPr>
                    <w:pStyle w:val="Compact"/>
                    <w:jc w:val="left"/>
                    <w:jc w:val="center"/>
                  </w:pPr>
                  <w:r>
                    <w:t xml:space="preserve">15</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16</w:t>
                  </w:r>
                </w:p>
              </w:tc>
              <w:tc>
                <w:tcPr/>
                <w:p>
                  <w:pPr>
                    <w:pStyle w:val="Compact"/>
                    <w:jc w:val="left"/>
                    <w:jc w:val="center"/>
                  </w:pPr>
                  <w:r>
                    <w:t xml:space="preserve">Aur-P1</w:t>
                  </w:r>
                </w:p>
              </w:tc>
              <w:tc>
                <w:tcPr/>
                <w:p>
                  <w:pPr>
                    <w:pStyle w:val="Compact"/>
                    <w:jc w:val="left"/>
                    <w:jc w:val="center"/>
                  </w:pPr>
                  <w:r>
                    <w:t xml:space="preserve">16</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17</w:t>
                  </w:r>
                </w:p>
              </w:tc>
              <w:tc>
                <w:tcPr/>
                <w:p>
                  <w:pPr>
                    <w:pStyle w:val="Compact"/>
                    <w:jc w:val="left"/>
                    <w:jc w:val="center"/>
                  </w:pPr>
                  <w:r>
                    <w:t xml:space="preserve">Aur-P1</w:t>
                  </w:r>
                </w:p>
              </w:tc>
              <w:tc>
                <w:tcPr/>
                <w:p>
                  <w:pPr>
                    <w:pStyle w:val="Compact"/>
                    <w:jc w:val="left"/>
                    <w:jc w:val="center"/>
                  </w:pPr>
                  <w:r>
                    <w:t xml:space="preserve">17</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18</w:t>
                  </w:r>
                </w:p>
              </w:tc>
              <w:tc>
                <w:tcPr/>
                <w:p>
                  <w:pPr>
                    <w:pStyle w:val="Compact"/>
                    <w:jc w:val="left"/>
                    <w:jc w:val="center"/>
                  </w:pPr>
                  <w:r>
                    <w:t xml:space="preserve">Aur-P1</w:t>
                  </w:r>
                </w:p>
              </w:tc>
              <w:tc>
                <w:tcPr/>
                <w:p>
                  <w:pPr>
                    <w:pStyle w:val="Compact"/>
                    <w:jc w:val="left"/>
                    <w:jc w:val="center"/>
                  </w:pPr>
                  <w:r>
                    <w:t xml:space="preserve">18</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19</w:t>
                  </w:r>
                </w:p>
              </w:tc>
              <w:tc>
                <w:tcPr/>
                <w:p>
                  <w:pPr>
                    <w:pStyle w:val="Compact"/>
                    <w:jc w:val="left"/>
                    <w:jc w:val="center"/>
                  </w:pPr>
                  <w:r>
                    <w:t xml:space="preserve">Aur-P1</w:t>
                  </w:r>
                </w:p>
              </w:tc>
              <w:tc>
                <w:tcPr/>
                <w:p>
                  <w:pPr>
                    <w:pStyle w:val="Compact"/>
                    <w:jc w:val="left"/>
                    <w:jc w:val="center"/>
                  </w:pPr>
                  <w:r>
                    <w:t xml:space="preserve">19</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20</w:t>
                  </w:r>
                </w:p>
              </w:tc>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1…21</w:t>
                  </w:r>
                </w:p>
              </w:tc>
              <w:tc>
                <w:tcPr/>
                <w:p>
                  <w:pPr>
                    <w:pStyle w:val="Compact"/>
                    <w:jc w:val="left"/>
                    <w:jc w:val="center"/>
                  </w:pPr>
                  <w:r>
                    <w:t xml:space="preserve">Aur-P2</w:t>
                  </w:r>
                </w:p>
              </w:tc>
              <w:tc>
                <w:tcPr/>
                <w:p>
                  <w:pPr>
                    <w:pStyle w:val="Compact"/>
                    <w:jc w:val="left"/>
                    <w:jc w:val="center"/>
                  </w:pPr>
                  <w:r>
                    <w:t xml:space="preserve">1</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2…22</w:t>
                  </w:r>
                </w:p>
              </w:tc>
              <w:tc>
                <w:tcPr/>
                <w:p>
                  <w:pPr>
                    <w:pStyle w:val="Compact"/>
                    <w:jc w:val="left"/>
                    <w:jc w:val="center"/>
                  </w:pPr>
                  <w:r>
                    <w:t xml:space="preserve">Aur-P2</w:t>
                  </w:r>
                </w:p>
              </w:tc>
              <w:tc>
                <w:tcPr/>
                <w:p>
                  <w:pPr>
                    <w:pStyle w:val="Compact"/>
                    <w:jc w:val="left"/>
                    <w:jc w:val="center"/>
                  </w:pPr>
                  <w:r>
                    <w:t xml:space="preserve">2</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3…23</w:t>
                  </w:r>
                </w:p>
              </w:tc>
              <w:tc>
                <w:tcPr/>
                <w:p>
                  <w:pPr>
                    <w:pStyle w:val="Compact"/>
                    <w:jc w:val="left"/>
                    <w:jc w:val="center"/>
                  </w:pPr>
                  <w:r>
                    <w:t xml:space="preserve">Aur-P2</w:t>
                  </w:r>
                </w:p>
              </w:tc>
              <w:tc>
                <w:tcPr/>
                <w:p>
                  <w:pPr>
                    <w:pStyle w:val="Compact"/>
                    <w:jc w:val="left"/>
                    <w:jc w:val="center"/>
                  </w:pPr>
                  <w:r>
                    <w:t xml:space="preserve">3</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4…24</w:t>
                  </w:r>
                </w:p>
              </w:tc>
              <w:tc>
                <w:tcPr/>
                <w:p>
                  <w:pPr>
                    <w:pStyle w:val="Compact"/>
                    <w:jc w:val="left"/>
                    <w:jc w:val="center"/>
                  </w:pPr>
                  <w:r>
                    <w:t xml:space="preserve">Aur-P2</w:t>
                  </w:r>
                </w:p>
              </w:tc>
              <w:tc>
                <w:tcPr/>
                <w:p>
                  <w:pPr>
                    <w:pStyle w:val="Compact"/>
                    <w:jc w:val="left"/>
                    <w:jc w:val="center"/>
                  </w:pPr>
                  <w:r>
                    <w:t xml:space="preserve">4</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5…25</w:t>
                  </w:r>
                </w:p>
              </w:tc>
              <w:tc>
                <w:tcPr/>
                <w:p>
                  <w:pPr>
                    <w:pStyle w:val="Compact"/>
                    <w:jc w:val="left"/>
                    <w:jc w:val="center"/>
                  </w:pPr>
                  <w:r>
                    <w:t xml:space="preserve">Aur-P2</w:t>
                  </w:r>
                </w:p>
              </w:tc>
              <w:tc>
                <w:tcPr/>
                <w:p>
                  <w:pPr>
                    <w:pStyle w:val="Compact"/>
                    <w:jc w:val="left"/>
                    <w:jc w:val="center"/>
                  </w:pPr>
                  <w:r>
                    <w:t xml:space="preserve">5</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6…26</w:t>
                  </w:r>
                </w:p>
              </w:tc>
              <w:tc>
                <w:tcPr/>
                <w:p>
                  <w:pPr>
                    <w:pStyle w:val="Compact"/>
                    <w:jc w:val="left"/>
                    <w:jc w:val="center"/>
                  </w:pPr>
                  <w:r>
                    <w:t xml:space="preserve">Aur-P2</w:t>
                  </w:r>
                </w:p>
              </w:tc>
              <w:tc>
                <w:tcPr/>
                <w:p>
                  <w:pPr>
                    <w:pStyle w:val="Compact"/>
                    <w:jc w:val="left"/>
                    <w:jc w:val="center"/>
                  </w:pPr>
                  <w:r>
                    <w:t xml:space="preserve">6</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7…27</w:t>
                  </w:r>
                </w:p>
              </w:tc>
              <w:tc>
                <w:tcPr/>
                <w:p>
                  <w:pPr>
                    <w:pStyle w:val="Compact"/>
                    <w:jc w:val="left"/>
                    <w:jc w:val="center"/>
                  </w:pPr>
                  <w:r>
                    <w:t xml:space="preserve">Aur-P2</w:t>
                  </w:r>
                </w:p>
              </w:tc>
              <w:tc>
                <w:tcPr/>
                <w:p>
                  <w:pPr>
                    <w:pStyle w:val="Compact"/>
                    <w:jc w:val="left"/>
                    <w:jc w:val="center"/>
                  </w:pPr>
                  <w:r>
                    <w:t xml:space="preserve">7</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8…28</w:t>
                  </w:r>
                </w:p>
              </w:tc>
              <w:tc>
                <w:tcPr/>
                <w:p>
                  <w:pPr>
                    <w:pStyle w:val="Compact"/>
                    <w:jc w:val="left"/>
                    <w:jc w:val="center"/>
                  </w:pPr>
                  <w:r>
                    <w:t xml:space="preserve">Aur-P2</w:t>
                  </w:r>
                </w:p>
              </w:tc>
              <w:tc>
                <w:tcPr/>
                <w:p>
                  <w:pPr>
                    <w:pStyle w:val="Compact"/>
                    <w:jc w:val="left"/>
                    <w:jc w:val="center"/>
                  </w:pPr>
                  <w:r>
                    <w:t xml:space="preserve">8</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9…29</w:t>
                  </w:r>
                </w:p>
              </w:tc>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w:t>
                  </w:r>
                </w:p>
              </w:tc>
              <w:tc>
                <w:tcPr/>
                <w:p>
                  <w:pPr>
                    <w:pStyle w:val="Compact"/>
                    <w:jc w:val="left"/>
                    <w:jc w:val="center"/>
                  </w:pPr>
                  <w:r>
                    <w:t xml:space="preserve">1</w:t>
                  </w:r>
                </w:p>
              </w:tc>
            </w:tr>
          </w:tbl>
          <w:p>
            <w:pPr>
              <w:jc w:val="center"/>
            </w:pPr>
            <w:pPr>
              <w:jc w:val="start"/>
              <w:spacing w:before="200"/>
              <w:pStyle w:val="ImageCaption"/>
            </w:pPr>
            <w:r>
              <w:t xml:space="preserve">Table 20: Posterior block-membership probabilities and modal (hard) assignment from the best-fitting stochastic block model for each phase. Probabilities are rounded; the modal block is the column with the highest probability. Sites with probability spread across blocks (e.g. no entry above 0.7) have ambiguous membership.</w:t>
            </w:r>
          </w:p>
          <w:bookmarkEnd w:id="117"/>
        </w:tc>
      </w:tr>
    </w:tbl>
    <w:bookmarkEnd w:id="118"/>
    <w:bookmarkStart w:id="119" w:name="interpretation-2"/>
    <w:p>
      <w:pPr>
        <w:pStyle w:val="Heading3"/>
      </w:pPr>
      <w:r>
        <w:t xml:space="preserve">Interpretation</w:t>
      </w:r>
    </w:p>
    <w:p>
      <w:pPr>
        <w:pStyle w:val="FirstParagraph"/>
      </w:pPr>
      <w:r>
        <w:t xml:space="preserve">The ICL model-selection results (</w:t>
      </w:r>
      <w:hyperlink w:anchor="tbl-sbm-icl">
        <w:r>
          <w:rPr>
            <w:rStyle w:val="Hyperlink"/>
          </w:rPr>
          <w:t xml:space="preserve">Table 19</w:t>
        </w:r>
      </w:hyperlink>
      <w:r>
        <w:t xml:space="preserve">) report the number of blocks best supported by the sign-sharing network in each phase, providing a model-based counterpart to the seriation. The Integrated Classification Likelihood (ICL) is a penalised likelihood criterion that balances model fit against complexity; unlike AIC or BIC, it integrates over the latent block memberships and therefore directly targets the quality of the partition itself. In</w:t>
      </w:r>
      <w:r>
        <w:t xml:space="preserve"> </w:t>
      </w:r>
      <w:r>
        <w:rPr>
          <w:bCs/>
          <w:b/>
        </w:rPr>
        <w:t xml:space="preserve">Aur-P1</w:t>
      </w:r>
      <w:r>
        <w:t xml:space="preserve"> </w:t>
      </w:r>
      <w:r>
        <w:t xml:space="preserve">the best-supported model contains 1 block (ICL = -89.99), while the two-block solution scores -92.90 and the three-block solution NA. The ICL gap between the best and second-best model is 2.91, indicating that the one-block model is preferred but the preference is modest—the data do not strongly discriminate among one, two, or three blocks. In</w:t>
      </w:r>
      <w:r>
        <w:t xml:space="preserve"> </w:t>
      </w:r>
      <w:r>
        <w:rPr>
          <w:bCs/>
          <w:b/>
        </w:rPr>
        <w:t xml:space="preserve">Aur-P2</w:t>
      </w:r>
      <w:r>
        <w:t xml:space="preserve"> </w:t>
      </w:r>
      <w:r>
        <w:t xml:space="preserve">the ICL profile is similarly flat: the one-block model scores -21.53, the two-block model -28.90, and the gap is only 7.37. In both phases the sparse sign-sharing networks (Aur-P1: 20 sites, 20 edges at threshold 0.2; Aur-P2: 9 sites, 9 edges) lack the information to decisively support any block structure beyond a single group. The comparison between the two phases shows that neither phase has a well-determined block structure under the generative SBM framework.</w:t>
      </w:r>
    </w:p>
    <w:p>
      <w:pPr>
        <w:pStyle w:val="BodyText"/>
      </w:pPr>
      <w:r>
        <w:t xml:space="preserve">The membership table (</w:t>
      </w:r>
      <w:hyperlink w:anchor="tbl-sbm-membership">
        <w:r>
          <w:rPr>
            <w:rStyle w:val="Hyperlink"/>
          </w:rPr>
          <w:t xml:space="preserve">Table 20</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every site is assigned to that sole block with posterior probability 1.0. The informative quantity is therefore not the partition (which is trivial) but the fact that the generative model finds no evidence for multiple blocks in either phase. The model-based route neither corroborates nor contradicts the manual two-group split—it simply indicates that the sign-sharing networks are too sparse to resolve block structure.</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w:t>
      </w:r>
    </w:p>
    <w:p>
      <w:pPr>
        <w:pStyle w:val="BodyText"/>
      </w:pPr>
      <w:r>
        <w:t xml:space="preserve">The SBM results must be interpreted alongside the bootstrap consensus (S6.2) and Louvain community detection (S5.1),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(S5.1)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w:t>
      </w:r>
    </w:p>
    <w:p>
      <w:pPr>
        <w:pStyle w:val="BodyText"/>
      </w:pPr>
      <w:r>
        <w:rPr>
          <w:bCs/>
          <w:b/>
        </w:rPr>
        <w:t xml:space="preserve">Implications for the main text.</w:t>
      </w:r>
      <w:r>
        <w:t xml:space="preserve"> </w:t>
      </w:r>
      <w:r>
        <w:t xml:space="preserve">The SBM selects a single block in both phases, so the two-group structure is not independently recovered by the generative model.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Aur-P2 results are qualified by the small sample size (9 sites, sparse edges)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w:t>
      </w:r>
    </w:p>
    <w:bookmarkEnd w:id="119"/>
    <w:bookmarkEnd w:id="120"/>
    <w:bookmarkStart w:id="124" w:name="sec-s6-4"/>
    <w:p>
      <w:pPr>
        <w:pStyle w:val="Heading2"/>
      </w:pPr>
      <w:r>
        <w:t xml:space="preserve">S6.4 Cross-Validation of Group Assignments (ARI)</w:t>
      </w:r>
    </w:p>
    <w:bookmarkStart w:id="122" w:name="rationale-6"/>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121"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1.00</w:t>
                  </w:r>
                </w:p>
              </w:tc>
              <w:tc>
                <w:tcPr/>
                <w:p>
                  <w:pPr>
                    <w:pStyle w:val="Compact"/>
                    <w:jc w:val="center"/>
                    <w:jc w:val="center"/>
                  </w:pPr>
                  <w:r>
                    <w:t xml:space="preserve">NA</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NA</w:t>
                  </w:r>
                </w:p>
              </w:tc>
              <w:tc>
                <w:tcPr/>
                <w:p>
                  <w:pPr>
                    <w:pStyle w:val="Compact"/>
                    <w:jc w:val="center"/>
                    <w:jc w:val="center"/>
                  </w:pPr>
                  <w:r>
                    <w:t xml:space="preserve">NA</w:t>
                  </w:r>
                </w:p>
              </w:tc>
            </w:tr>
          </w:tbl>
          <w:p>
            <w:pPr>
              <w:jc w:val="center"/>
            </w:pPr>
            <w:pPr>
              <w:jc w:val="start"/>
              <w:spacing w:before="200"/>
              <w:pStyle w:val="ImageCaption"/>
            </w:pPr>
            <w:r>
              <w:t xml:space="preserve">Table 21: Adjusted Rand Index between the main-text manual restricted/broad assignment, the bootstrap modal blocks (S6.2), and the SBM modal assignments (S6.3), by phase.</w:t>
            </w:r>
          </w:p>
          <w:bookmarkEnd w:id="121"/>
        </w:tc>
      </w:tr>
    </w:tbl>
    <w:bookmarkEnd w:id="122"/>
    <w:bookmarkStart w:id="123" w:name="interpretation-3"/>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21</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1 in Aur-P1 and 0.22 in Aur-P2 (</w:t>
      </w:r>
      <w:hyperlink w:anchor="tbl-s6-ari">
        <w:r>
          <w:rPr>
            <w:rStyle w:val="Hyperlink"/>
          </w:rPr>
          <w:t xml:space="preserve">Table 21</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SBM columns are undefined because the stochastic block model selects a single block in both phases (S6.3); the SBM therefore provides no two-group ARI, and its result that the sign-sharing networks are too sparse to support more than one block is consistent with the bootstrap finding that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hyperlink w:anchor="sec-s6-6">
        <w:r>
          <w:rPr>
            <w:rStyle w:val="Hyperlink"/>
          </w:rPr>
          <w:t xml:space="preserve">Section 7</w:t>
        </w:r>
      </w:hyperlink>
      <w:r>
        <w:t xml:space="preserve">.</w:t>
      </w:r>
    </w:p>
    <w:bookmarkEnd w:id="123"/>
    <w:bookmarkEnd w:id="124"/>
    <w:bookmarkStart w:id="125"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5</w:t>
        </w:r>
      </w:hyperlink>
      <w:r>
        <w:t xml:space="preserve">,</w:t>
      </w:r>
      <w:r>
        <w:t xml:space="preserve"> </w:t>
      </w:r>
      <w:hyperlink w:anchor="tbl-bootstrap-summary">
        <w:r>
          <w:rPr>
            <w:rStyle w:val="Hyperlink"/>
          </w:rPr>
          <w:t xml:space="preserve">Table 17</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20</w:t>
        </w:r>
      </w:hyperlink>
      <w:r>
        <w:t xml:space="preserve">) and reports the number of blocks best supported by the sign-sharing network in each phase (</w:t>
      </w:r>
      <w:hyperlink w:anchor="tbl-sbm-icl">
        <w:r>
          <w:rPr>
            <w:rStyle w:val="Hyperlink"/>
          </w:rPr>
          <w:t xml:space="preserve">Table 19</w:t>
        </w:r>
      </w:hyperlink>
      <w:r>
        <w:t xml:space="preserve">). The SBM selects a single block in both Aur-P1 and Aur-P2, indicating that the sparse sign-sharing networks do not provide sufficient evidence for a multi-block generative model—this is a null result for block structure, not a contradiction of the two-group contrast.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21</w:t>
        </w:r>
      </w:hyperlink>
      <w:r>
        <w:t xml:space="preserve">). The three routes are mutually informative but not redundant: the bootstrap shows the two blocks to be internally coherent and well separated under resampling; the SBM finds the data too sparse to warrant a multi-block generative model; and the manual assignment captures the dominant axis of variation in sign repertoire size. The circularity of the main-text PerMANOVA itself is addressed separately in</w:t>
      </w:r>
      <w:r>
        <w:t xml:space="preserve"> </w:t>
      </w:r>
      <w:hyperlink w:anchor="sec-s6-6">
        <w:r>
          <w:rPr>
            <w:rStyle w:val="Hyperlink"/>
          </w:rPr>
          <w:t xml:space="preserve">Section 7</w:t>
        </w:r>
      </w:hyperlink>
      <w:r>
        <w:t xml:space="preserve">, which validates the grouping on withheld data rather than on the data used to define it.</w:t>
      </w:r>
    </w:p>
    <w:bookmarkEnd w:id="125"/>
    <w:bookmarkEnd w:id="126"/>
    <w:bookmarkStart w:id="130" w:name="sec-s6-6"/>
    <w:p>
      <w:pPr>
        <w:pStyle w:val="Heading1"/>
      </w:pPr>
      <w:r>
        <w:t xml:space="preserve">S6.6 Circularity-Breaking Validation of the Restricted/Broad Group Difference</w:t>
      </w:r>
    </w:p>
    <w:bookmarkStart w:id="129" w:name="rationale-7"/>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(S5, S6) also operate on that same underlying dataset, so they do not remove the circularity either. To address this directly we implement three complementary methods that break the circularity, each following a distinct validation strategy:</w:t>
      </w:r>
    </w:p>
    <w:p>
      <w:pPr>
        <w:numPr>
          <w:ilvl w:val="0"/>
          <w:numId w:val="1005"/>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5"/>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5"/>
        </w:numPr>
        <w:pStyle w:val="Compact"/>
      </w:pPr>
      <w:r>
        <w:rPr>
          <w:bCs/>
          <w:b/>
        </w:rPr>
        <w:t xml:space="preserve">(C) Group-free gradient PerMANOVA:</w:t>
      </w:r>
      <w:r>
        <w:t xml:space="preserve"> </w:t>
      </w:r>
      <w:r>
        <w:t xml:space="preserve">instead of asserting discrete groups, sign composition is regressed on a continuous ordination axis, testing for a gradient rather than a partition.</w:t>
      </w:r>
    </w:p>
    <w:p>
      <w:pPr>
        <w:pStyle w:val="FirstParagraph"/>
      </w:pPr>
      <w:r>
        <w:t xml:space="preserve">All three are exploratory companions to, not replacements for, the main-text PerMANOVA, which we present as descriptive rather than confirmatory.</w:t>
      </w:r>
    </w:p>
    <w:tbl>
      <w:tblPr>
        <w:tblStyle w:val="Table"/>
        <w:tblW w:type="pct" w:w="5000"/>
        <w:tblLook w:firstRow="0" w:lastRow="0" w:firstColumn="0" w:lastColumn="0" w:noHBand="0" w:noVBand="0" w:val="0000"/>
        <w:jc w:val="start"/>
        <w:tblLayout w:type="fixed"/>
      </w:tblPr>
      <w:tblGrid>
        <w:gridCol w:w="7920"/>
      </w:tblGrid>
      <w:tr>
        <w:tc>
          <w:tcPr/>
          <w:bookmarkStart w:id="127" w:name="tbl-s6-6-summary"/>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0.352</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1</w:t>
                  </w:r>
                </w:p>
              </w:tc>
            </w:tr>
            <w:tr>
              <w:tc>
                <w:tcPr/>
                <w:p>
                  <w:pPr>
                    <w:pStyle w:val="Compact"/>
                    <w:jc w:val="left"/>
                    <w:jc w:val="center"/>
                  </w:pPr>
                  <w:r>
                    <w:t xml:space="preserve">B: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 Object-half holdout (P1)</w:t>
                  </w:r>
                </w:p>
              </w:tc>
              <w:tc>
                <w:tcPr/>
                <w:p>
                  <w:pPr>
                    <w:pStyle w:val="Compact"/>
                    <w:jc w:val="left"/>
                    <w:jc w:val="center"/>
                  </w:pPr>
                  <w:r>
                    <w:t xml:space="preserve">50% splits sig</w:t>
                  </w:r>
                </w:p>
              </w:tc>
              <w:tc>
                <w:tcPr/>
                <w:p>
                  <w:pPr>
                    <w:pStyle w:val="Compact"/>
                    <w:jc w:val="center"/>
                    <w:jc w:val="center"/>
                  </w:pPr>
                  <w:r>
                    <w:t xml:space="preserve">&lt;2e-16</w:t>
                  </w:r>
                </w:p>
              </w:tc>
            </w:tr>
            <w:tr>
              <w:tc>
                <w:tcPr/>
                <w:p>
                  <w:pPr>
                    <w:pStyle w:val="Compact"/>
                    <w:jc w:val="left"/>
                    <w:jc w:val="center"/>
                  </w:pPr>
                  <w:r>
                    <w:t xml:space="preserve">B: Object-half holdout (P2)</w:t>
                  </w:r>
                </w:p>
              </w:tc>
              <w:tc>
                <w:tcPr/>
                <w:p>
                  <w:pPr>
                    <w:pStyle w:val="Compact"/>
                    <w:jc w:val="left"/>
                    <w:jc w:val="center"/>
                  </w:pPr>
                  <w:r>
                    <w:t xml:space="preserve">0% splits sig</w:t>
                  </w:r>
                </w:p>
              </w:tc>
              <w:tc>
                <w:tcPr/>
                <w:p>
                  <w:pPr>
                    <w:pStyle w:val="Compact"/>
                    <w:jc w:val="center"/>
                    <w:jc w:val="center"/>
                  </w:pPr>
                  <w:r>
                    <w:t xml:space="preserve">6.58e-10</w:t>
                  </w:r>
                </w:p>
              </w:tc>
            </w:tr>
            <w:tr>
              <w:tc>
                <w:tcPr/>
                <w:p>
                  <w:pPr>
                    <w:pStyle w:val="Compact"/>
                    <w:jc w:val="left"/>
                    <w:jc w:val="center"/>
                  </w:pPr>
                  <w:r>
                    <w:t xml:space="preserve">C: Gradient PerMANOVA (P1)</w:t>
                  </w:r>
                </w:p>
              </w:tc>
              <w:tc>
                <w:tcPr/>
                <w:p>
                  <w:pPr>
                    <w:pStyle w:val="Compact"/>
                    <w:jc w:val="left"/>
                    <w:jc w:val="center"/>
                  </w:pPr>
                  <w:r>
                    <w:t xml:space="preserve">R2 = 0.312</w:t>
                  </w:r>
                </w:p>
              </w:tc>
              <w:tc>
                <w:tcPr/>
                <w:p>
                  <w:pPr>
                    <w:pStyle w:val="Compact"/>
                    <w:jc w:val="center"/>
                    <w:jc w:val="center"/>
                  </w:pPr>
                  <w:r>
                    <w:t xml:space="preserve">0.001</w:t>
                  </w:r>
                </w:p>
              </w:tc>
            </w:tr>
            <w:tr>
              <w:tc>
                <w:tcPr/>
                <w:p>
                  <w:pPr>
                    <w:pStyle w:val="Compact"/>
                    <w:jc w:val="left"/>
                    <w:jc w:val="center"/>
                  </w:pPr>
                  <w:r>
                    <w:t xml:space="preserve">C: Gradient PerMANOVA (P2)</w:t>
                  </w:r>
                </w:p>
              </w:tc>
              <w:tc>
                <w:tcPr/>
                <w:p>
                  <w:pPr>
                    <w:pStyle w:val="Compact"/>
                    <w:jc w:val="left"/>
                    <w:jc w:val="center"/>
                  </w:pPr>
                  <w:r>
                    <w:t xml:space="preserve">R2 = 0.439</w:t>
                  </w:r>
                </w:p>
              </w:tc>
              <w:tc>
                <w:tcPr/>
                <w:p>
                  <w:pPr>
                    <w:pStyle w:val="Compact"/>
                    <w:jc w:val="center"/>
                    <w:jc w:val="center"/>
                  </w:pPr>
                  <w:r>
                    <w:t xml:space="preserve">0.001</w:t>
                  </w:r>
                </w:p>
              </w:tc>
            </w:tr>
          </w:tbl>
          <w:p>
            <w:pPr>
              <w:jc w:val="center"/>
            </w:pPr>
            <w:pPr>
              <w:jc w:val="start"/>
              <w:spacing w:before="200"/>
              <w:pStyle w:val="ImageCaption"/>
            </w:pPr>
            <w:r>
              <w:t xml:space="preserve">Table 22: Circularity-breaking validation of the restricted/broad group difference. Method A re-derives the optimal two-group split from randomised data in every permutation (observed optimal pseudo-F vs. its null). Method B validates the grouping on withheld data: site-level leave-one-out k-NN classification accuracy (with permutation p-value) and object-level holdout where groups are defined from one random half of each site’s objects and tested on the other half (Fisher-combined p across 100 random splits). Method C is a group-free continuous gradient PerMANOVA on the first PCoA axis. A significant result indicates the group structure is recoverable from data not used to define it.</w:t>
            </w:r>
          </w:p>
          <w:bookmarkEnd w:id="127"/>
        </w:tc>
      </w:tr>
    </w:tbl>
    <w:bookmarkStart w:id="128" w:name="interpretation-4"/>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w:t>
      </w:r>
      <w:r>
        <w:t xml:space="preserve"> </w:t>
      </w:r>
      <w:r>
        <w:t xml:space="preserve">-</w:t>
      </w:r>
      <w:r>
        <w:t xml:space="preserve"> </w:t>
      </w:r>
      <w:r>
        <w:rPr>
          <w:iCs/>
          <w:i/>
        </w:rPr>
        <w:t xml:space="preserve">Answer:</w:t>
      </w:r>
      <w:r>
        <w:t xml:space="preserve"> </w:t>
      </w:r>
      <w:r>
        <w:t xml:space="preserve">No. The observed optimal split is</w:t>
      </w:r>
      <w:r>
        <w:t xml:space="preserve"> </w:t>
      </w:r>
      <w:r>
        <w:rPr>
          <w:bCs/>
          <w:b/>
        </w:rPr>
        <w:t xml:space="preserve">not</w:t>
      </w:r>
      <w:r>
        <w:t xml:space="preserve"> </w:t>
      </w:r>
      <w:r>
        <w:t xml:space="preserve">significant (Aur-P1 observed optimal pseudo-F = 5.25, permutation p = 0.352; Aur-P2 observed optimal pseudo-F = 2.2, permutation p = 1). This is consistent with, not contradictory to, the conclusions from strategies B and C below: because B and C independently show the contrast is recoverable from withheld data, the non-significance of A is best read as evidence against a</w:t>
      </w:r>
      <w:r>
        <w:t xml:space="preserve"> </w:t>
      </w:r>
      <w:r>
        <w:rPr>
          <w:iCs/>
          <w:i/>
        </w:rPr>
        <w:t xml:space="preserve">sharp discontinuous partition</w:t>
      </w:r>
      <w:r>
        <w:t xml:space="preserve"> </w:t>
      </w:r>
      <w:r>
        <w:t xml:space="preserve">rather than against the contrast existing. The restricted/broad contrast is therefore a real, recoverable</w:t>
      </w:r>
      <w:r>
        <w:t xml:space="preserve"> </w:t>
      </w:r>
      <w:r>
        <w:rPr>
          <w:iCs/>
          <w:i/>
        </w:rPr>
        <w:t xml:space="preserve">gradient/axis of variation</w:t>
      </w:r>
      <w:r>
        <w:t xml:space="preserve">, but it is not a sharp partition that survives the most stringent</w:t>
      </w:r>
      <w:r>
        <w:t xml:space="preserve"> </w:t>
      </w:r>
      <w:r>
        <w:t xml:space="preserve">“</w:t>
      </w:r>
      <w:r>
        <w:t xml:space="preserve">optimisation-accounted-for</w:t>
      </w:r>
      <w:r>
        <w:t xml:space="preserve">”</w:t>
      </w:r>
      <w:r>
        <w:t xml:space="preserve"> </w:t>
      </w:r>
      <w:r>
        <w:t xml:space="preserve">null.</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w:t>
      </w:r>
      <w:r>
        <w:t xml:space="preserve"> </w:t>
      </w:r>
      <w:r>
        <w:t xml:space="preserve">Can a held-out site’s restricted/broad label be predicted from a classifier trained only on the other sites?</w:t>
      </w:r>
      <w:r>
        <w:t xml:space="preserve"> </w:t>
      </w:r>
      <w:r>
        <w:t xml:space="preserve">-</w:t>
      </w:r>
      <w:r>
        <w:t xml:space="preserve"> </w:t>
      </w:r>
      <w:r>
        <w:rPr>
          <w:iCs/>
          <w:i/>
        </w:rPr>
        <w:t xml:space="preserve">Answer:</w:t>
      </w:r>
      <w:r>
        <w:t xml:space="preserve"> </w:t>
      </w:r>
      <w:r>
        <w:t xml:space="preserve">Yes. Leave-one-site-out classification recovers the manual label for 100% of Aur-P1 sites (95% CI 0.83–1, permutation p = 0.001) and 89% of Aur-P2 sites (permutation p = 0.028). A site’s group is therefore predictable from a classifier trained on the</w:t>
      </w:r>
      <w:r>
        <w:t xml:space="preserve"> </w:t>
      </w:r>
      <w:r>
        <w:rPr>
          <w:iCs/>
          <w:i/>
        </w:rPr>
        <w:t xml:space="preserve">other</w:t>
      </w:r>
      <w:r>
        <w:t xml:space="preserve"> </w:t>
      </w:r>
      <w:r>
        <w:t xml:space="preserve">sites, so the assignment is not an artefact of fitting all sites simultaneously.</w:t>
      </w:r>
      <w:r>
        <w:t xml:space="preserve"> </w:t>
      </w:r>
      <w:r>
        <w:t xml:space="preserve">-</w:t>
      </w:r>
      <w:r>
        <w:t xml:space="preserve"> </w:t>
      </w:r>
      <w:r>
        <w:rPr>
          <w:iCs/>
          <w:i/>
        </w:rPr>
        <w:t xml:space="preserve">Object level (B-ii):</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w:t>
      </w:r>
      <w:r>
        <w:t xml:space="preserve"> </w:t>
      </w:r>
      <w:r>
        <w:t xml:space="preserve">-</w:t>
      </w:r>
      <w:r>
        <w:t xml:space="preserve"> </w:t>
      </w:r>
      <w:r>
        <w:rPr>
          <w:iCs/>
          <w:i/>
        </w:rPr>
        <w:t xml:space="preserve">Answer:</w:t>
      </w:r>
      <w:r>
        <w:t xml:space="preserve"> </w:t>
      </w:r>
      <w:r>
        <w:t xml:space="preserve">Yes for Aur-P1: the held-out PerMANOVA is significant in the large majority of random splits (50% of 100; Fisher-combined p = &lt;2e-16), using 16 of 20 sites that have enough objects for splitting. For Aur-P2 the combined evidence is likewise significant (Fisher-combined p = 6.6e-10), although only 5 of 9 Aur-P2 sites have two or more objects, so each individual split has low power (few splits clear p &lt; 0.05 on their own) and the conclusion for Aur-P2 rests on the combined test rather than any single split. This shows the grouping is stable across</w:t>
      </w:r>
      <w:r>
        <w:t xml:space="preserve"> </w:t>
      </w:r>
      <w:r>
        <w:rPr>
          <w:iCs/>
          <w:i/>
        </w:rPr>
        <w:t xml:space="preserve">disjoint sets of objects</w:t>
      </w:r>
      <w:r>
        <w:t xml:space="preserve">, which the original PerMANOVA, using every object to both define and test the groups, could not establish.</w:t>
      </w:r>
    </w:p>
    <w:p>
      <w:pPr>
        <w:pStyle w:val="BodyText"/>
      </w:pPr>
      <w:r>
        <w:rPr>
          <w:bCs/>
          <w:b/>
        </w:rPr>
        <w:t xml:space="preserve">Question 3 (strategy C):</w:t>
      </w:r>
      <w:r>
        <w:t xml:space="preserve"> </w:t>
      </w:r>
      <w:r>
        <w:t xml:space="preserve">If we abandon the discrete two-group partition entirely and instead ask whether sign composition varies continuously along the main compositional axis, is that gradient significant?</w:t>
      </w:r>
      <w:r>
        <w:t xml:space="preserve"> </w:t>
      </w:r>
      <w:r>
        <w:t xml:space="preserve">-</w:t>
      </w:r>
      <w:r>
        <w:t xml:space="preserve"> </w:t>
      </w:r>
      <w:r>
        <w:rPr>
          <w:iCs/>
          <w:i/>
        </w:rPr>
        <w:t xml:space="preserve">Answer:</w:t>
      </w:r>
      <w:r>
        <w:t xml:space="preserve"> </w:t>
      </w:r>
      <w:r>
        <w:t xml:space="preserve">Yes. A group-free gradient PerMANOVA regressing sign composition on the continuous first ordination axis is significant in both phases (Aur-P1: R² = 0.312, p = 0.001; Aur-P2: R² = 0.439, p = 0.001). Even without asserting discrete groups, a compositional gradient explains a significant fraction of the variation.</w:t>
      </w:r>
    </w:p>
    <w:p>
      <w:pPr>
        <w:pStyle w:val="BodyText"/>
      </w:pPr>
      <w:r>
        <w:rPr>
          <w:bCs/>
          <w:b/>
        </w:rPr>
        <w:t xml:space="preserve">Summary.</w:t>
      </w:r>
      <w:r>
        <w:t xml:space="preserve"> </w:t>
      </w:r>
      <w:r>
        <w:t xml:space="preserve">Strategies B and C provide the strongest evidence that the</w:t>
      </w:r>
      <w:r>
        <w:t xml:space="preserve"> </w:t>
      </w:r>
      <w:r>
        <w:t xml:space="preserve">restricted/broad contrast is not a circularity artefact: the grouping is</w:t>
      </w:r>
      <w:r>
        <w:t xml:space="preserve"> </w:t>
      </w:r>
      <w:r>
        <w:t xml:space="preserve">recovered from withheld data (strategy B) and a continuous gradient is significant without any group definition (strategy C). Strategy A, the most conservative test, is consistent with a gradual rather than sharp partition and does not contradict the recoverability established by B and C. We therefore present the main-text PerMANOVA as descriptive and exploratory, and we rely on the cross-validation results (strategy B) as the appropriate independent confirmation that the grouping is not a circularity artefact.</w:t>
      </w:r>
    </w:p>
    <w:bookmarkEnd w:id="128"/>
    <w:bookmarkEnd w:id="129"/>
    <w:bookmarkEnd w:id="130"/>
    <w:bookmarkStart w:id="147" w:name="sec-s7"/>
    <w:p>
      <w:pPr>
        <w:pStyle w:val="Heading1"/>
      </w:pPr>
      <w:r>
        <w:t xml:space="preserve">S7. Object-Type Sensitivity: Figurine Exclusion</w:t>
      </w:r>
    </w:p>
    <w:bookmarkStart w:id="131" w:name="s7.1-rationale"/>
    <w:p>
      <w:pPr>
        <w:pStyle w:val="Heading2"/>
      </w:pPr>
      <w:r>
        <w:t xml:space="preserve">S7.1 Rationale</w:t>
      </w:r>
    </w:p>
    <w:p>
      <w:pPr>
        <w:pStyle w:val="FirstParagraph"/>
      </w:pPr>
      <w:r>
        <w:t xml:space="preserve">[6]</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131"/>
    <w:bookmarkStart w:id="133"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132"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23: Distribution of figurine objects across phases and sites. Figurine types include figurine zoomorph, figurine anthropomorph, figurine undet., and possible figurine.</w:t>
            </w:r>
          </w:p>
          <w:bookmarkEnd w:id="132"/>
        </w:tc>
      </w:tr>
    </w:tbl>
    <w:p>
      <w:pPr>
        <w:pStyle w:val="BodyText"/>
      </w:pPr>
      <w:hyperlink w:anchor="tbl-figurine-count">
        <w:r>
          <w:rPr>
            <w:rStyle w:val="Hyperlink"/>
          </w:rPr>
          <w:t xml:space="preserve">Table 23</w:t>
        </w:r>
      </w:hyperlink>
      <w:r>
        <w:t xml:space="preserve"> </w:t>
      </w:r>
      <w:r>
        <w:t xml:space="preserve">shows that figurines are heavily concentrated at Vogelherd (50 objects), with minor representation at Hohle Fels (8),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(7.50) , is driven by these 50 objects at a single site.</w:t>
      </w:r>
    </w:p>
    <w:bookmarkEnd w:id="133"/>
    <w:bookmarkStart w:id="138" w:name="s7.3-analysis-1-exclude-all-figurines"/>
    <w:p>
      <w:pPr>
        <w:pStyle w:val="Heading2"/>
      </w:pPr>
      <w:r>
        <w:t xml:space="preserve">S7.3 Analysis 1: Exclude All Figurines</w:t>
      </w:r>
    </w:p>
    <w:bookmarkStart w:id="136"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134" w:name="tbl-exclude-figurines"/>
          <w:tbl>
            <w:tblPr>
              <w:tblStyle w:val="Table"/>
              <w:tblW w:type="pct" w:w="5000"/>
              <w:tblLook w:firstRow="1" w:lastRow="0" w:firstColumn="0" w:lastColumn="0" w:noHBand="0" w:noVBand="0" w:val="0020"/>
              <w:jc w:val="start"/>
              <w:tblLayout w:type="fixed"/>
            </w:tblPr>
            <w:tblGrid>
              <w:gridCol w:w="622"/>
              <w:gridCol w:w="533"/>
              <w:gridCol w:w="622"/>
              <w:gridCol w:w="800"/>
              <w:gridCol w:w="1156"/>
              <w:gridCol w:w="1245"/>
              <w:gridCol w:w="1067"/>
              <w:gridCol w:w="1868"/>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Excluding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Excluding figurines</w:t>
                  </w:r>
                </w:p>
              </w:tc>
            </w:tr>
          </w:tbl>
          <w:p>
            <w:pPr>
              <w:jc w:val="center"/>
            </w:pPr>
            <w:pPr>
              <w:jc w:val="start"/>
              <w:spacing w:before="200"/>
              <w:pStyle w:val="ImageCaption"/>
            </w:pPr>
            <w:r>
              <w:t xml:space="preserve">Table 24: Network statistics before and after excluding all figurine objects (figurine zoomorph, figurine anthropomorph, figurine undet., and possible figurine). Threshold = 0.2, Jaccard similarity.</w:t>
            </w:r>
          </w:p>
          <w:bookmarkEnd w:id="13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35"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25: Number of sites per phase before and after figurine exclusion. Sites are lost when all objects at that site are figurines.</w:t>
            </w:r>
          </w:p>
          <w:bookmarkEnd w:id="135"/>
        </w:tc>
      </w:tr>
    </w:tbl>
    <w:bookmarkEnd w:id="136"/>
    <w:bookmarkStart w:id="137" w:name="interpretation-5"/>
    <w:p>
      <w:pPr>
        <w:pStyle w:val="Heading3"/>
      </w:pPr>
      <w:r>
        <w:t xml:space="preserve">Interpretation</w:t>
      </w:r>
    </w:p>
    <w:p>
      <w:pPr>
        <w:pStyle w:val="FirstParagraph"/>
      </w:pPr>
      <w:r>
        <w:t xml:space="preserve">Excluding all 63 figurines has only a small effect on the Aur-P1 network: one edge is lost (75 → 74) and mean degree falls from 7.50 to 7.40, with no sites lost (all 20 sites retained). Aur-P2 is unchanged (mean degree 4.22, 19 edges, 9 sites): the four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(7.40) under figurine exclusion, preserving the main-text ordering Aur-P1 &gt; Aur-P2 (7.40 &gt; 4.22). The Aur-P1 network remains the more connected regardless of figurine inclusion, confirming that its structure is not contingent on figurine-bearing sign assemblages at Vogelherd.</w:t>
      </w:r>
    </w:p>
    <w:bookmarkEnd w:id="137"/>
    <w:bookmarkEnd w:id="138"/>
    <w:bookmarkStart w:id="143" w:name="X7549e60451b9f7bbee640100d361a0cf771ac62"/>
    <w:p>
      <w:pPr>
        <w:pStyle w:val="Heading2"/>
      </w:pPr>
      <w:r>
        <w:t xml:space="preserve">S7.4 Analysis 2: Exclude Vogelherd Figurines Only</w:t>
      </w:r>
    </w:p>
    <w:bookmarkStart w:id="141"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139" w:name="tbl-vogelherd-exclude"/>
          <w:tbl>
            <w:tblPr>
              <w:tblStyle w:val="Table"/>
              <w:tblW w:type="pct" w:w="5000"/>
              <w:tblLook w:firstRow="1" w:lastRow="0" w:firstColumn="0" w:lastColumn="0" w:noHBand="0" w:noVBand="0" w:val="0020"/>
              <w:jc w:val="start"/>
              <w:tblLayout w:type="fixed"/>
            </w:tblPr>
            <w:tblGrid>
              <w:gridCol w:w="583"/>
              <w:gridCol w:w="500"/>
              <w:gridCol w:w="583"/>
              <w:gridCol w:w="750"/>
              <w:gridCol w:w="1083"/>
              <w:gridCol w:w="1167"/>
              <w:gridCol w:w="1000"/>
              <w:gridCol w:w="2250"/>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 Vogelherd figurines</w:t>
                  </w:r>
                </w:p>
              </w:tc>
            </w:tr>
          </w:tbl>
          <w:p>
            <w:pPr>
              <w:jc w:val="center"/>
            </w:pPr>
            <w:pPr>
              <w:jc w:val="start"/>
              <w:spacing w:before="200"/>
              <w:pStyle w:val="ImageCaption"/>
            </w:pPr>
            <w:r>
              <w:t xml:space="preserve">Table 26: Network statistics before and after excluding figurines from Vogelherd only. All other figurines (Hohle Fels, Geissenklösterle, Hohlenstein-Stadel, La Ferrassie) are retained. Threshold = 0.2, Jaccard similarity.</w:t>
            </w:r>
          </w:p>
          <w:bookmarkEnd w:id="13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0"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27: Vogelherd object counts before and after removing figurines. Non-figurine objects at Vogelherd (tools, plaquettes, etc.) are retained.</w:t>
            </w:r>
          </w:p>
          <w:bookmarkEnd w:id="140"/>
        </w:tc>
      </w:tr>
    </w:tbl>
    <w:bookmarkEnd w:id="141"/>
    <w:bookmarkStart w:id="142" w:name="interpretation-6"/>
    <w:p>
      <w:pPr>
        <w:pStyle w:val="Heading3"/>
      </w:pPr>
      <w:r>
        <w:t xml:space="preserve">Interpretation</w:t>
      </w:r>
    </w:p>
    <w:p>
      <w:pPr>
        <w:pStyle w:val="FirstParagraph"/>
      </w:pPr>
      <w:r>
        <w:t xml:space="preserve">Removing only Vogelherd’s figurines (50 objects: 173 → 123 in Aur-P1) has a negligible effect on Aur-P1: mean degree drops from 7.50 to 7.40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Geissenklösterle (3), Hohlenstein-Stadel (1), and La Ferrassie (1) do not alter the network structure , including the four Hohle Fels figurines assigned to Aur-P2, which leave that phase’s network unchanged , and Vogelherd’s connectivity within Aur-P1 is carried by its 123 non-figurine objects.</w:t>
      </w:r>
    </w:p>
    <w:bookmarkEnd w:id="142"/>
    <w:bookmarkEnd w:id="143"/>
    <w:bookmarkStart w:id="145"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144" w:name="tbl-objtype-joint"/>
          <w:tbl>
            <w:tblPr>
              <w:tblStyle w:val="Table"/>
              <w:tblW w:type="pct" w:w="5000"/>
              <w:tblLook w:firstRow="1" w:lastRow="0" w:firstColumn="0" w:lastColumn="0" w:noHBand="0" w:noVBand="0" w:val="0020"/>
              <w:jc w:val="start"/>
              <w:tblLayout w:type="fixed"/>
            </w:tblPr>
            <w:tblGrid>
              <w:gridCol w:w="554"/>
              <w:gridCol w:w="2217"/>
              <w:gridCol w:w="475"/>
              <w:gridCol w:w="554"/>
              <w:gridCol w:w="1029"/>
              <w:gridCol w:w="1108"/>
              <w:gridCol w:w="950"/>
              <w:gridCol w:w="102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28: Side-by-side comparison of network statistics across all conditions: baseline (all objects), exclude all figurines, and exclude Vogelherd figurines only. The rightmost columns show the percentage change in mean degree from baseline.</w:t>
            </w:r>
          </w:p>
          <w:bookmarkEnd w:id="144"/>
        </w:tc>
      </w:tr>
    </w:tbl>
    <w:bookmarkEnd w:id="145"/>
    <w:bookmarkStart w:id="146"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28</w:t>
        </w:r>
      </w:hyperlink>
      <w:r>
        <w:t xml:space="preserve"> </w:t>
      </w:r>
      <w:r>
        <w:t xml:space="preserve">shows that figurine exclusion has a modest and phase-dependent effect on network structure: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Baseline mean°</w:t>
            </w:r>
          </w:p>
        </w:tc>
        <w:tc>
          <w:tcPr/>
          <w:p>
            <w:pPr>
              <w:pStyle w:val="Compact"/>
              <w:jc w:val="left"/>
            </w:pPr>
            <w:r>
              <w:t xml:space="preserve">No figurines</w:t>
            </w:r>
          </w:p>
        </w:tc>
        <w:tc>
          <w:tcPr/>
          <w:p>
            <w:pPr>
              <w:pStyle w:val="Compact"/>
              <w:jc w:val="left"/>
            </w:pPr>
            <w:r>
              <w:t xml:space="preserve">Δ</w:t>
            </w:r>
          </w:p>
        </w:tc>
        <w:tc>
          <w:tcPr/>
          <w:p>
            <w:pPr>
              <w:pStyle w:val="Compact"/>
              <w:jc w:val="left"/>
            </w:pPr>
            <w:r>
              <w:t xml:space="preserve">Vogelherd only</w:t>
            </w:r>
          </w:p>
        </w:tc>
        <w:tc>
          <w:tcPr/>
          <w:p>
            <w:pPr>
              <w:pStyle w:val="Compact"/>
              <w:jc w:val="left"/>
            </w:pPr>
            <w:r>
              <w:t xml:space="preserve">Δ</w:t>
            </w:r>
          </w:p>
        </w:tc>
      </w:tr>
      <w:tr>
        <w:tc>
          <w:tcPr/>
          <w:p>
            <w:pPr>
              <w:pStyle w:val="Compact"/>
              <w:jc w:val="left"/>
            </w:pPr>
            <w:r>
              <w:t xml:space="preserve">Aur-P1</w:t>
            </w:r>
          </w:p>
        </w:tc>
        <w:tc>
          <w:tcPr/>
          <w:p>
            <w:pPr>
              <w:pStyle w:val="Compact"/>
              <w:jc w:val="left"/>
            </w:pPr>
            <w:r>
              <w:t xml:space="preserve">7.50</w:t>
            </w:r>
          </w:p>
        </w:tc>
        <w:tc>
          <w:tcPr/>
          <w:p>
            <w:pPr>
              <w:pStyle w:val="Compact"/>
              <w:jc w:val="left"/>
            </w:pPr>
            <w:r>
              <w:t xml:space="preserve">7.40</w:t>
            </w:r>
          </w:p>
        </w:tc>
        <w:tc>
          <w:tcPr/>
          <w:p>
            <w:pPr>
              <w:pStyle w:val="Compact"/>
              <w:jc w:val="left"/>
            </w:pPr>
            <w:r>
              <w:t xml:space="preserve">−1.3%</w:t>
            </w:r>
          </w:p>
        </w:tc>
        <w:tc>
          <w:tcPr/>
          <w:p>
            <w:pPr>
              <w:pStyle w:val="Compact"/>
              <w:jc w:val="left"/>
            </w:pPr>
            <w:r>
              <w:t xml:space="preserve">7.40</w:t>
            </w:r>
          </w:p>
        </w:tc>
        <w:tc>
          <w:tcPr/>
          <w:p>
            <w:pPr>
              <w:pStyle w:val="Compact"/>
              <w:jc w:val="left"/>
            </w:pPr>
            <w:r>
              <w:t xml:space="preserve">−1.3%</w:t>
            </w:r>
          </w:p>
        </w:tc>
      </w:tr>
      <w:tr>
        <w:tc>
          <w:tcPr/>
          <w:p>
            <w:pPr>
              <w:pStyle w:val="Compact"/>
              <w:jc w:val="left"/>
            </w:pPr>
            <w:r>
              <w:t xml:space="preserve">Aur-P2</w:t>
            </w:r>
          </w:p>
        </w:tc>
        <w:tc>
          <w:tcPr/>
          <w:p>
            <w:pPr>
              <w:pStyle w:val="Compact"/>
              <w:jc w:val="left"/>
            </w:pPr>
            <w:r>
              <w:t xml:space="preserve">4.22</w:t>
            </w:r>
          </w:p>
        </w:tc>
        <w:tc>
          <w:tcPr/>
          <w:p>
            <w:pPr>
              <w:pStyle w:val="Compact"/>
              <w:jc w:val="left"/>
            </w:pPr>
            <w:r>
              <w:t xml:space="preserve">4.22</w:t>
            </w:r>
          </w:p>
        </w:tc>
        <w:tc>
          <w:tcPr/>
          <w:p>
            <w:pPr>
              <w:pStyle w:val="Compact"/>
              <w:jc w:val="left"/>
            </w:pPr>
            <w:r>
              <w:t xml:space="preserve">0%</w:t>
            </w:r>
          </w:p>
        </w:tc>
        <w:tc>
          <w:tcPr/>
          <w:p>
            <w:pPr>
              <w:pStyle w:val="Compact"/>
              <w:jc w:val="left"/>
            </w:pPr>
            <w:r>
              <w:t xml:space="preserve">4.22</w:t>
            </w:r>
          </w:p>
        </w:tc>
        <w:tc>
          <w:tcPr/>
          <w:p>
            <w:pPr>
              <w:pStyle w:val="Compact"/>
              <w:jc w:val="left"/>
            </w:pPr>
            <w:r>
              <w:t xml:space="preserve">0%</w:t>
            </w:r>
          </w:p>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7.50 → 7.40)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(7.50 &gt; 4.22) is unchanged under both exclusion scenarios (7.40 &gt; 4.22 excluding all figurines; 7.40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produces the same effect as removing all 63 figurines globally (−1.3%). Figurines at Hohle Fels, Geissenklösterle, Hohlenstein-Stadel, and La Ferrassie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[6]</w:t>
      </w:r>
      <w:r>
        <w:t xml:space="preserve"> </w:t>
      </w:r>
      <w:r>
        <w:t xml:space="preserve">argument that figurines carry high-information sign sequences, but the communities themselves are defined by shared sign types across all object types.</w:t>
      </w:r>
    </w:p>
    <w:bookmarkEnd w:id="146"/>
    <w:bookmarkEnd w:id="147"/>
    <w:bookmarkStart w:id="154" w:name="sec-s8"/>
    <w:p>
      <w:pPr>
        <w:pStyle w:val="Heading1"/>
      </w:pPr>
      <w:r>
        <w:t xml:space="preserve">S8. Site Reclassification Sensitivity Analysis</w:t>
      </w:r>
    </w:p>
    <w:bookmarkStart w:id="148"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6"/>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[7,8]</w:t>
      </w:r>
      <w:r>
        <w:t xml:space="preserve">. The site is classified as Aurignacian I (Early) in the Périgord sequence.</w:t>
      </w:r>
    </w:p>
    <w:p>
      <w:pPr>
        <w:numPr>
          <w:ilvl w:val="0"/>
          <w:numId w:val="1006"/>
        </w:numPr>
        <w:pStyle w:val="Compact"/>
      </w:pPr>
      <w:r>
        <w:rPr>
          <w:bCs/>
          <w:b/>
        </w:rPr>
        <w:t xml:space="preserve">La Ferrassie</w:t>
      </w:r>
      <w:r>
        <w:t xml:space="preserve">: The Aurignacian at La Ferrassie begins in Layer 7, directly overlying the Châtelperronian (Layer 6).</w:t>
      </w:r>
      <w:r>
        <w:t xml:space="preserve"> </w:t>
      </w:r>
      <w:r>
        <w:t xml:space="preserve">[9]</w:t>
      </w:r>
      <w:r>
        <w:t xml:space="preserve"> </w:t>
      </w:r>
      <w:r>
        <w:t xml:space="preserve">classify this as Early Aurignacian (Aur-P1) based on carinated scrapers and wide Aurignacian blades. No split-base bone points (Proto-Aurignacian diagnostic) were found</w:t>
      </w:r>
      <w:r>
        <w:t xml:space="preserve"> </w:t>
      </w:r>
      <w:r>
        <w:t xml:space="preserve">[9,10]</w:t>
      </w:r>
      <w:r>
        <w:t xml:space="preserve">. Layer 7b has mixed Early/Recent Aurignacian components.</w:t>
      </w:r>
    </w:p>
    <w:p>
      <w:pPr>
        <w:numPr>
          <w:ilvl w:val="0"/>
          <w:numId w:val="1006"/>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[11]</w:t>
      </w:r>
      <w:r>
        <w:t xml:space="preserve">. Direct dates of ~31 ka ¹⁴C BP (~35–36 cal BP) are too young for Proto-Aurignacian</w:t>
      </w:r>
      <w:r>
        <w:t xml:space="preserve"> </w:t>
      </w:r>
      <w:r>
        <w:t xml:space="preserve">[12]</w:t>
      </w:r>
      <w:r>
        <w:t xml:space="preserve">.</w:t>
      </w:r>
    </w:p>
    <w:p>
      <w:pPr>
        <w:numPr>
          <w:ilvl w:val="0"/>
          <w:numId w:val="1006"/>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[13]</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148"/>
    <w:bookmarkStart w:id="151"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149"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21</w:t>
                  </w:r>
                </w:p>
              </w:tc>
              <w:tc>
                <w:tcPr/>
                <w:p>
                  <w:pPr>
                    <w:pStyle w:val="Compact"/>
                    <w:jc w:val="center"/>
                    <w:jc w:val="center"/>
                  </w:pPr>
                  <w:r>
                    <w:t xml:space="preserve">90</w:t>
                  </w:r>
                </w:p>
              </w:tc>
              <w:tc>
                <w:tcPr/>
                <w:p>
                  <w:pPr>
                    <w:pStyle w:val="Compact"/>
                    <w:jc w:val="center"/>
                    <w:jc w:val="center"/>
                  </w:pPr>
                  <w:r>
                    <w:t xml:space="preserve">0.429</w:t>
                  </w:r>
                </w:p>
              </w:tc>
              <w:tc>
                <w:tcPr/>
                <w:p>
                  <w:pPr>
                    <w:pStyle w:val="Compact"/>
                    <w:jc w:val="center"/>
                    <w:jc w:val="center"/>
                  </w:pPr>
                  <w:r>
                    <w:t xml:space="preserve">8.57</w:t>
                  </w:r>
                </w:p>
              </w:tc>
              <w:tc>
                <w:tcPr/>
                <w:p>
                  <w:pPr>
                    <w:pStyle w:val="Compact"/>
                    <w:jc w:val="center"/>
                    <w:jc w:val="center"/>
                  </w:pPr>
                  <w:r>
                    <w:t xml:space="preserve">0.729</w:t>
                  </w:r>
                </w:p>
              </w:tc>
              <w:tc>
                <w:tcPr/>
                <w:p>
                  <w:pPr>
                    <w:pStyle w:val="Compact"/>
                    <w:jc w:val="center"/>
                    <w:jc w:val="center"/>
                  </w:pPr>
                  <w:r>
                    <w:t xml:space="preserve">0.303</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9</w:t>
                  </w:r>
                </w:p>
              </w:tc>
              <w:tc>
                <w:tcPr/>
                <w:p>
                  <w:pPr>
                    <w:pStyle w:val="Compact"/>
                    <w:jc w:val="center"/>
                    <w:jc w:val="center"/>
                  </w:pPr>
                  <w:r>
                    <w:t xml:space="preserve">15</w:t>
                  </w:r>
                </w:p>
              </w:tc>
              <w:tc>
                <w:tcPr/>
                <w:p>
                  <w:pPr>
                    <w:pStyle w:val="Compact"/>
                    <w:jc w:val="center"/>
                    <w:jc w:val="center"/>
                  </w:pPr>
                  <w:r>
                    <w:t xml:space="preserve">0.417</w:t>
                  </w:r>
                </w:p>
              </w:tc>
              <w:tc>
                <w:tcPr/>
                <w:p>
                  <w:pPr>
                    <w:pStyle w:val="Compact"/>
                    <w:jc w:val="center"/>
                    <w:jc w:val="center"/>
                  </w:pPr>
                  <w:r>
                    <w:t xml:space="preserve">3.33</w:t>
                  </w:r>
                </w:p>
              </w:tc>
              <w:tc>
                <w:tcPr/>
                <w:p>
                  <w:pPr>
                    <w:pStyle w:val="Compact"/>
                    <w:jc w:val="center"/>
                    <w:jc w:val="center"/>
                  </w:pPr>
                  <w:r>
                    <w:t xml:space="preserve">0.558</w:t>
                  </w:r>
                </w:p>
              </w:tc>
              <w:tc>
                <w:tcPr/>
                <w:p>
                  <w:pPr>
                    <w:pStyle w:val="Compact"/>
                    <w:jc w:val="center"/>
                    <w:jc w:val="center"/>
                  </w:pPr>
                  <w:r>
                    <w:t xml:space="preserve">0.343</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29: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149"/>
        </w:tc>
      </w:tr>
    </w:tbl>
    <w:bookmarkStart w:id="150"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(its ~35–36 ka BP (calibrated) dates fall in the Early Aurignacian range, which is folded into Aur-P1), while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21 sites and 90 edges (mean degree 8.57), while Aur-P2 , now missing Mladeč but containing 42 young-dated objects from Hohle Fels and Vogelherd , has 9 sites and 15 edges (mean degree 3.33).</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150"/>
    <w:bookmarkEnd w:id="151"/>
    <w:bookmarkStart w:id="152"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Condition</w:t>
            </w:r>
          </w:p>
        </w:tc>
        <w:tc>
          <w:tcPr/>
          <w:p>
            <w:pPr>
              <w:pStyle w:val="Compact"/>
              <w:jc w:val="left"/>
            </w:pPr>
            <w:r>
              <w:t xml:space="preserve">Aur-P1 mean°</w:t>
            </w:r>
          </w:p>
        </w:tc>
        <w:tc>
          <w:tcPr/>
          <w:p>
            <w:pPr>
              <w:pStyle w:val="Compact"/>
              <w:jc w:val="left"/>
            </w:pPr>
            <w:r>
              <w:t xml:space="preserve">Aur-P2 mean°</w:t>
            </w:r>
          </w:p>
        </w:tc>
        <w:tc>
          <w:tcPr/>
          <w:p>
            <w:pPr>
              <w:pStyle w:val="Compact"/>
              <w:jc w:val="left"/>
            </w:pPr>
            <w:r>
              <w:t xml:space="preserve">Ordering</w:t>
            </w:r>
          </w:p>
        </w:tc>
      </w:tr>
      <w:tr>
        <w:tc>
          <w:tcPr/>
          <w:p>
            <w:pPr>
              <w:pStyle w:val="Compact"/>
              <w:jc w:val="left"/>
            </w:pPr>
            <w:r>
              <w:t xml:space="preserve">Baseline (technology-based)</w:t>
            </w:r>
          </w:p>
        </w:tc>
        <w:tc>
          <w:tcPr/>
          <w:p>
            <w:pPr>
              <w:pStyle w:val="Compact"/>
              <w:jc w:val="left"/>
            </w:pPr>
            <w:r>
              <w:t xml:space="preserve">7.5</w:t>
            </w:r>
          </w:p>
        </w:tc>
        <w:tc>
          <w:tcPr/>
          <w:p>
            <w:pPr>
              <w:pStyle w:val="Compact"/>
              <w:jc w:val="left"/>
            </w:pPr>
            <w:r>
              <w:t xml:space="preserve">4.22</w:t>
            </w:r>
          </w:p>
        </w:tc>
        <w:tc>
          <w:tcPr/>
          <w:p>
            <w:pPr>
              <w:pStyle w:val="Compact"/>
              <w:jc w:val="left"/>
            </w:pPr>
            <w:r>
              <w:t xml:space="preserve">Aur-P1 &gt; Aur-P2</w:t>
            </w:r>
          </w:p>
        </w:tc>
      </w:tr>
      <w:tr>
        <w:tc>
          <w:tcPr/>
          <w:p>
            <w:pPr>
              <w:pStyle w:val="Compact"/>
              <w:jc w:val="left"/>
            </w:pPr>
            <w:r>
              <w:t xml:space="preserve">Date-based</w:t>
            </w:r>
          </w:p>
        </w:tc>
        <w:tc>
          <w:tcPr/>
          <w:p>
            <w:pPr>
              <w:pStyle w:val="Compact"/>
              <w:jc w:val="left"/>
            </w:pPr>
            <w:r>
              <w:t xml:space="preserve">8.57</w:t>
            </w:r>
          </w:p>
        </w:tc>
        <w:tc>
          <w:tcPr/>
          <w:p>
            <w:pPr>
              <w:pStyle w:val="Compact"/>
              <w:jc w:val="left"/>
            </w:pPr>
            <w:r>
              <w:t xml:space="preserve">3.33</w:t>
            </w:r>
          </w:p>
        </w:tc>
        <w:tc>
          <w:tcPr/>
          <w:p>
            <w:pPr>
              <w:pStyle w:val="Compact"/>
              <w:jc w:val="left"/>
            </w:pPr>
            <w:r>
              <w:t xml:space="preserve">Aur-P1 &gt; Aur-P2</w:t>
            </w:r>
          </w:p>
        </w:tc>
      </w:tr>
      <w:tr>
        <w:tc>
          <w:tcPr/>
          <w:p>
            <w:pPr>
              <w:pStyle w:val="Compact"/>
              <w:jc w:val="left"/>
            </w:pPr>
            <w:r>
              <w:t xml:space="preserve">Exclude Vogelherd</w:t>
            </w:r>
          </w:p>
        </w:tc>
        <w:tc>
          <w:tcPr/>
          <w:p>
            <w:pPr>
              <w:pStyle w:val="Compact"/>
              <w:jc w:val="left"/>
            </w:pPr>
            <w:r>
              <w:t xml:space="preserve">7.26</w:t>
            </w:r>
          </w:p>
        </w:tc>
        <w:tc>
          <w:tcPr/>
          <w:p>
            <w:pPr>
              <w:pStyle w:val="Compact"/>
              <w:jc w:val="left"/>
            </w:pPr>
            <w:r>
              <w:t xml:space="preserve">4.22</w:t>
            </w:r>
          </w:p>
        </w:tc>
        <w:tc>
          <w:tcPr/>
          <w:p>
            <w:pPr>
              <w:pStyle w:val="Compact"/>
              <w:jc w:val="left"/>
            </w:pPr>
            <w:r>
              <w:t xml:space="preserve">Aur-P1 &gt; Aur-P2</w:t>
            </w:r>
          </w:p>
        </w:tc>
      </w:tr>
    </w:tbl>
    <w:p>
      <w:pPr>
        <w:pStyle w:val="BodyText"/>
      </w:pPr>
      <w:r>
        <w:t xml:space="preserve">Under the date-based assignment Aur-P1’s mean degree rises (from 7.5 to 8.57) and Aur-P2’s falls (from 4.22 to 3.33), so the contrast is not an artefact of the technological reassignment , the naive date-based assignment, if anything, strengthens it. Excluding Vogelherd weakens but does not remove the contrast (7.26 vs 4.22).</w:t>
      </w:r>
    </w:p>
    <w:bookmarkEnd w:id="152"/>
    <w:bookmarkStart w:id="153"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yet Aur-P1 remains the more connected phase.</w:t>
      </w:r>
    </w:p>
    <w:p>
      <w:pPr>
        <w:pStyle w:val="BodyText"/>
      </w:pPr>
      <w:r>
        <w:t xml:space="preserve">The observed between-phase modularity values are, however, assignment-sensitive: they reverse under the date-based assignment (Aur-P1 0.303 &lt; Aur-P2 0.343,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bootstrap consensus, and the stochastic block model (S5, S6) , is defined within each phase’s membership and is unaffected by the between-phase assignment criterion tested here.</w:t>
      </w:r>
    </w:p>
    <w:bookmarkEnd w:id="153"/>
    <w:bookmarkEnd w:id="154"/>
    <w:bookmarkStart w:id="212" w:name="sec-s9"/>
    <w:p>
      <w:pPr>
        <w:pStyle w:val="Heading1"/>
      </w:pPr>
      <w:r>
        <w:t xml:space="preserve">S9. Object-Level Downsampling and Coverage-Rarefaction Sensitivity</w:t>
      </w:r>
    </w:p>
    <w:p>
      <w:pPr>
        <w:pStyle w:val="FirstParagraph"/>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four specific questions:</w:t>
      </w:r>
    </w:p>
    <w:p>
      <w:pPr>
        <w:numPr>
          <w:ilvl w:val="0"/>
          <w:numId w:val="1007"/>
        </w:numPr>
        <w:pStyle w:val="Compact"/>
      </w:pPr>
      <w:r>
        <w:rPr>
          <w:bCs/>
          <w:b/>
        </w:rPr>
        <w:t xml:space="preserve">(S9.2)</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07"/>
        </w:numPr>
        <w:pStyle w:val="Compact"/>
      </w:pPr>
      <w:r>
        <w:rPr>
          <w:bCs/>
          <w:b/>
        </w:rPr>
        <w:t xml:space="preserve">(S9.3)</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07"/>
        </w:numPr>
        <w:pStyle w:val="Compact"/>
      </w:pPr>
      <w:r>
        <w:rPr>
          <w:bCs/>
          <w:b/>
        </w:rPr>
        <w:t xml:space="preserve">(S9.4)</w:t>
      </w:r>
      <w:r>
        <w:t xml:space="preserve"> </w:t>
      </w:r>
      <w:r>
        <w:t xml:space="preserve">Does the group effect on sign-type richness survive after statistically accounting for object count (sampling effort)?</w:t>
      </w:r>
    </w:p>
    <w:p>
      <w:pPr>
        <w:numPr>
          <w:ilvl w:val="0"/>
          <w:numId w:val="1007"/>
        </w:numPr>
        <w:pStyle w:val="Compact"/>
      </w:pPr>
      <w:r>
        <w:rPr>
          <w:bCs/>
          <w:b/>
        </w:rPr>
        <w:t xml:space="preserve">(S9.5)</w:t>
      </w:r>
      <w:r>
        <w:t xml:space="preserve"> </w:t>
      </w:r>
      <w:r>
        <w:t xml:space="preserve">Taken together, is the R/B division independent of sampling intensity, and if not, what limitation must be stated?</w:t>
      </w:r>
    </w:p>
    <w:bookmarkStart w:id="162" w:name="sec-s9-1"/>
    <w:p>
      <w:pPr>
        <w:pStyle w:val="Heading2"/>
      </w:pPr>
      <w:r>
        <w:t xml:space="preserve">S9.1 Object-count distribution and feasible common counts</w:t>
      </w:r>
    </w:p>
    <w:bookmarkStart w:id="160" w:name="rationale-8"/>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following the reviewer’s suggestion,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155" w:name="tbl-s9-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30: Per-site object counts by phase and manual restricted(1)/broad(2) group. The reviewer notes the strong Spearman correlation (ρ = 0.86) between object count and sign-type richness across sites.</w:t>
            </w:r>
          </w:p>
          <w:bookmarkEnd w:id="155"/>
        </w:tc>
      </w:tr>
    </w:tbl>
    <w:tbl>
      <w:tblPr>
        <w:tblStyle w:val="Table"/>
        <w:tblW w:type="pct" w:w="5000"/>
        <w:tblLook w:firstRow="0" w:lastRow="0" w:firstColumn="0" w:lastColumn="0" w:noHBand="0" w:noVBand="0" w:val="0000"/>
        <w:jc w:val="start"/>
        <w:tblLayout w:type="fixed"/>
      </w:tblPr>
      <w:tblGrid>
        <w:gridCol w:w="7920"/>
      </w:tblGrid>
      <w:tr>
        <w:tc>
          <w:tcPr/>
          <w:bookmarkStart w:id="159" w:name="fig-s9-objhist"/>
          <w:p>
            <w:pPr>
              <w:pStyle w:val="Compact"/>
              <w:jc w:val="center"/>
            </w:pPr>
            <w:r>
              <w:drawing>
                <wp:inline>
                  <wp:extent cx="5943600" cy="2971800"/>
                  <wp:effectExtent b="0" l="0" r="0" t="0"/>
                  <wp:docPr descr="" title="" id="157" name="Picture"/>
                  <a:graphic>
                    <a:graphicData uri="http://schemas.openxmlformats.org/drawingml/2006/picture">
                      <pic:pic>
                        <pic:nvPicPr>
                          <pic:cNvPr descr="S1-supplement-sensitivity_files/figure-docx/fig-s9-objhist-1.png" id="158" name="Picture"/>
                          <pic:cNvPicPr>
                            <a:picLocks noChangeArrowheads="1" noChangeAspect="1"/>
                          </pic:cNvPicPr>
                        </pic:nvPicPr>
                        <pic:blipFill>
                          <a:blip r:embed="rId15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Distribution of object counts per site by phase. Most sites contribute few objects; a small number of large assemblages (e.g. Vogelherd) dominate the upper tail.</w:t>
            </w:r>
          </w:p>
          <w:bookmarkEnd w:id="159"/>
        </w:tc>
      </w:tr>
    </w:tbl>
    <w:bookmarkEnd w:id="160"/>
    <w:bookmarkStart w:id="161" w:name="interpretation-7"/>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161"/>
    <w:bookmarkEnd w:id="162"/>
    <w:bookmarkStart w:id="171" w:name="sec-s9-2"/>
    <w:p>
      <w:pPr>
        <w:pStyle w:val="Heading2"/>
      </w:pPr>
      <w:r>
        <w:t xml:space="preserve">S9.2 Object-level downsampling sensitivity</w:t>
      </w:r>
    </w:p>
    <w:bookmarkStart w:id="169" w:name="rationale-9"/>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 S5.1,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163" w:name="tbl-s9-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31: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16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4" w:name="tbl-s9-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32: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164"/>
        </w:tc>
      </w:tr>
    </w:tbl>
    <w:tbl>
      <w:tblPr>
        <w:tblStyle w:val="Table"/>
        <w:tblW w:type="pct" w:w="5000"/>
        <w:tblLook w:firstRow="0" w:lastRow="0" w:firstColumn="0" w:lastColumn="0" w:noHBand="0" w:noVBand="0" w:val="0000"/>
        <w:jc w:val="start"/>
        <w:tblLayout w:type="fixed"/>
      </w:tblPr>
      <w:tblGrid>
        <w:gridCol w:w="7920"/>
      </w:tblGrid>
      <w:tr>
        <w:tc>
          <w:tcPr/>
          <w:bookmarkStart w:id="168" w:name="fig-s9-retention"/>
          <w:p>
            <w:pPr>
              <w:pStyle w:val="Compact"/>
              <w:jc w:val="center"/>
            </w:pPr>
            <w:r>
              <w:drawing>
                <wp:inline>
                  <wp:extent cx="5943600" cy="5943600"/>
                  <wp:effectExtent b="0" l="0" r="0" t="0"/>
                  <wp:docPr descr="" title="" id="166" name="Picture"/>
                  <a:graphic>
                    <a:graphicData uri="http://schemas.openxmlformats.org/drawingml/2006/picture">
                      <pic:pic>
                        <pic:nvPicPr>
                          <pic:cNvPr descr="S1-supplement-sensitivity_files/figure-docx/fig-s9-retention-1.png" id="167" name="Picture"/>
                          <pic:cNvPicPr>
                            <a:picLocks noChangeArrowheads="1" noChangeAspect="1"/>
                          </pic:cNvPicPr>
                        </pic:nvPicPr>
                        <pic:blipFill>
                          <a:blip r:embed="rId16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168"/>
        </w:tc>
      </w:tr>
    </w:tbl>
    <w:bookmarkEnd w:id="169"/>
    <w:bookmarkStart w:id="170" w:name="interpretation-8"/>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170"/>
    <w:bookmarkEnd w:id="171"/>
    <w:bookmarkStart w:id="179" w:name="sec-s9-3"/>
    <w:p>
      <w:pPr>
        <w:pStyle w:val="Heading2"/>
      </w:pPr>
      <w:r>
        <w:t xml:space="preserve">S9.3 Coverage-based rarefaction</w:t>
      </w:r>
    </w:p>
    <w:bookmarkStart w:id="177" w:name="rationale-10"/>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The reviewer’s preferred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 For each site we accumulate its objects in random order and, at each sample size m, record the number of distinct sign types observed (richness) and the sample coverage</w:t>
      </w:r>
      <w:r>
        <w:t xml:space="preserve"> </w:t>
      </w:r>
      <m:oMath>
        <m:r>
          <m:t>C</m:t>
        </m:r>
        <m:d>
          <m:dPr>
            <m:begChr m:val="("/>
            <m:endChr m:val=")"/>
            <m:sepChr m:val=""/>
            <m:grow/>
          </m:dPr>
          <m:e>
            <m:r>
              <m:t>m</m:t>
            </m:r>
          </m:e>
        </m:d>
        <m:r>
          <m:rPr>
            <m:sty m:val="p"/>
          </m:rPr>
          <m:t>=</m:t>
        </m:r>
        <m:r>
          <m:t>1</m:t>
        </m:r>
        <m:r>
          <m:rPr>
            <m:sty m:val="p"/>
          </m:rPr>
          <m:t>−</m:t>
        </m:r>
        <m:sSub>
          <m:e>
            <m:r>
              <m:t>f</m:t>
            </m:r>
          </m:e>
          <m:sub>
            <m:r>
              <m:t>1</m:t>
            </m:r>
          </m:sub>
        </m:sSub>
        <m:d>
          <m:dPr>
            <m:begChr m:val="("/>
            <m:endChr m:val=")"/>
            <m:sepChr m:val=""/>
            <m:grow/>
          </m:dPr>
          <m:e>
            <m:r>
              <m:t>m</m:t>
            </m:r>
          </m:e>
        </m:d>
        <m:r>
          <m:rPr>
            <m:sty m:val="p"/>
          </m:rPr>
          <m:t>/</m:t>
        </m:r>
        <m:r>
          <m:t>m</m:t>
        </m:r>
      </m:oMath>
      <w:r>
        <w:t xml:space="preserve">, where</w:t>
      </w:r>
      <w:r>
        <w:t xml:space="preserve"> </w:t>
      </w:r>
      <m:oMath>
        <m:sSub>
          <m:e>
            <m:r>
              <m:t>f</m:t>
            </m:r>
          </m:e>
          <m:sub>
            <m:r>
              <m:t>1</m:t>
            </m:r>
          </m:sub>
        </m:sSub>
        <m:d>
          <m:dPr>
            <m:begChr m:val="("/>
            <m:endChr m:val=")"/>
            <m:sepChr m:val=""/>
            <m:grow/>
          </m:dPr>
          <m:e>
            <m:r>
              <m:t>m</m:t>
            </m:r>
          </m:e>
        </m:d>
      </m:oMath>
      <w:r>
        <w:t xml:space="preserve"> </w:t>
      </w:r>
      <w:r>
        <w:t xml:space="preserve">is the number of sign types seen on exactly one of the first m objects. We average these curves over 200 random orderings and interpolate each site’s richness at a target coverage of 0.9 (a standard</w:t>
      </w:r>
      <w:r>
        <w:t xml:space="preserve"> </w:t>
      </w:r>
      <w:r>
        <w:t xml:space="preserve">“</w:t>
      </w:r>
      <w:r>
        <w:t xml:space="preserve">high coverage</w:t>
      </w:r>
      <w:r>
        <w:t xml:space="preserve">”</w:t>
      </w:r>
      <w:r>
        <w:t xml:space="preserve"> </w:t>
      </w:r>
      <w:r>
        <w:t xml:space="preserve">benchmark).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172" w:name="tbl-s9-rarefaction"/>
          <w:tbl>
            <w:tblPr>
              <w:tblStyle w:val="Table"/>
              <w:tblW w:type="pct" w:w="5000"/>
              <w:tblLook w:firstRow="1" w:lastRow="0" w:firstColumn="0" w:lastColumn="0" w:noHBand="0" w:noVBand="0" w:val="0020"/>
              <w:jc w:val="start"/>
              <w:tblLayout w:type="fixed"/>
            </w:tblPr>
            <w:tblGrid>
              <w:gridCol w:w="533"/>
              <w:gridCol w:w="2056"/>
              <w:gridCol w:w="837"/>
              <w:gridCol w:w="609"/>
              <w:gridCol w:w="1218"/>
              <w:gridCol w:w="1218"/>
              <w:gridCol w:w="1446"/>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(full)</w:t>
                  </w:r>
                </w:p>
              </w:tc>
              <w:tc>
                <w:tcPr/>
                <w:p>
                  <w:pPr>
                    <w:pStyle w:val="Compact"/>
                    <w:jc w:val="right"/>
                    <w:jc w:val="center"/>
                  </w:pPr>
                  <w:r>
                    <w:t xml:space="preserve">Richness</w:t>
                  </w:r>
                  <w:r>
                    <w:t xml:space="preserve"> </w:t>
                  </w:r>
                  <w:r>
                    <w:t xml:space="preserve">[</w:t>
                  </w:r>
                  <w:r>
                    <w:rPr>
                      <w:bCs/>
                      <w:b/>
                    </w:rPr>
                    <w:t xml:space="preserve">0.9?</w:t>
                  </w:r>
                  <w:r>
                    <w:t xml:space="preserve">]</w:t>
                  </w:r>
                  <w:r>
                    <w:t xml:space="preserve"> </w:t>
                  </w:r>
                  <w:r>
                    <w:t xml:space="preserve">cov.</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0.83</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0.90</w:t>
                  </w:r>
                </w:p>
              </w:tc>
              <w:tc>
                <w:tcPr/>
                <w:p>
                  <w:pPr>
                    <w:pStyle w:val="Compact"/>
                    <w:jc w:val="right"/>
                    <w:jc w:val="center"/>
                  </w:pPr>
                  <w:r>
                    <w:t xml:space="preserve">11.00</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0.50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0.90</w:t>
                  </w:r>
                </w:p>
              </w:tc>
              <w:tc>
                <w:tcPr/>
                <w:p>
                  <w:pPr>
                    <w:pStyle w:val="Compact"/>
                    <w:jc w:val="right"/>
                    <w:jc w:val="center"/>
                  </w:pPr>
                  <w:r>
                    <w:t xml:space="preserve">5.97</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4.84</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11.30</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2.00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1.95</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0.67</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bl>
          <w:p>
            <w:pPr>
              <w:jc w:val="center"/>
            </w:pPr>
            <w:pPr>
              <w:jc w:val="start"/>
              <w:spacing w:before="200"/>
              <w:pStyle w:val="ImageCaption"/>
            </w:pPr>
            <w:r>
              <w:t xml:space="preserve">Table 33: Coverage-based rarefaction per site. richness_full is the observed number of sign types; coverage_full is the sample coverage at the full object sample; richness_at_target is the sign-type richness interpolated at target coverage = 0.9. Sites that never reach the target coverage are reported as NA, meaning rarefaction cannot assess them.</w:t>
            </w:r>
          </w:p>
          <w:bookmarkEnd w:id="172"/>
        </w:tc>
      </w:tr>
    </w:tbl>
    <w:tbl>
      <w:tblPr>
        <w:tblStyle w:val="Table"/>
        <w:tblW w:type="pct" w:w="5000"/>
        <w:tblLook w:firstRow="0" w:lastRow="0" w:firstColumn="0" w:lastColumn="0" w:noHBand="0" w:noVBand="0" w:val="0000"/>
        <w:jc w:val="start"/>
        <w:tblLayout w:type="fixed"/>
      </w:tblPr>
      <w:tblGrid>
        <w:gridCol w:w="7920"/>
      </w:tblGrid>
      <w:tr>
        <w:tc>
          <w:tcPr/>
          <w:bookmarkStart w:id="176" w:name="fig-s9-rarefaction"/>
          <w:p>
            <w:pPr>
              <w:pStyle w:val="Compact"/>
              <w:jc w:val="center"/>
            </w:pPr>
            <w:r>
              <w:drawing>
                <wp:inline>
                  <wp:extent cx="5943600" cy="3396342"/>
                  <wp:effectExtent b="0" l="0" r="0" t="0"/>
                  <wp:docPr descr="" title="" id="174" name="Picture"/>
                  <a:graphic>
                    <a:graphicData uri="http://schemas.openxmlformats.org/drawingml/2006/picture">
                      <pic:pic>
                        <pic:nvPicPr>
                          <pic:cNvPr descr="S1-supplement-sensitivity_files/figure-docx/fig-s9-rarefaction-1.png" id="175" name="Picture"/>
                          <pic:cNvPicPr>
                            <a:picLocks noChangeArrowheads="1" noChangeAspect="1"/>
                          </pic:cNvPicPr>
                        </pic:nvPicPr>
                        <pic:blipFill>
                          <a:blip r:embed="rId173"/>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Sign-type richness interpolated at target coverage = 0.9, by manual group, for sites that reach that coverage. Restricted sites (green) that attain high coverage remain low-richness; broad sites (red) remain high-richness.</w:t>
            </w:r>
          </w:p>
          <w:bookmarkEnd w:id="176"/>
        </w:tc>
      </w:tr>
    </w:tbl>
    <w:bookmarkEnd w:id="177"/>
    <w:bookmarkStart w:id="178" w:name="interpretation-9"/>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7 of 20 sites reach coverage 0.9; in Aur-P2 only 2 of 9 do. Among the Aur-P1 sites that do reach the target, restricted sites remain low-richness (mean 1 sign types) while broad sites remain high-richness (mean 8.28), a difference that is borderline significant (Wilcoxon p = 0.057). For Aur-P2 the number of sites reaching the target is too small to support a group comparison (p = not computable (too few sites per group)).</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but the majority of sites — the small-object sites — never attain the target coverage and therefore cannot be placed on a common coverage footing at all. In Aur-P1, 7 of 20 sites reach coverage 0.9, and among them restricted sites remain low-richness (mean 1) while broad sites remain high-richness (mean 8.28; Wilcoxon p = 0.057). In Aur-P2 only 2 sites reach the target, of which 0 are broad and 2 restricted, so a group comparison is not computable (too few sites per group). Coverage-based rarefaction is consequently unreliable for the smallest assemblages: it can compare well-sampled sites, but it cannot rescue the assignment of sites with only one or two objects. This is the same limitation encountered in S9.2, approached from the richness axis.</w:t>
      </w:r>
    </w:p>
    <w:bookmarkEnd w:id="178"/>
    <w:bookmarkEnd w:id="179"/>
    <w:bookmarkStart w:id="183" w:name="sec-s9-4"/>
    <w:p>
      <w:pPr>
        <w:pStyle w:val="Heading2"/>
      </w:pPr>
      <w:r>
        <w:t xml:space="preserve">S9.4 Mixed model with object-count offset</w:t>
      </w:r>
    </w:p>
    <w:bookmarkStart w:id="181" w:name="rationale-11"/>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We fit a negative-binomial model of per-site sign-type richness with the manual group and phase as predictors and</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so that the group coefficient estimates the richness difference between restricted and broad sites at equal object count:</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180" w:name="tbl-s9-mixe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Term</w:t>
                  </w:r>
                </w:p>
              </w:tc>
              <w:tc>
                <w:tcPr/>
                <w:p>
                  <w:pPr>
                    <w:pStyle w:val="Compact"/>
                    <w:jc w:val="right"/>
                    <w:jc w:val="center"/>
                  </w:pPr>
                  <w:r>
                    <w:t xml:space="preserve">log-rate</w:t>
                  </w:r>
                </w:p>
              </w:tc>
              <w:tc>
                <w:tcPr/>
                <w:p>
                  <w:pPr>
                    <w:pStyle w:val="Compact"/>
                    <w:jc w:val="right"/>
                    <w:jc w:val="center"/>
                  </w:pPr>
                  <w:r>
                    <w:t xml:space="preserve">rate ratio</w:t>
                  </w:r>
                </w:p>
              </w:tc>
              <w:tc>
                <w:tcPr/>
                <w:p>
                  <w:pPr>
                    <w:pStyle w:val="Compact"/>
                    <w:jc w:val="right"/>
                    <w:jc w:val="center"/>
                  </w:pPr>
                  <w:r>
                    <w:t xml:space="preserve">p-value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0.113</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0.292</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0.462</w:t>
                  </w:r>
                </w:p>
              </w:tc>
            </w:tr>
          </w:tbl>
          <w:p>
            <w:pPr>
              <w:jc w:val="center"/>
            </w:pPr>
            <w:pPr>
              <w:jc w:val="start"/>
              <w:spacing w:before="200"/>
              <w:pStyle w:val="ImageCaption"/>
            </w:pPr>
            <w:r>
              <w:t xml:space="preserve">Table 34: Negative-binomial model of per-site sign-type richness with object count as an offset (exposure). The group coefficient is the log rate ratio of broad versus restricted sites at equal object count; a non-significant coefficient means the raw richness gap between groups is explained by object count.</w:t>
            </w:r>
          </w:p>
          <w:bookmarkEnd w:id="180"/>
        </w:tc>
      </w:tr>
    </w:tbl>
    <w:bookmarkEnd w:id="181"/>
    <w:bookmarkStart w:id="182" w:name="interpretation-10"/>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No. With object count entered as an offset, the group coefficient is -0.329 (rate ratio 0.72, p = 0.292), i.e. non-significant and even slightly</w:t>
      </w:r>
      <w:r>
        <w:t xml:space="preserve"> </w:t>
      </w:r>
      <w:r>
        <w:rPr>
          <w:iCs/>
          <w:i/>
        </w:rPr>
        <w:t xml:space="preserve">negative</w:t>
      </w:r>
      <w:r>
        <w:t xml:space="preserve">: at equal object count, broad-range sites are not richer than restricted-range sites, and if anything marginally poorer. The strong raw correlation between object count and sign-type richness that motivated the reviewer’s concern is therefore explained by object count itself.</w:t>
      </w:r>
      <w:r>
        <w:t xml:space="preserve"> </w:t>
      </w:r>
      <w:r>
        <w:rPr>
          <w:bCs/>
          <w:b/>
        </w:rPr>
        <w:t xml:space="preserve">Answer:</w:t>
      </w:r>
      <w:r>
        <w:t xml:space="preserve"> </w:t>
      </w:r>
      <w:r>
        <w:t xml:space="preserve">the richness difference between the groups is largely a sampling-effort artefact; group membership does not independently predict sign-type richness once object count is accounted for.</w:t>
      </w:r>
    </w:p>
    <w:bookmarkEnd w:id="182"/>
    <w:bookmarkEnd w:id="183"/>
    <w:bookmarkStart w:id="184" w:name="s9.5-synthesis-and-limitation"/>
    <w:p>
      <w:pPr>
        <w:pStyle w:val="Heading2"/>
      </w:pPr>
      <w:r>
        <w:t xml:space="preserve">S9.5 Synthesis and limitation</w:t>
      </w:r>
    </w:p>
    <w:p>
      <w:pPr>
        <w:pStyle w:val="FirstParagraph"/>
      </w:pPr>
      <w:r>
        <w:t xml:space="preserve">The three object-level analyses converge on a single conclusion. (1) Under object-downsampling, only the best-sampled sites retain their R/B assignment; small-object sites flip group at rates indistinguishable from chance, and network modularity collapses (S9.2). (2) Coverage-based rarefaction can compare richness only among the well-sampled sites, and even there the broad/restricted contrast persists — but the majority of sites never reach a comparable coverage, so the method cannot vindicate them (S9.3). (3) Once object count is held constant statistically, group no longer predicts sign-type richness (S9.4).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w:t>
      </w:r>
    </w:p>
    <w:bookmarkEnd w:id="184"/>
    <w:bookmarkStart w:id="211" w:name="references-cited"/>
    <w:p>
      <w:pPr>
        <w:pStyle w:val="Heading2"/>
      </w:pPr>
      <w:r>
        <w:t xml:space="preserve">References cited</w:t>
      </w:r>
    </w:p>
    <w:bookmarkStart w:id="210" w:name="refs"/>
    <w:bookmarkStart w:id="186"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185">
        <w:r>
          <w:rPr>
            <w:rStyle w:val="Hyperlink"/>
          </w:rPr>
          <w:t xml:space="preserve">https://doi.org/10.1016/j.quascirev.2021.106995</w:t>
        </w:r>
      </w:hyperlink>
      <w:r>
        <w:t xml:space="preserve">.</w:t>
      </w:r>
    </w:p>
    <w:bookmarkEnd w:id="186"/>
    <w:bookmarkStart w:id="188"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187">
        <w:r>
          <w:rPr>
            <w:rStyle w:val="Hyperlink"/>
          </w:rPr>
          <w:t xml:space="preserve">https://doi.org/10.1007/s41982-017-0004-4</w:t>
        </w:r>
      </w:hyperlink>
      <w:r>
        <w:t xml:space="preserve">.</w:t>
      </w:r>
    </w:p>
    <w:bookmarkEnd w:id="188"/>
    <w:bookmarkStart w:id="190" w:name="ref-newman2004finding"/>
    <w:p>
      <w:pPr>
        <w:pStyle w:val="Bibliography"/>
      </w:pPr>
      <w:r>
        <w:t xml:space="preserve">[3]</w:t>
      </w:r>
      <w:r>
        <w:t xml:space="preserve"> </w:t>
      </w:r>
      <w:r>
        <w:t xml:space="preserve">	</w:t>
      </w:r>
      <w:r>
        <w:t xml:space="preserve">Newman ME, Girvan M. Finding and evaluating community structure in networks. Physical Review E 2004;69:026113.</w:t>
      </w:r>
      <w:r>
        <w:t xml:space="preserve"> </w:t>
      </w:r>
      <w:hyperlink r:id="rId189">
        <w:r>
          <w:rPr>
            <w:rStyle w:val="Hyperlink"/>
          </w:rPr>
          <w:t xml:space="preserve">https://doi.org/10.1103/PhysRevE.69.026113</w:t>
        </w:r>
      </w:hyperlink>
      <w:r>
        <w:t xml:space="preserve">.</w:t>
      </w:r>
    </w:p>
    <w:bookmarkEnd w:id="190"/>
    <w:bookmarkStart w:id="192" w:name="ref-Lichstein_2007"/>
    <w:p>
      <w:pPr>
        <w:pStyle w:val="Bibliography"/>
      </w:pPr>
      <w:r>
        <w:t xml:space="preserve">[4]</w:t>
      </w:r>
      <w:r>
        <w:t xml:space="preserve"> </w:t>
      </w:r>
      <w:r>
        <w:t xml:space="preserve">	</w:t>
      </w:r>
      <w:r>
        <w:t xml:space="preserve">Lichstein JW. Multiple regression on distance matrices: A multivariate spatial analysis tool. Plant Ecology 2007;188:117–31.</w:t>
      </w:r>
      <w:r>
        <w:t xml:space="preserve"> </w:t>
      </w:r>
      <w:hyperlink r:id="rId191">
        <w:r>
          <w:rPr>
            <w:rStyle w:val="Hyperlink"/>
          </w:rPr>
          <w:t xml:space="preserve">https://doi.org/10.1007/s11258-006-9126-3</w:t>
        </w:r>
      </w:hyperlink>
      <w:r>
        <w:t xml:space="preserve">.</w:t>
      </w:r>
    </w:p>
    <w:bookmarkEnd w:id="192"/>
    <w:bookmarkStart w:id="194" w:name="ref-Monti_2003"/>
    <w:p>
      <w:pPr>
        <w:pStyle w:val="Bibliography"/>
      </w:pPr>
      <w:r>
        <w:t xml:space="preserve">[5]</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193">
        <w:r>
          <w:rPr>
            <w:rStyle w:val="Hyperlink"/>
          </w:rPr>
          <w:t xml:space="preserve">https://doi.org/10.1023/A:1023949509487</w:t>
        </w:r>
      </w:hyperlink>
      <w:r>
        <w:t xml:space="preserve">.</w:t>
      </w:r>
    </w:p>
    <w:bookmarkEnd w:id="194"/>
    <w:bookmarkStart w:id="196" w:name="ref-Bentz_Dutkiewicz_2026"/>
    <w:p>
      <w:pPr>
        <w:pStyle w:val="Bibliography"/>
      </w:pPr>
      <w:r>
        <w:t xml:space="preserve">[6]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195">
        <w:r>
          <w:rPr>
            <w:rStyle w:val="Hyperlink"/>
          </w:rPr>
          <w:t xml:space="preserve">https://doi.org/10.1073/pnas.2520385123</w:t>
        </w:r>
      </w:hyperlink>
      <w:r>
        <w:t xml:space="preserve">.</w:t>
      </w:r>
    </w:p>
    <w:bookmarkEnd w:id="196"/>
    <w:bookmarkStart w:id="198" w:name="ref-Chiotti_2005"/>
    <w:p>
      <w:pPr>
        <w:pStyle w:val="Bibliography"/>
      </w:pPr>
      <w:r>
        <w:t xml:space="preserve">[7]</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97">
        <w:r>
          <w:rPr>
            <w:rStyle w:val="Hyperlink"/>
          </w:rPr>
          <w:t xml:space="preserve">https://doi.org/10.30861/9781841718309</w:t>
        </w:r>
      </w:hyperlink>
      <w:r>
        <w:t xml:space="preserve">.</w:t>
      </w:r>
    </w:p>
    <w:bookmarkEnd w:id="198"/>
    <w:bookmarkStart w:id="200" w:name="ref-Higham_Abri_Pataud_2011"/>
    <w:p>
      <w:pPr>
        <w:pStyle w:val="Bibliography"/>
      </w:pPr>
      <w:r>
        <w:t xml:space="preserve">[8]</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99">
        <w:r>
          <w:rPr>
            <w:rStyle w:val="Hyperlink"/>
          </w:rPr>
          <w:t xml:space="preserve">https://doi.org/10.1016/j.jhevol.2011.06.005</w:t>
        </w:r>
      </w:hyperlink>
      <w:r>
        <w:t xml:space="preserve">.</w:t>
      </w:r>
    </w:p>
    <w:bookmarkEnd w:id="200"/>
    <w:bookmarkStart w:id="202" w:name="ref-Talamo_La_Ferrassie_2020"/>
    <w:p>
      <w:pPr>
        <w:pStyle w:val="Bibliography"/>
      </w:pPr>
      <w:r>
        <w:t xml:space="preserve">[9]</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01">
        <w:r>
          <w:rPr>
            <w:rStyle w:val="Hyperlink"/>
          </w:rPr>
          <w:t xml:space="preserve">https://doi.org/10.1002/jqs.3236</w:t>
        </w:r>
      </w:hyperlink>
      <w:r>
        <w:t xml:space="preserve">.</w:t>
      </w:r>
    </w:p>
    <w:bookmarkEnd w:id="202"/>
    <w:bookmarkStart w:id="203" w:name="ref-Delporte_1984_Ferrassie"/>
    <w:p>
      <w:pPr>
        <w:pStyle w:val="Bibliography"/>
      </w:pPr>
      <w:r>
        <w:t xml:space="preserve">[10]</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203"/>
    <w:bookmarkStart w:id="205" w:name="ref-Oliva_2006"/>
    <w:p>
      <w:pPr>
        <w:pStyle w:val="Bibliography"/>
      </w:pPr>
      <w:r>
        <w:t xml:space="preserve">[11]</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204">
        <w:r>
          <w:rPr>
            <w:rStyle w:val="Hyperlink"/>
          </w:rPr>
          <w:t xml:space="preserve">https://doi.org/10.1007/978-3-211-49294-9_4</w:t>
        </w:r>
      </w:hyperlink>
      <w:r>
        <w:t xml:space="preserve">.</w:t>
      </w:r>
    </w:p>
    <w:bookmarkEnd w:id="205"/>
    <w:bookmarkStart w:id="207" w:name="ref-Wild_et_al_2005"/>
    <w:p>
      <w:pPr>
        <w:pStyle w:val="Bibliography"/>
      </w:pPr>
      <w:r>
        <w:t xml:space="preserve">[12]</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206">
        <w:r>
          <w:rPr>
            <w:rStyle w:val="Hyperlink"/>
          </w:rPr>
          <w:t xml:space="preserve">https://doi.org/10.1038/nature03585</w:t>
        </w:r>
      </w:hyperlink>
      <w:r>
        <w:t xml:space="preserve">.</w:t>
      </w:r>
    </w:p>
    <w:bookmarkEnd w:id="207"/>
    <w:bookmarkStart w:id="209" w:name="ref-Schurch_Conard_2026_reassess"/>
    <w:p>
      <w:pPr>
        <w:pStyle w:val="Bibliography"/>
      </w:pPr>
      <w:r>
        <w:t xml:space="preserve">[13]</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208">
        <w:r>
          <w:rPr>
            <w:rStyle w:val="Hyperlink"/>
          </w:rPr>
          <w:t xml:space="preserve">https://doi.org/10.1007/s41982-025-00246-x</w:t>
        </w:r>
      </w:hyperlink>
      <w:r>
        <w:t xml:space="preserve">.</w:t>
      </w:r>
    </w:p>
    <w:bookmarkEnd w:id="209"/>
    <w:bookmarkEnd w:id="210"/>
    <w:bookmarkEnd w:id="211"/>
    <w:bookmarkEnd w:id="212"/>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7" Target="media/rId97.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86" Target="media/rId86.png" /><Relationship Type="http://schemas.openxmlformats.org/officeDocument/2006/relationships/image" Id="rId156" Target="media/rId156.png" /><Relationship Type="http://schemas.openxmlformats.org/officeDocument/2006/relationships/image" Id="rId173" Target="media/rId173.png" /><Relationship Type="http://schemas.openxmlformats.org/officeDocument/2006/relationships/image" Id="rId165" Target="media/rId165.png" /><Relationship Type="http://schemas.openxmlformats.org/officeDocument/2006/relationships/image" Id="rId73" Target="media/rId73.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hyperlink" Id="rId201" Target="https://doi.org/10.1002/jqs.3236" TargetMode="External" /><Relationship Type="http://schemas.openxmlformats.org/officeDocument/2006/relationships/hyperlink" Id="rId204" Target="https://doi.org/10.1007/978-3-211-49294-9_4" TargetMode="External" /><Relationship Type="http://schemas.openxmlformats.org/officeDocument/2006/relationships/hyperlink" Id="rId191" Target="https://doi.org/10.1007/s11258-006-9126-3" TargetMode="External" /><Relationship Type="http://schemas.openxmlformats.org/officeDocument/2006/relationships/hyperlink" Id="rId187" Target="https://doi.org/10.1007/s41982-017-0004-4" TargetMode="External" /><Relationship Type="http://schemas.openxmlformats.org/officeDocument/2006/relationships/hyperlink" Id="rId208" Target="https://doi.org/10.1007/s41982-025-00246-x" TargetMode="External" /><Relationship Type="http://schemas.openxmlformats.org/officeDocument/2006/relationships/hyperlink" Id="rId199" Target="https://doi.org/10.1016/j.jhevol.2011.06.005" TargetMode="External" /><Relationship Type="http://schemas.openxmlformats.org/officeDocument/2006/relationships/hyperlink" Id="rId185" Target="https://doi.org/10.1016/j.quascirev.2021.106995" TargetMode="External" /><Relationship Type="http://schemas.openxmlformats.org/officeDocument/2006/relationships/hyperlink" Id="rId193" Target="https://doi.org/10.1023/A:1023949509487" TargetMode="External" /><Relationship Type="http://schemas.openxmlformats.org/officeDocument/2006/relationships/hyperlink" Id="rId206" Target="https://doi.org/10.1038/nature03585" TargetMode="External" /><Relationship Type="http://schemas.openxmlformats.org/officeDocument/2006/relationships/hyperlink" Id="rId195" Target="https://doi.org/10.1073/pnas.2520385123" TargetMode="External" /><Relationship Type="http://schemas.openxmlformats.org/officeDocument/2006/relationships/hyperlink" Id="rId189" Target="https://doi.org/10.1103/PhysRevE.69.026113" TargetMode="External" /><Relationship Type="http://schemas.openxmlformats.org/officeDocument/2006/relationships/hyperlink" Id="rId197" Target="https://doi.org/10.30861/9781841718309"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201" Target="https://doi.org/10.1002/jqs.3236" TargetMode="External" /><Relationship Type="http://schemas.openxmlformats.org/officeDocument/2006/relationships/hyperlink" Id="rId204" Target="https://doi.org/10.1007/978-3-211-49294-9_4" TargetMode="External" /><Relationship Type="http://schemas.openxmlformats.org/officeDocument/2006/relationships/hyperlink" Id="rId191" Target="https://doi.org/10.1007/s11258-006-9126-3" TargetMode="External" /><Relationship Type="http://schemas.openxmlformats.org/officeDocument/2006/relationships/hyperlink" Id="rId187" Target="https://doi.org/10.1007/s41982-017-0004-4" TargetMode="External" /><Relationship Type="http://schemas.openxmlformats.org/officeDocument/2006/relationships/hyperlink" Id="rId208" Target="https://doi.org/10.1007/s41982-025-00246-x" TargetMode="External" /><Relationship Type="http://schemas.openxmlformats.org/officeDocument/2006/relationships/hyperlink" Id="rId199" Target="https://doi.org/10.1016/j.jhevol.2011.06.005" TargetMode="External" /><Relationship Type="http://schemas.openxmlformats.org/officeDocument/2006/relationships/hyperlink" Id="rId185" Target="https://doi.org/10.1016/j.quascirev.2021.106995" TargetMode="External" /><Relationship Type="http://schemas.openxmlformats.org/officeDocument/2006/relationships/hyperlink" Id="rId193" Target="https://doi.org/10.1023/A:1023949509487" TargetMode="External" /><Relationship Type="http://schemas.openxmlformats.org/officeDocument/2006/relationships/hyperlink" Id="rId206" Target="https://doi.org/10.1038/nature03585" TargetMode="External" /><Relationship Type="http://schemas.openxmlformats.org/officeDocument/2006/relationships/hyperlink" Id="rId195" Target="https://doi.org/10.1073/pnas.2520385123" TargetMode="External" /><Relationship Type="http://schemas.openxmlformats.org/officeDocument/2006/relationships/hyperlink" Id="rId189" Target="https://doi.org/10.1103/PhysRevE.69.026113" TargetMode="External" /><Relationship Type="http://schemas.openxmlformats.org/officeDocument/2006/relationships/hyperlink" Id="rId197" Target="https://doi.org/10.30861/9781841718309"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2026-08-25T06:07:17Z</dcterms:created>
  <dcterms:modified xsi:type="dcterms:W3CDTF">2026-08-25T06:07:17Z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24,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