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0.png" ContentType="image/png"/>
  <Override PartName="/word/media/rId217.png" ContentType="image/png"/>
  <Override PartName="/word/media/rId226.png" ContentType="image/png"/>
  <Override PartName="/word/media/rId50.png" ContentType="image/png"/>
  <Override PartName="/word/media/rId159.png" ContentType="image/png"/>
  <Override PartName="/word/media/rId46.png" ContentType="image/png"/>
  <Override PartName="/word/media/rId29.png" ContentType="image/png"/>
  <Override PartName="/word/media/rId131.png" ContentType="image/png"/>
  <Override PartName="/word/media/rId65.png" ContentType="image/png"/>
  <Override PartName="/word/media/rId240.png" ContentType="image/png"/>
  <Override PartName="/word/media/rId269.png" ContentType="image/png"/>
  <Override PartName="/word/media/rId290.png" ContentType="image/png"/>
  <Override PartName="/word/media/rId257.png" ContentType="image/png"/>
  <Override PartName="/word/media/rId249.png" ContentType="image/png"/>
  <Override PartName="/word/media/rId178.png" ContentType="image/png"/>
  <Override PartName="/word/media/rId187.png" ContentType="image/png"/>
  <Override PartName="/word/media/rId195.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w:t>
      </w:r>
      <w:r>
        <w:t xml:space="preserve"> </w:t>
      </w:r>
      <w:r>
        <w:t xml:space="preserve">Sensitivity</w:t>
      </w:r>
      <w:r>
        <w:t xml:space="preserve"> </w:t>
      </w:r>
      <w:r>
        <w:t xml:space="preserve">Analyses</w:t>
      </w:r>
    </w:p>
    <w:p>
      <w:pPr>
        <w:pStyle w:val="Subtitle"/>
      </w:pPr>
      <w:r>
        <w:t xml:space="preserve">Geometric</w:t>
      </w:r>
      <w:r>
        <w:t xml:space="preserve"> </w:t>
      </w:r>
      <w:r>
        <w:t xml:space="preserve">signs</w:t>
      </w:r>
      <w:r>
        <w:t xml:space="preserve"> </w:t>
      </w:r>
      <w:r>
        <w:t xml:space="preserve">reveal</w:t>
      </w:r>
      <w:r>
        <w:t xml:space="preserve"> </w:t>
      </w:r>
      <w:r>
        <w:t xml:space="preserve">a</w:t>
      </w:r>
      <w:r>
        <w:t xml:space="preserve"> </w:t>
      </w:r>
      <w:r>
        <w:t xml:space="preserve">continuum</w:t>
      </w:r>
      <w:r>
        <w:t xml:space="preserve"> </w:t>
      </w:r>
      <w:r>
        <w:t xml:space="preserve">rather</w:t>
      </w:r>
      <w:r>
        <w:t xml:space="preserve"> </w:t>
      </w:r>
      <w:r>
        <w:t xml:space="preserve">than</w:t>
      </w:r>
      <w:r>
        <w:t xml:space="preserve"> </w:t>
      </w:r>
      <w:r>
        <w:t xml:space="preserve">discrete</w:t>
      </w:r>
      <w:r>
        <w:t xml:space="preserve"> </w:t>
      </w:r>
      <w:r>
        <w:t xml:space="preserve">cultural</w:t>
      </w:r>
      <w:r>
        <w:t xml:space="preserve"> </w:t>
      </w:r>
      <w:r>
        <w:t xml:space="preserve">groups</w:t>
      </w:r>
      <w:r>
        <w:t xml:space="preserve"> </w:t>
      </w:r>
      <w:r>
        <w:t xml:space="preserve">in</w:t>
      </w:r>
      <w:r>
        <w:t xml:space="preserve"> </w:t>
      </w:r>
      <w:r>
        <w:t xml:space="preserve">the</w:t>
      </w:r>
      <w:r>
        <w:t xml:space="preserve"> </w:t>
      </w:r>
      <w:r>
        <w:t xml:space="preserve">Aurignacian</w:t>
      </w:r>
    </w:p>
    <w:p>
      <w:pPr>
        <w:pStyle w:val="Author"/>
      </w:pPr>
      <w:r>
        <w:t xml:space="preserve">Sophie Cooper</w:t>
      </w:r>
      <w:r>
        <w:rPr>
          <w:vertAlign w:val="superscript"/>
        </w:rPr>
        <w:t xml:space="preserve">1</w:t>
      </w:r>
      <w:r>
        <w:t xml:space="preserve">,</w:t>
      </w:r>
      <w:r>
        <w:t xml:space="preserve"> </w:t>
      </w:r>
      <w:r>
        <w:t xml:space="preserve">Aleah Rosner</w:t>
      </w:r>
      <w:r>
        <w:rPr>
          <w:vertAlign w:val="superscript"/>
        </w:rPr>
        <w:t xml:space="preserve">1</w:t>
      </w:r>
      <w:r>
        <w:t xml:space="preserve">,</w:t>
      </w:r>
      <w:r>
        <w:t xml:space="preserve"> </w:t>
      </w:r>
      <w:r>
        <w:t xml:space="preserve">Eva Oryn</w:t>
      </w:r>
      <w:r>
        <w:rPr>
          <w:vertAlign w:val="superscript"/>
        </w:rPr>
        <w:t xml:space="preserve">1</w:t>
      </w:r>
      <w:r>
        <w:t xml:space="preserve">,</w:t>
      </w:r>
      <w:r>
        <w:t xml:space="preserve"> </w:t>
      </w:r>
      <w:r>
        <w:t xml:space="preserve">Kenneth B. Vernon</w:t>
      </w:r>
      <w:r>
        <w:rPr>
          <w:vertAlign w:val="superscript"/>
        </w:rPr>
        <w:t xml:space="preserve">2</w:t>
      </w:r>
      <w:r>
        <w:t xml:space="preserve">,</w:t>
      </w:r>
      <w:r>
        <w:t xml:space="preserve"> </w:t>
      </w:r>
      <w:r>
        <w:t xml:space="preserve">and</w:t>
      </w:r>
      <w:r>
        <w:t xml:space="preserve"> </w:t>
      </w:r>
      <w:r>
        <w:t xml:space="preserve">Ben Marwick</w:t>
      </w:r>
      <w:r>
        <w:rPr>
          <w:vertAlign w:val="superscript"/>
        </w:rPr>
        <w:t xml:space="preserve">1</w:t>
      </w:r>
      <w:r>
        <w:rPr>
          <w:vertAlign w:val="superscript"/>
        </w:rPr>
        <w:t xml:space="preserve">,</w:t>
      </w:r>
      <w:r>
        <w:rPr>
          <w:vertAlign w:val="superscript"/>
        </w:rPr>
        <w:t xml:space="preserve">✉</w:t>
      </w:r>
    </w:p>
    <w:p>
      <w:pPr>
        <w:pStyle w:val="Date"/>
      </w:pPr>
      <w:r>
        <w:t xml:space="preserve">October</w:t>
      </w:r>
      <w:r>
        <w:t xml:space="preserve"> </w:t>
      </w:r>
      <w:r>
        <w:t xml:space="preserve">19,</w:t>
      </w:r>
      <w:r>
        <w:t xml:space="preserve"> </w:t>
      </w:r>
      <w:r>
        <w:t xml:space="preserve">2026</w:t>
      </w:r>
    </w:p>
    <w:p>
      <w:pPr>
        <w:pStyle w:val="FirstParagraph"/>
      </w:pPr>
      <w:r>
        <w:rPr>
          <w:vertAlign w:val="superscript"/>
        </w:rPr>
        <w:t xml:space="preserve">1</w:t>
      </w:r>
      <w:r>
        <w:t xml:space="preserve"> </w:t>
      </w:r>
      <w:r>
        <w:t xml:space="preserve">Department of Anthropology, University of Washington, Seattle, USA</w:t>
      </w:r>
      <w:r>
        <w:br/>
      </w:r>
      <w:r>
        <w:rPr>
          <w:vertAlign w:val="superscript"/>
        </w:rPr>
        <w:t xml:space="preserve">2</w:t>
      </w:r>
      <w:r>
        <w:t xml:space="preserve"> </w:t>
      </w:r>
      <w:r>
        <w:t xml:space="preserve">Scientific Computing and Imaging Institute, University of Utah, Salt Lake City,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Ben Marwick &lt;bmarwick@uw.edu&gt;</w:t>
        </w:r>
      </w:hyperlink>
    </w:p>
    <w:bookmarkStart w:id="25" w:name="sec-s1"/>
    <w:p>
      <w:pPr>
        <w:pStyle w:val="Heading1"/>
      </w:pPr>
      <w:r>
        <w:t xml:space="preserve">S1.1 Sample Foundation and Site Retention</w:t>
      </w:r>
    </w:p>
    <w:bookmarkStart w:id="21" w:name="sec-s1-rationale"/>
    <w:p>
      <w:pPr>
        <w:pStyle w:val="Heading2"/>
      </w:pPr>
      <w:r>
        <w:t xml:space="preserve">S1.1.1 Rationale</w:t>
      </w:r>
    </w:p>
    <w:p>
      <w:pPr>
        <w:pStyle w:val="FirstParagraph"/>
      </w:pPr>
      <w:r>
        <w:t xml:space="preserve">This section expands on the site rejection details noted in the main text. It answers two specific questions:</w:t>
      </w:r>
    </w:p>
    <w:p>
      <w:pPr>
        <w:pStyle w:val="BodyText"/>
      </w:pPr>
      <w:r>
        <w:rPr>
          <w:bCs/>
          <w:b/>
        </w:rPr>
        <w:t xml:space="preserve">Question: how many signed objects and sites are lost at each step of data cleaning?</w:t>
      </w:r>
    </w:p>
    <w:p>
      <w:pPr>
        <w:pStyle w:val="BodyText"/>
      </w:pPr>
      <w:r>
        <w:rPr>
          <w:bCs/>
          <w:b/>
        </w:rPr>
        <w:t xml:space="preserve">Question: does the loss fall disproportionately on the small Aur-P2 sample?</w:t>
      </w:r>
    </w:p>
    <w:bookmarkEnd w:id="21"/>
    <w:bookmarkStart w:id="23" w:name="sec-s1-analysis"/>
    <w:p>
      <w:pPr>
        <w:pStyle w:val="Heading2"/>
      </w:pPr>
      <w:r>
        <w:t xml:space="preserve">S1.1.2 Analysis</w:t>
      </w:r>
    </w:p>
    <w:p>
      <w:pPr>
        <w:pStyle w:val="FirstParagraph"/>
      </w:pPr>
      <w:r>
        <w:t xml:space="preserve">The raw extract contains 515 signed objects (objects with at least one presence in</w:t>
      </w:r>
      <w:r>
        <w:t xml:space="preserve"> </w:t>
      </w:r>
      <w:r>
        <w:rPr>
          <w:rStyle w:val="VerbatimChar"/>
        </w:rPr>
        <w:t xml:space="preserve">line:star</w:t>
      </w:r>
      <w:r>
        <w:t xml:space="preserve"> </w:t>
      </w:r>
      <w:r>
        <w:t xml:space="preserve">after dropping</w:t>
      </w:r>
      <w:r>
        <w:t xml:space="preserve"> </w:t>
      </w:r>
      <w:r>
        <w:rPr>
          <w:rStyle w:val="VerbatimChar"/>
        </w:rPr>
        <w:t xml:space="preserve">other</w:t>
      </w:r>
      <w:r>
        <w:t xml:space="preserve">/</w:t>
      </w:r>
      <w:r>
        <w:rPr>
          <w:rStyle w:val="VerbatimChar"/>
        </w:rPr>
        <w:t xml:space="preserve">rectangle</w:t>
      </w:r>
      <w:r>
        <w:t xml:space="preserve">, as in</w:t>
      </w:r>
      <w:r>
        <w:t xml:space="preserve"> </w:t>
      </w:r>
      <w:r>
        <w:rPr>
          <w:rStyle w:val="VerbatimChar"/>
        </w:rPr>
        <w:t xml:space="preserve">clean_signbase()</w:t>
      </w:r>
      <w:r>
        <w:t xml:space="preserve">) at 64 sites. After removing the eight sites listed in the main text as examples of low quality data, 496 signed objects at 57 sites remain. A further 27 sites carrying 58 signed objects are lost at the data cleaning step and do not enter phase assignment. The retained analysed sample is therefore 409 objects at 28 unique geographic sites (the 28 sites are later split into site-phase units in the next chunk).</w:t>
      </w:r>
    </w:p>
    <w:tbl>
      <w:tblPr>
        <w:tblStyle w:val="Table"/>
        <w:tblW w:type="pct" w:w="5000"/>
        <w:tblLook w:firstRow="0" w:lastRow="0" w:firstColumn="0" w:lastColumn="0" w:noHBand="0" w:noVBand="0" w:val="0000"/>
        <w:jc w:val="start"/>
        <w:tblLayout w:type="fixed"/>
      </w:tblPr>
      <w:tblGrid>
        <w:gridCol w:w="7920"/>
      </w:tblGrid>
      <w:tr>
        <w:tc>
          <w:tcPr/>
          <w:bookmarkStart w:id="22" w:name="tbl-dropped-sites"/>
          <w:tbl>
            <w:tblPr>
              <w:tblStyle w:val="Table"/>
              <w:tblW w:type="pct" w:w="5000"/>
              <w:tblLook w:firstRow="1" w:lastRow="0" w:firstColumn="0" w:lastColumn="0" w:noHBand="0" w:noVBand="0" w:val="0020"/>
              <w:jc w:val="start"/>
              <w:tblLayout w:type="fixed"/>
            </w:tblPr>
            <w:tblGrid>
              <w:gridCol w:w="1742"/>
              <w:gridCol w:w="792"/>
              <w:gridCol w:w="1425"/>
              <w:gridCol w:w="1108"/>
              <w:gridCol w:w="2851"/>
            </w:tblGrid>
            <w:tr>
              <w:trPr>
                <w:tblHeader w:val="true"/>
              </w:trPr>
              <w:tc>
                <w:tcPr/>
                <w:p>
                  <w:pPr>
                    <w:pStyle w:val="Compact"/>
                    <w:jc w:val="left"/>
                    <w:jc w:val="left"/>
                  </w:pPr>
                  <w:r>
                    <w:t xml:space="preserve">Site</w:t>
                  </w:r>
                </w:p>
              </w:tc>
              <w:tc>
                <w:tcPr/>
                <w:p>
                  <w:pPr>
                    <w:pStyle w:val="Compact"/>
                    <w:jc w:val="left"/>
                    <w:jc w:val="left"/>
                  </w:pPr>
                  <w:r>
                    <w:t xml:space="preserve">Signed objects</w:t>
                  </w:r>
                </w:p>
              </w:tc>
              <w:tc>
                <w:tcPr/>
                <w:p>
                  <w:pPr>
                    <w:pStyle w:val="Compact"/>
                    <w:jc w:val="left"/>
                    <w:jc w:val="left"/>
                  </w:pPr>
                  <w:r>
                    <w:t xml:space="preserve">date_bp_max_min (example)</w:t>
                  </w:r>
                </w:p>
              </w:tc>
              <w:tc>
                <w:tcPr/>
                <w:p>
                  <w:pPr>
                    <w:pStyle w:val="Compact"/>
                    <w:jc w:val="left"/>
                    <w:jc w:val="left"/>
                  </w:pPr>
                  <w:r>
                    <w:t xml:space="preserve">dating_method (example)</w:t>
                  </w:r>
                </w:p>
              </w:tc>
              <w:tc>
                <w:tcPr/>
                <w:p>
                  <w:pPr>
                    <w:pStyle w:val="Compact"/>
                    <w:jc w:val="left"/>
                    <w:jc w:val="left"/>
                  </w:pPr>
                  <w:r>
                    <w:t xml:space="preserve">Reason</w:t>
                  </w:r>
                </w:p>
              </w:tc>
            </w:tr>
            <w:tr>
              <w:tc>
                <w:tcPr/>
                <w:p>
                  <w:pPr>
                    <w:pStyle w:val="Compact"/>
                    <w:jc w:val="left"/>
                    <w:jc w:val="left"/>
                  </w:pPr>
                  <w:r>
                    <w:t xml:space="preserve">Grotte de Goyet</w:t>
                  </w:r>
                </w:p>
              </w:tc>
              <w:tc>
                <w:tcPr/>
                <w:p>
                  <w:pPr>
                    <w:pStyle w:val="Compact"/>
                    <w:jc w:val="left"/>
                    <w:jc w:val="left"/>
                  </w:pPr>
                  <w:r>
                    <w:t xml:space="preserve">12</w:t>
                  </w:r>
                </w:p>
              </w:tc>
              <w:tc>
                <w:tcPr/>
                <w:p>
                  <w:pPr>
                    <w:pStyle w:val="Compact"/>
                    <w:jc w:val="left"/>
                    <w:jc w:val="left"/>
                  </w:pPr>
                  <w:r>
                    <w:t xml:space="preserve">35160 - 33140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Maisières-Canal</w:t>
                  </w:r>
                </w:p>
              </w:tc>
              <w:tc>
                <w:tcPr/>
                <w:p>
                  <w:pPr>
                    <w:pStyle w:val="Compact"/>
                    <w:jc w:val="left"/>
                    <w:jc w:val="left"/>
                  </w:pPr>
                  <w:r>
                    <w:t xml:space="preserve">5</w:t>
                  </w:r>
                </w:p>
              </w:tc>
              <w:tc>
                <w:tcPr/>
                <w:p>
                  <w:pPr>
                    <w:pStyle w:val="Compact"/>
                    <w:jc w:val="left"/>
                    <w:jc w:val="left"/>
                  </w:pPr>
                  <w:r>
                    <w:t xml:space="preserve">33000 - 32000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Abri de Laussel</w:t>
                  </w:r>
                </w:p>
              </w:tc>
              <w:tc>
                <w:tcPr/>
                <w:p>
                  <w:pPr>
                    <w:pStyle w:val="Compact"/>
                    <w:jc w:val="left"/>
                    <w:jc w:val="left"/>
                  </w:pPr>
                  <w:r>
                    <w:t xml:space="preserve">4</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Brassempouy</w:t>
                  </w:r>
                </w:p>
              </w:tc>
              <w:tc>
                <w:tcPr/>
                <w:p>
                  <w:pPr>
                    <w:pStyle w:val="Compact"/>
                    <w:jc w:val="left"/>
                    <w:jc w:val="left"/>
                  </w:pPr>
                  <w:r>
                    <w:t xml:space="preserve">3</w:t>
                  </w:r>
                </w:p>
              </w:tc>
              <w:tc>
                <w:tcPr/>
                <w:p>
                  <w:pPr>
                    <w:pStyle w:val="Compact"/>
                    <w:jc w:val="left"/>
                    <w:jc w:val="left"/>
                  </w:pPr>
                  <w:r>
                    <w:t xml:space="preserve">34000 - 30000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Istállóskő Cave</w:t>
                  </w:r>
                </w:p>
              </w:tc>
              <w:tc>
                <w:tcPr/>
                <w:p>
                  <w:pPr>
                    <w:pStyle w:val="Compact"/>
                    <w:jc w:val="left"/>
                    <w:jc w:val="left"/>
                  </w:pPr>
                  <w:r>
                    <w:t xml:space="preserve">3</w:t>
                  </w:r>
                </w:p>
              </w:tc>
              <w:tc>
                <w:tcPr/>
                <w:p>
                  <w:pPr>
                    <w:pStyle w:val="Compact"/>
                    <w:jc w:val="left"/>
                    <w:jc w:val="left"/>
                  </w:pPr>
                  <w:r>
                    <w:t xml:space="preserve">35000 - 32000</w:t>
                  </w:r>
                </w:p>
              </w:tc>
              <w:tc>
                <w:tcPr/>
                <w:p>
                  <w:pPr>
                    <w:pStyle w:val="Compact"/>
                    <w:jc w:val="left"/>
                    <w:jc w:val="left"/>
                  </w:pPr>
                  <w:r>
                    <w:t xml:space="preserve">AMS</w:t>
                  </w:r>
                </w:p>
              </w:tc>
              <w:tc>
                <w:tcPr/>
                <w:p>
                  <w:pPr>
                    <w:pStyle w:val="Compact"/>
                    <w:jc w:val="left"/>
                    <w:jc w:val="left"/>
                  </w:pPr>
                  <w:r>
                    <w:t xml:space="preserve">plain interval without ±</w:t>
                  </w:r>
                </w:p>
              </w:tc>
            </w:tr>
            <w:tr>
              <w:tc>
                <w:tcPr/>
                <w:p>
                  <w:pPr>
                    <w:pStyle w:val="Compact"/>
                    <w:jc w:val="left"/>
                    <w:jc w:val="left"/>
                  </w:pPr>
                  <w:r>
                    <w:t xml:space="preserve">Nová Dědina</w:t>
                  </w:r>
                </w:p>
              </w:tc>
              <w:tc>
                <w:tcPr/>
                <w:p>
                  <w:pPr>
                    <w:pStyle w:val="Compact"/>
                    <w:jc w:val="left"/>
                    <w:jc w:val="left"/>
                  </w:pPr>
                  <w:r>
                    <w:t xml:space="preserve">3</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Žlutava</w:t>
                  </w:r>
                </w:p>
              </w:tc>
              <w:tc>
                <w:tcPr/>
                <w:p>
                  <w:pPr>
                    <w:pStyle w:val="Compact"/>
                    <w:jc w:val="left"/>
                    <w:jc w:val="left"/>
                  </w:pPr>
                  <w:r>
                    <w:t xml:space="preserve">3</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Abri Lartet/Gorge d’Enfer</w:t>
                  </w:r>
                </w:p>
              </w:tc>
              <w:tc>
                <w:tcPr/>
                <w:p>
                  <w:pPr>
                    <w:pStyle w:val="Compact"/>
                    <w:jc w:val="left"/>
                    <w:jc w:val="left"/>
                  </w:pPr>
                  <w:r>
                    <w:t xml:space="preserve">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La Souquette</w:t>
                  </w:r>
                </w:p>
              </w:tc>
              <w:tc>
                <w:tcPr/>
                <w:p>
                  <w:pPr>
                    <w:pStyle w:val="Compact"/>
                    <w:jc w:val="left"/>
                    <w:jc w:val="left"/>
                  </w:pPr>
                  <w:r>
                    <w:t xml:space="preserve">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Le Trou Du Renard</w:t>
                  </w:r>
                </w:p>
              </w:tc>
              <w:tc>
                <w:tcPr/>
                <w:p>
                  <w:pPr>
                    <w:pStyle w:val="Compact"/>
                    <w:jc w:val="left"/>
                    <w:jc w:val="left"/>
                  </w:pPr>
                  <w:r>
                    <w:t xml:space="preserve">2</w:t>
                  </w:r>
                </w:p>
              </w:tc>
              <w:tc>
                <w:tcPr/>
                <w:p>
                  <w:pPr>
                    <w:pStyle w:val="Compact"/>
                    <w:jc w:val="left"/>
                    <w:jc w:val="left"/>
                  </w:pPr>
                  <w:r>
                    <w:t xml:space="preserve">33000 - 32000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Menton/Grottes du Grimaldi</w:t>
                  </w:r>
                </w:p>
              </w:tc>
              <w:tc>
                <w:tcPr/>
                <w:p>
                  <w:pPr>
                    <w:pStyle w:val="Compact"/>
                    <w:jc w:val="left"/>
                    <w:jc w:val="left"/>
                  </w:pPr>
                  <w:r>
                    <w:t xml:space="preserve">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Tuto de Camalhot</w:t>
                  </w:r>
                </w:p>
              </w:tc>
              <w:tc>
                <w:tcPr/>
                <w:p>
                  <w:pPr>
                    <w:pStyle w:val="Compact"/>
                    <w:jc w:val="left"/>
                    <w:jc w:val="left"/>
                  </w:pPr>
                  <w:r>
                    <w:t xml:space="preserve">2</w:t>
                  </w:r>
                </w:p>
              </w:tc>
              <w:tc>
                <w:tcPr/>
                <w:p>
                  <w:pPr>
                    <w:pStyle w:val="Compact"/>
                    <w:jc w:val="left"/>
                    <w:jc w:val="left"/>
                  </w:pPr>
                  <w:r>
                    <w:t xml:space="preserve">34750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Abri du Poisson</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Aurignac</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Breitenbach</w:t>
                  </w:r>
                </w:p>
              </w:tc>
              <w:tc>
                <w:tcPr/>
                <w:p>
                  <w:pPr>
                    <w:pStyle w:val="Compact"/>
                    <w:jc w:val="left"/>
                    <w:jc w:val="left"/>
                  </w:pPr>
                  <w:r>
                    <w:t xml:space="preserve">1</w:t>
                  </w:r>
                </w:p>
              </w:tc>
              <w:tc>
                <w:tcPr/>
                <w:p>
                  <w:pPr>
                    <w:pStyle w:val="Compact"/>
                    <w:jc w:val="left"/>
                    <w:jc w:val="left"/>
                  </w:pPr>
                  <w:r>
                    <w:t xml:space="preserve">30000 - 27000</w:t>
                  </w:r>
                </w:p>
              </w:tc>
              <w:tc>
                <w:tcPr/>
                <w:p>
                  <w:pPr>
                    <w:pStyle w:val="Compact"/>
                  </w:pPr>
                </w:p>
              </w:tc>
              <w:tc>
                <w:tcPr/>
                <w:p>
                  <w:pPr>
                    <w:pStyle w:val="Compact"/>
                  </w:pPr>
                </w:p>
              </w:tc>
            </w:tr>
            <w:tr>
              <w:tc>
                <w:tcPr/>
                <w:p>
                  <w:pPr>
                    <w:pStyle w:val="Compact"/>
                    <w:jc w:val="left"/>
                    <w:jc w:val="left"/>
                  </w:pPr>
                  <w:r>
                    <w:t xml:space="preserve">26000 - 28 000 BP</w:t>
                  </w:r>
                </w:p>
              </w:tc>
              <w:tc>
                <w:tcPr/>
                <w:p>
                  <w:pPr>
                    <w:pStyle w:val="Compact"/>
                    <w:jc w:val="left"/>
                    <w:jc w:val="left"/>
                  </w:pPr>
                  <w:r>
                    <w:t xml:space="preserve">C14</w:t>
                  </w:r>
                </w:p>
              </w:tc>
              <w:tc>
                <w:tcPr/>
                <w:p>
                  <w:pPr>
                    <w:pStyle w:val="Compact"/>
                    <w:jc w:val="left"/>
                    <w:jc w:val="left"/>
                  </w:pPr>
                  <w:r>
                    <w:t xml:space="preserve">plain interval without ±</w:t>
                  </w:r>
                </w:p>
              </w:tc>
              <w:tc>
                <w:tcPr/>
                <w:p>
                  <w:pPr>
                    <w:pStyle w:val="Compact"/>
                  </w:pPr>
                </w:p>
              </w:tc>
              <w:tc>
                <w:tcPr/>
                <w:p>
                  <w:pPr>
                    <w:pStyle w:val="Compact"/>
                  </w:pPr>
                </w:p>
              </w:tc>
            </w:tr>
            <w:tr>
              <w:tc>
                <w:tcPr/>
                <w:p>
                  <w:pPr>
                    <w:pStyle w:val="Compact"/>
                    <w:jc w:val="left"/>
                    <w:jc w:val="left"/>
                  </w:pPr>
                  <w:r>
                    <w:t xml:space="preserve">El Rascaño</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Göpfelsteinhöhle</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C14</w:t>
                  </w:r>
                </w:p>
              </w:tc>
              <w:tc>
                <w:tcPr/>
                <w:p>
                  <w:pPr>
                    <w:pStyle w:val="Compact"/>
                    <w:jc w:val="left"/>
                    <w:jc w:val="left"/>
                  </w:pPr>
                  <w:r>
                    <w:t xml:space="preserve">no date</w:t>
                  </w:r>
                </w:p>
              </w:tc>
            </w:tr>
            <w:tr>
              <w:tc>
                <w:tcPr/>
                <w:p>
                  <w:pPr>
                    <w:pStyle w:val="Compact"/>
                    <w:jc w:val="left"/>
                    <w:jc w:val="left"/>
                  </w:pPr>
                  <w:r>
                    <w:t xml:space="preserve">Hornos de la Pena</w:t>
                  </w:r>
                </w:p>
              </w:tc>
              <w:tc>
                <w:tcPr/>
                <w:p>
                  <w:pPr>
                    <w:pStyle w:val="Compact"/>
                    <w:jc w:val="left"/>
                    <w:jc w:val="left"/>
                  </w:pPr>
                  <w:r>
                    <w:t xml:space="preserve">1</w:t>
                  </w:r>
                </w:p>
              </w:tc>
              <w:tc>
                <w:tcPr/>
                <w:p>
                  <w:pPr>
                    <w:pStyle w:val="Compact"/>
                    <w:jc w:val="left"/>
                    <w:jc w:val="left"/>
                  </w:pPr>
                  <w:r>
                    <w:t xml:space="preserve">34000 - 30000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Kvasice</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Le Terme Pialat</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Lhotka</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Otaslavice</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Peskő Cave</w:t>
                  </w:r>
                </w:p>
              </w:tc>
              <w:tc>
                <w:tcPr/>
                <w:p>
                  <w:pPr>
                    <w:pStyle w:val="Compact"/>
                    <w:jc w:val="left"/>
                    <w:jc w:val="left"/>
                  </w:pPr>
                  <w:r>
                    <w:t xml:space="preserve">1</w:t>
                  </w:r>
                </w:p>
              </w:tc>
              <w:tc>
                <w:tcPr/>
                <w:p>
                  <w:pPr>
                    <w:pStyle w:val="Compact"/>
                    <w:jc w:val="left"/>
                    <w:jc w:val="left"/>
                  </w:pPr>
                  <w:r>
                    <w:t xml:space="preserve">38300 - 33500</w:t>
                  </w:r>
                </w:p>
              </w:tc>
              <w:tc>
                <w:tcPr/>
                <w:p>
                  <w:pPr>
                    <w:pStyle w:val="Compact"/>
                    <w:jc w:val="left"/>
                    <w:jc w:val="left"/>
                  </w:pPr>
                  <w:r>
                    <w:t xml:space="preserve">AMS</w:t>
                  </w:r>
                </w:p>
              </w:tc>
              <w:tc>
                <w:tcPr/>
                <w:p>
                  <w:pPr>
                    <w:pStyle w:val="Compact"/>
                    <w:jc w:val="left"/>
                    <w:jc w:val="left"/>
                  </w:pPr>
                  <w:r>
                    <w:t xml:space="preserve">plain interval without ±</w:t>
                  </w:r>
                </w:p>
              </w:tc>
            </w:tr>
            <w:tr>
              <w:tc>
                <w:tcPr/>
                <w:p>
                  <w:pPr>
                    <w:pStyle w:val="Compact"/>
                    <w:jc w:val="left"/>
                    <w:jc w:val="left"/>
                  </w:pPr>
                  <w:r>
                    <w:t xml:space="preserve">Shelter Birów IV</w:t>
                  </w:r>
                </w:p>
              </w:tc>
              <w:tc>
                <w:tcPr/>
                <w:p>
                  <w:pPr>
                    <w:pStyle w:val="Compact"/>
                    <w:jc w:val="left"/>
                    <w:jc w:val="left"/>
                  </w:pPr>
                  <w:r>
                    <w:t xml:space="preserve">1</w:t>
                  </w:r>
                </w:p>
              </w:tc>
              <w:tc>
                <w:tcPr/>
                <w:p>
                  <w:pPr>
                    <w:pStyle w:val="Compact"/>
                    <w:jc w:val="left"/>
                    <w:jc w:val="left"/>
                  </w:pPr>
                  <w:r>
                    <w:t xml:space="preserve">34000 - 30000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Slatinice</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Wildscheuer</w:t>
                  </w:r>
                </w:p>
              </w:tc>
              <w:tc>
                <w:tcPr/>
                <w:p>
                  <w:pPr>
                    <w:pStyle w:val="Compact"/>
                    <w:jc w:val="left"/>
                    <w:jc w:val="left"/>
                  </w:pPr>
                  <w:r>
                    <w:t xml:space="preserve">1</w:t>
                  </w:r>
                </w:p>
              </w:tc>
              <w:tc>
                <w:tcPr/>
                <w:p>
                  <w:pPr>
                    <w:pStyle w:val="Compact"/>
                    <w:jc w:val="left"/>
                    <w:jc w:val="left"/>
                  </w:pPr>
                  <w:r>
                    <w:t xml:space="preserve">34300 - 30000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d’Engihoul</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bl>
          <w:p>
            <w:pPr>
              <w:jc w:val="left"/>
            </w:pPr>
            <w:pPr>
              <w:jc w:val="start"/>
              <w:spacing w:before="200"/>
              <w:pStyle w:val="ImageCaption"/>
            </w:pPr>
            <w:r>
              <w:t xml:space="preserve">Table A. Sites omitted for data quality reasons. Archaeological phase rationale is in Supplement 2.</w:t>
            </w:r>
          </w:p>
          <w:bookmarkEnd w:id="22"/>
        </w:tc>
      </w:tr>
    </w:tbl>
    <w:p>
      <w:pPr>
        <w:pStyle w:val="BodyText"/>
      </w:pPr>
      <w:r>
        <w:t xml:space="preserve">The 11 plain-range dates in</w:t>
      </w:r>
      <w:r>
        <w:t xml:space="preserve"> </w:t>
      </w:r>
      <w:hyperlink w:anchor="tbl-dropped-sites">
        <w:r>
          <w:rPr>
            <w:rStyle w:val="Hyperlink"/>
          </w:rPr>
          <w:t xml:space="preserve">Table A</w:t>
        </w:r>
      </w:hyperlink>
      <w:r>
        <w:t xml:space="preserve"> </w:t>
      </w:r>
      <w:r>
        <w:t xml:space="preserve">are radiocarbon ages with no stated error, so the date parser cannot calibrate them. To estimate the phase of these sites, we calibrated the older end of each range, which is the end that the main analysis uses, with the IntCal20 curve and a nominal error of ±300 years. This is a sensitivity check only, because the true errors are not known.</w:t>
      </w:r>
    </w:p>
    <w:p>
      <w:pPr>
        <w:pStyle w:val="BodyText"/>
      </w:pPr>
      <w:r>
        <w:rPr>
          <w:bCs/>
          <w:b/>
        </w:rPr>
        <w:t xml:space="preserve">Analysis-ready phase data for downstream sections.</w:t>
      </w:r>
      <w:r>
        <w:t xml:space="preserve"> </w:t>
      </w:r>
      <w:r>
        <w:t xml:space="preserve">The chunk below builds the technology-based Aur-P1 and Aur-P2 site tables used in</w:t>
      </w:r>
      <w:r>
        <w:t xml:space="preserve"> </w:t>
      </w:r>
      <w:r>
        <w:t xml:space="preserve">Section S1.2</w:t>
      </w:r>
      <w:r>
        <w:t xml:space="preserve">–</w:t>
      </w:r>
      <w:r>
        <w:t xml:space="preserve">Section S1.12</w:t>
      </w:r>
      <w:r>
        <w:t xml:space="preserve">, so the counts above link directly to the analysed sample.</w:t>
      </w:r>
    </w:p>
    <w:bookmarkEnd w:id="23"/>
    <w:bookmarkStart w:id="24" w:name="sec-s1-interpretation"/>
    <w:p>
      <w:pPr>
        <w:pStyle w:val="Heading2"/>
      </w:pPr>
      <w:r>
        <w:t xml:space="preserve">S1.1.3 Interpretation</w:t>
      </w:r>
    </w:p>
    <w:p>
      <w:pPr>
        <w:pStyle w:val="FirstParagraph"/>
      </w:pPr>
      <w:r>
        <w:rPr>
          <w:bCs/>
          <w:b/>
        </w:rPr>
        <w:t xml:space="preserve">Question: how many signed objects and sites are lost at each step of data cleaning?</w:t>
      </w:r>
      <w:r>
        <w:t xml:space="preserve"> </w:t>
      </w:r>
      <w:r>
        <w:t xml:space="preserve">The raw extract holds 515 signed objects at 64 sites. Removing the eight low-quality sites leaves 496 signed objects at 57 sites. Date parsing then removes a further 27 sites carrying 58 signed objects (</w:t>
      </w:r>
      <w:hyperlink w:anchor="tbl-dropped-sites">
        <w:r>
          <w:rPr>
            <w:rStyle w:val="Hyperlink"/>
          </w:rPr>
          <w:t xml:space="preserve">Table A</w:t>
        </w:r>
      </w:hyperlink>
      <w:r>
        <w:t xml:space="preserve">). Phase assignment then removes 29 objects from Spy, whose assemblage is mixed, from El Castillo, whose Aurignacian attribution is debated, and from the mixed Hohle Fels layer IIIa-V (S2 File). The retained analysed sample is therefore 409 objects at 28 unique geographic sites.</w:t>
      </w:r>
    </w:p>
    <w:p>
      <w:pPr>
        <w:pStyle w:val="BodyText"/>
      </w:pPr>
      <w:r>
        <w:rPr>
          <w:bCs/>
          <w:b/>
        </w:rPr>
        <w:t xml:space="preserve">Question: does the loss fall disproportionately on the small Aur-P2 sample?</w:t>
      </w:r>
      <w:r>
        <w:t xml:space="preserve"> </w:t>
      </w:r>
      <w:r>
        <w:t xml:space="preserve">Not clearly. The 11 sites whose date strings have no error term have uncalibrated ¹⁴C ages, not calendar ages. The main analysis uses the older end of each date range. With a nominal error of ±300 years, the older ends of 8 of these 11 ranges calibrate to more than 37,799 cal BP, that is, to Aur-P1. These include the largest of these assemblages, Grotte de Goyet (12 objects; 40,302 cal BP). The loss of these sites therefore does not explain the small size of the Aur-P2 sample. The phase of the 16 dropped sites that have no date string is not known.</w:t>
      </w:r>
    </w:p>
    <w:p>
      <w:pPr>
        <w:pStyle w:val="BodyText"/>
      </w:pPr>
      <w:r>
        <w:rPr>
          <w:bCs/>
          <w:b/>
        </w:rPr>
        <w:t xml:space="preserve">Implication for the main text.</w:t>
      </w:r>
      <w:r>
        <w:t xml:space="preserve"> </w:t>
      </w:r>
      <w:r>
        <w:t xml:space="preserve">All network, Mantel and PerMANOVA results in Sections</w:t>
      </w:r>
      <w:r>
        <w:t xml:space="preserve"> </w:t>
      </w:r>
      <w:r>
        <w:t xml:space="preserve">S1.2</w:t>
      </w:r>
      <w:r>
        <w:t xml:space="preserve">–</w:t>
      </w:r>
      <w:r>
        <w:t xml:space="preserve">S1.12</w:t>
      </w:r>
      <w:r>
        <w:t xml:space="preserve"> </w:t>
      </w:r>
      <w:r>
        <w:t xml:space="preserve">below are conditional on the retained sample of 409 objects at 28 sites. The phase table in Supplement 2 lists the retained sites with their technological or date-based assignment.</w:t>
      </w:r>
    </w:p>
    <w:bookmarkEnd w:id="24"/>
    <w:bookmarkEnd w:id="25"/>
    <w:bookmarkStart w:id="43" w:name="sec-s2"/>
    <w:p>
      <w:pPr>
        <w:pStyle w:val="Heading1"/>
      </w:pPr>
      <w:r>
        <w:t xml:space="preserve">S1.2 Network Threshold</w:t>
      </w:r>
    </w:p>
    <w:bookmarkStart w:id="26" w:name="sec-s2-rationale"/>
    <w:p>
      <w:pPr>
        <w:pStyle w:val="Heading2"/>
      </w:pPr>
      <w:r>
        <w:t xml:space="preserve">S1.2.1 Rationale</w:t>
      </w:r>
    </w:p>
    <w:p>
      <w:pPr>
        <w:pStyle w:val="FirstParagraph"/>
      </w:pPr>
      <w:r>
        <w:t xml:space="preserve">In the main analysis, edges in the site-to-site networks are drawn only when two sites share a Jaccard similarity of ≥ 0.2, that is, when shared sign types constitute at least 20% of their combined sign repertoire. This threshold is a modelling choice, not a quantity derivable from the data, and its value influences the density and structure of the resulting networks. An overly permissive threshold (low value) risks connecting nearly every pair of sites and masking meaningful structure; an overly conservative threshold (high value) risks fragmenting the network into isolates and hiding real similarities between site repertoires.</w:t>
      </w:r>
    </w:p>
    <w:p>
      <w:pPr>
        <w:pStyle w:val="BodyText"/>
      </w:pPr>
      <w:r>
        <w:t xml:space="preserve">To confirm that the primary findings reported in the main text are not an artefact of this specific cutoff, we repeated all network analyses at two alternative thresholds, 0.1 (permissive) and 0.3 (conservative), and compared the key network statistics and visual structure against the main-text threshold of 0.2. This section answers four specific questions:</w:t>
      </w:r>
    </w:p>
    <w:p>
      <w:pPr>
        <w:pStyle w:val="BodyText"/>
      </w:pPr>
      <w:r>
        <w:rPr>
          <w:bCs/>
          <w:b/>
        </w:rPr>
        <w:t xml:space="preserve">Question: do the phase contrasts hold at the alternative thresholds of 0.1 and 0.3?</w:t>
      </w:r>
    </w:p>
    <w:p>
      <w:pPr>
        <w:pStyle w:val="BodyText"/>
      </w:pPr>
      <w:r>
        <w:rPr>
          <w:bCs/>
          <w:b/>
        </w:rPr>
        <w:t xml:space="preserve">Question: is the 0.2 threshold a defensible middle ground between over-connection and fragmentation?</w:t>
      </w:r>
    </w:p>
    <w:p>
      <w:pPr>
        <w:pStyle w:val="BodyText"/>
      </w:pPr>
      <w:r>
        <w:rPr>
          <w:bCs/>
          <w:b/>
        </w:rPr>
        <w:t xml:space="preserve">Question: how much of the edge structure is preserved when the threshold moves?</w:t>
      </w:r>
    </w:p>
    <w:p>
      <w:pPr>
        <w:pStyle w:val="BodyText"/>
      </w:pPr>
      <w:r>
        <w:rPr>
          <w:bCs/>
          <w:b/>
        </w:rPr>
        <w:t xml:space="preserve">Question: over what continuous threshold range does the Aur-P1 greater than Aur-P2 ordering hold?</w:t>
      </w:r>
    </w:p>
    <w:bookmarkEnd w:id="26"/>
    <w:bookmarkStart w:id="41" w:name="sec-s2-analysis"/>
    <w:p>
      <w:pPr>
        <w:pStyle w:val="Heading2"/>
      </w:pPr>
      <w:r>
        <w:t xml:space="preserve">S1.2.2 Analysis</w:t>
      </w:r>
    </w:p>
    <w:bookmarkStart w:id="28" w:name="sec-s2-network-statistics"/>
    <w:p>
      <w:pPr>
        <w:pStyle w:val="Heading3"/>
      </w:pPr>
      <w:r>
        <w:t xml:space="preserve">S1.2.2.1 Network statistics across thresholds</w:t>
      </w:r>
    </w:p>
    <w:p>
      <w:pPr>
        <w:pStyle w:val="FirstParagraph"/>
      </w:pPr>
      <w:hyperlink w:anchor="tbl-sens-stats">
        <w:r>
          <w:rPr>
            <w:rStyle w:val="Hyperlink"/>
          </w:rPr>
          <w:t xml:space="preserve">Table B</w:t>
        </w:r>
      </w:hyperlink>
      <w:r>
        <w:t xml:space="preserve"> </w:t>
      </w:r>
      <w:r>
        <w:t xml:space="preserve">reports the key network statistics for each Aurignacian phase at thresholds of 0.1, 0.2, and 0.3. Statistics were computed using the</w:t>
      </w:r>
      <w:r>
        <w:t xml:space="preserve"> </w:t>
      </w:r>
      <w:r>
        <w:rPr>
          <w:rStyle w:val="VerbatimChar"/>
        </w:rPr>
        <w:t xml:space="preserve">network_stats()</w:t>
      </w:r>
      <w:r>
        <w:t xml:space="preserve"> </w:t>
      </w:r>
      <w:r>
        <w:t xml:space="preserve">function described in the main text, with the threshold exposed as a parameter.</w:t>
      </w:r>
    </w:p>
    <w:tbl>
      <w:tblPr>
        <w:tblStyle w:val="Table"/>
        <w:tblW w:type="pct" w:w="5000"/>
        <w:tblLook w:firstRow="0" w:lastRow="0" w:firstColumn="0" w:lastColumn="0" w:noHBand="0" w:noVBand="0" w:val="0000"/>
        <w:jc w:val="start"/>
        <w:tblLayout w:type="fixed"/>
      </w:tblPr>
      <w:tblGrid>
        <w:gridCol w:w="7920"/>
      </w:tblGrid>
      <w:tr>
        <w:tc>
          <w:tcPr/>
          <w:bookmarkStart w:id="27" w:name="tbl-sens-stats"/>
          <w:tbl>
            <w:tblPr>
              <w:tblStyle w:val="Table"/>
              <w:tblW w:type="pct" w:w="5000"/>
              <w:tblLook w:firstRow="1" w:lastRow="0" w:firstColumn="0" w:lastColumn="0" w:noHBand="0" w:noVBand="0" w:val="0020"/>
              <w:jc w:val="start"/>
              <w:tblLayout w:type="fixed"/>
            </w:tblPr>
            <w:tblGrid>
              <w:gridCol w:w="1029"/>
              <w:gridCol w:w="712"/>
              <w:gridCol w:w="633"/>
              <w:gridCol w:w="792"/>
              <w:gridCol w:w="792"/>
              <w:gridCol w:w="1029"/>
              <w:gridCol w:w="1029"/>
              <w:gridCol w:w="1029"/>
              <w:gridCol w:w="871"/>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Isolates</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c>
                <w:tcPr/>
                <w:p>
                  <w:pPr>
                    <w:pStyle w:val="Compact"/>
                    <w:jc w:val="left"/>
                    <w:jc w:val="left"/>
                  </w:pPr>
                  <w:r>
                    <w:t xml:space="preserve">Communities</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125</w:t>
                  </w:r>
                </w:p>
              </w:tc>
              <w:tc>
                <w:tcPr/>
                <w:p>
                  <w:pPr>
                    <w:pStyle w:val="Compact"/>
                    <w:jc w:val="left"/>
                    <w:jc w:val="left"/>
                  </w:pPr>
                  <w:r>
                    <w:t xml:space="preserve">0.658</w:t>
                  </w:r>
                </w:p>
              </w:tc>
              <w:tc>
                <w:tcPr/>
                <w:p>
                  <w:pPr>
                    <w:pStyle w:val="Compact"/>
                    <w:jc w:val="left"/>
                    <w:jc w:val="left"/>
                  </w:pPr>
                  <w:r>
                    <w:t xml:space="preserve">0</w:t>
                  </w:r>
                </w:p>
              </w:tc>
              <w:tc>
                <w:tcPr/>
                <w:p>
                  <w:pPr>
                    <w:pStyle w:val="Compact"/>
                    <w:jc w:val="left"/>
                    <w:jc w:val="left"/>
                  </w:pPr>
                  <w:r>
                    <w:t xml:space="preserve">12.50</w:t>
                  </w:r>
                </w:p>
              </w:tc>
              <w:tc>
                <w:tcPr/>
                <w:p>
                  <w:pPr>
                    <w:pStyle w:val="Compact"/>
                    <w:jc w:val="left"/>
                    <w:jc w:val="left"/>
                  </w:pPr>
                  <w:r>
                    <w:t xml:space="preserve">0.830</w:t>
                  </w:r>
                </w:p>
              </w:tc>
              <w:tc>
                <w:tcPr/>
                <w:p>
                  <w:pPr>
                    <w:pStyle w:val="Compact"/>
                    <w:jc w:val="left"/>
                    <w:jc w:val="left"/>
                  </w:pPr>
                  <w:r>
                    <w:t xml:space="preserve">0.223</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29</w:t>
                  </w:r>
                </w:p>
              </w:tc>
              <w:tc>
                <w:tcPr/>
                <w:p>
                  <w:pPr>
                    <w:pStyle w:val="Compact"/>
                    <w:jc w:val="left"/>
                    <w:jc w:val="left"/>
                  </w:pPr>
                  <w:r>
                    <w:t xml:space="preserve">0.806</w:t>
                  </w:r>
                </w:p>
              </w:tc>
              <w:tc>
                <w:tcPr/>
                <w:p>
                  <w:pPr>
                    <w:pStyle w:val="Compact"/>
                    <w:jc w:val="left"/>
                    <w:jc w:val="left"/>
                  </w:pPr>
                  <w:r>
                    <w:t xml:space="preserve">0</w:t>
                  </w:r>
                </w:p>
              </w:tc>
              <w:tc>
                <w:tcPr/>
                <w:p>
                  <w:pPr>
                    <w:pStyle w:val="Compact"/>
                    <w:jc w:val="left"/>
                    <w:jc w:val="left"/>
                  </w:pPr>
                  <w:r>
                    <w:t xml:space="preserve">6.44</w:t>
                  </w:r>
                </w:p>
              </w:tc>
              <w:tc>
                <w:tcPr/>
                <w:p>
                  <w:pPr>
                    <w:pStyle w:val="Compact"/>
                    <w:jc w:val="left"/>
                    <w:jc w:val="left"/>
                  </w:pPr>
                  <w:r>
                    <w:t xml:space="preserve">0.826</w:t>
                  </w:r>
                </w:p>
              </w:tc>
              <w:tc>
                <w:tcPr/>
                <w:p>
                  <w:pPr>
                    <w:pStyle w:val="Compact"/>
                    <w:jc w:val="left"/>
                    <w:jc w:val="left"/>
                  </w:pPr>
                  <w:r>
                    <w:t xml:space="preserve">0.093</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2</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c>
                <w:tcPr/>
                <w:p>
                  <w:pPr>
                    <w:pStyle w:val="Compact"/>
                    <w:jc w:val="left"/>
                    <w:jc w:val="left"/>
                  </w:pPr>
                  <w:r>
                    <w:t xml:space="preserve">4</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0</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56</w:t>
                  </w:r>
                </w:p>
              </w:tc>
              <w:tc>
                <w:tcPr/>
                <w:p>
                  <w:pPr>
                    <w:pStyle w:val="Compact"/>
                    <w:jc w:val="left"/>
                    <w:jc w:val="left"/>
                  </w:pPr>
                  <w:r>
                    <w:t xml:space="preserve">0.295</w:t>
                  </w:r>
                </w:p>
              </w:tc>
              <w:tc>
                <w:tcPr/>
                <w:p>
                  <w:pPr>
                    <w:pStyle w:val="Compact"/>
                    <w:jc w:val="left"/>
                    <w:jc w:val="left"/>
                  </w:pPr>
                  <w:r>
                    <w:t xml:space="preserve">2</w:t>
                  </w:r>
                </w:p>
              </w:tc>
              <w:tc>
                <w:tcPr/>
                <w:p>
                  <w:pPr>
                    <w:pStyle w:val="Compact"/>
                    <w:jc w:val="left"/>
                    <w:jc w:val="left"/>
                  </w:pPr>
                  <w:r>
                    <w:t xml:space="preserve">5.60</w:t>
                  </w:r>
                </w:p>
              </w:tc>
              <w:tc>
                <w:tcPr/>
                <w:p>
                  <w:pPr>
                    <w:pStyle w:val="Compact"/>
                    <w:jc w:val="left"/>
                    <w:jc w:val="left"/>
                  </w:pPr>
                  <w:r>
                    <w:t xml:space="preserve">0.666</w:t>
                  </w:r>
                </w:p>
              </w:tc>
              <w:tc>
                <w:tcPr/>
                <w:p>
                  <w:pPr>
                    <w:pStyle w:val="Compact"/>
                    <w:jc w:val="left"/>
                    <w:jc w:val="left"/>
                  </w:pPr>
                  <w:r>
                    <w:t xml:space="preserve">0.347</w:t>
                  </w:r>
                </w:p>
              </w:tc>
              <w:tc>
                <w:tcPr/>
                <w:p>
                  <w:pPr>
                    <w:pStyle w:val="Compact"/>
                    <w:jc w:val="left"/>
                    <w:jc w:val="left"/>
                  </w:pPr>
                  <w:r>
                    <w:t xml:space="preserve">5</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13</w:t>
                  </w:r>
                </w:p>
              </w:tc>
              <w:tc>
                <w:tcPr/>
                <w:p>
                  <w:pPr>
                    <w:pStyle w:val="Compact"/>
                    <w:jc w:val="left"/>
                    <w:jc w:val="left"/>
                  </w:pPr>
                  <w:r>
                    <w:t xml:space="preserve">0.361</w:t>
                  </w:r>
                </w:p>
              </w:tc>
              <w:tc>
                <w:tcPr/>
                <w:p>
                  <w:pPr>
                    <w:pStyle w:val="Compact"/>
                    <w:jc w:val="left"/>
                    <w:jc w:val="left"/>
                  </w:pPr>
                  <w:r>
                    <w:t xml:space="preserve">2</w:t>
                  </w:r>
                </w:p>
              </w:tc>
              <w:tc>
                <w:tcPr/>
                <w:p>
                  <w:pPr>
                    <w:pStyle w:val="Compact"/>
                    <w:jc w:val="left"/>
                    <w:jc w:val="left"/>
                  </w:pPr>
                  <w:r>
                    <w:t xml:space="preserve">2.89</w:t>
                  </w:r>
                </w:p>
              </w:tc>
              <w:tc>
                <w:tcPr/>
                <w:p>
                  <w:pPr>
                    <w:pStyle w:val="Compact"/>
                    <w:jc w:val="left"/>
                    <w:jc w:val="left"/>
                  </w:pPr>
                  <w:r>
                    <w:t xml:space="preserve">0.628</w:t>
                  </w:r>
                </w:p>
              </w:tc>
              <w:tc>
                <w:tcPr/>
                <w:p>
                  <w:pPr>
                    <w:pStyle w:val="Compact"/>
                    <w:jc w:val="left"/>
                    <w:jc w:val="left"/>
                  </w:pPr>
                  <w:r>
                    <w:t xml:space="preserve">0.122</w:t>
                  </w:r>
                </w:p>
              </w:tc>
              <w:tc>
                <w:tcPr/>
                <w:p>
                  <w:pPr>
                    <w:pStyle w:val="Compact"/>
                    <w:jc w:val="left"/>
                    <w:jc w:val="left"/>
                  </w:pPr>
                  <w:r>
                    <w:t xml:space="preserve">4</w:t>
                  </w:r>
                </w:p>
              </w:tc>
            </w:tr>
          </w:tbl>
          <w:p>
            <w:pPr>
              <w:jc w:val="left"/>
            </w:pPr>
            <w:pPr>
              <w:jc w:val="start"/>
              <w:spacing w:before="200"/>
              <w:pStyle w:val="ImageCaption"/>
            </w:pPr>
            <w:r>
              <w:t xml:space="preserve">Table B. Network statistics for each Aurignacian phase at three Jaccard similarity thresholds (0.1, 0.2, 0.3). The main-analysis threshold (0.2) is the centre column for each phase. Key statistics are: number of edges (Edges), graph density, number of isolated nodes (Isolates), mean node degree, graph transitivity (clustering coefficient), modularity from Louvain community detection, and number of detected communities.</w:t>
            </w:r>
          </w:p>
          <w:bookmarkEnd w:id="27"/>
        </w:tc>
      </w:tr>
    </w:tbl>
    <w:bookmarkEnd w:id="28"/>
    <w:bookmarkStart w:id="33" w:name="sec-s2-network-visualisations"/>
    <w:p>
      <w:pPr>
        <w:pStyle w:val="Heading3"/>
      </w:pPr>
      <w:r>
        <w:t xml:space="preserve">S1.2.2.2 Network visualisations across thresholds</w:t>
      </w:r>
    </w:p>
    <w:p>
      <w:pPr>
        <w:pStyle w:val="FirstParagraph"/>
      </w:pPr>
      <w:hyperlink w:anchor="fig-sens-networks">
        <w:r>
          <w:rPr>
            <w:rStyle w:val="Hyperlink"/>
          </w:rPr>
          <w:t xml:space="preserve">Fig A</w:t>
        </w:r>
      </w:hyperlink>
      <w:r>
        <w:t xml:space="preserve"> </w:t>
      </w:r>
      <w:r>
        <w:t xml:space="preserve">shows the site networks for each phase and each threshold. Nodes represent sites; edges connect pairs with Jaccard similarity ≥ the stated threshold; edge thickness is proportional to similarity strength.</w:t>
      </w:r>
    </w:p>
    <w:tbl>
      <w:tblPr>
        <w:tblStyle w:val="Table"/>
        <w:tblW w:type="pct" w:w="5000"/>
        <w:tblLook w:firstRow="0" w:lastRow="0" w:firstColumn="0" w:lastColumn="0" w:noHBand="0" w:noVBand="0" w:val="0000"/>
        <w:jc w:val="start"/>
        <w:tblLayout w:type="fixed"/>
      </w:tblPr>
      <w:tblGrid>
        <w:gridCol w:w="7920"/>
      </w:tblGrid>
      <w:tr>
        <w:tc>
          <w:tcPr/>
          <w:bookmarkStart w:id="32" w:name="fig-sens-networks"/>
          <w:p>
            <w:pPr>
              <w:pStyle w:val="Compact"/>
              <w:jc w:val="left"/>
            </w:pPr>
            <w:r>
              <w:drawing>
                <wp:inline>
                  <wp:extent cx="5943600" cy="5403272"/>
                  <wp:effectExtent b="0" l="0" r="0" t="0"/>
                  <wp:docPr descr="" title="" id="30" name="Picture"/>
                  <a:graphic>
                    <a:graphicData uri="http://schemas.openxmlformats.org/drawingml/2006/picture">
                      <pic:pic>
                        <pic:nvPicPr>
                          <pic:cNvPr descr="../figures/sensitivity-network-plot.png" id="31" name="Picture"/>
                          <pic:cNvPicPr>
                            <a:picLocks noChangeArrowheads="1" noChangeAspect="1"/>
                          </pic:cNvPicPr>
                        </pic:nvPicPr>
                        <pic:blipFill>
                          <a:blip r:embed="rId29"/>
                          <a:stretch>
                            <a:fillRect/>
                          </a:stretch>
                        </pic:blipFill>
                        <pic:spPr bwMode="auto">
                          <a:xfrm>
                            <a:off x="0" y="0"/>
                            <a:ext cx="5943600" cy="5403272"/>
                          </a:xfrm>
                          <a:prstGeom prst="rect">
                            <a:avLst/>
                          </a:prstGeom>
                          <a:noFill/>
                          <a:ln w="9525">
                            <a:noFill/>
                            <a:headEnd/>
                            <a:tailEnd/>
                          </a:ln>
                        </pic:spPr>
                      </pic:pic>
                    </a:graphicData>
                  </a:graphic>
                </wp:inline>
              </w:drawing>
            </w:r>
          </w:p>
          <w:p>
            <w:pPr>
              <w:jc w:val="left"/>
            </w:pPr>
            <w:pPr>
              <w:jc w:val="start"/>
              <w:spacing w:before="200"/>
              <w:pStyle w:val="ImageCaption"/>
            </w:pPr>
            <w:r>
              <w:t xml:space="preserve">Fig A. Site networks for Aur-P1 (top row) and Aur-P2 (bottom row) at Jaccard similarity thresholds of 0.1 (left column), 0.2 (centre; main-text value, marked ★), and 0.3 (right column). Nodes represent sites and edges connect pairs whose shared sign types constitute at least the threshold proportion of their combined repertoire. Edge thickness reflects similarity strength.</w:t>
            </w:r>
          </w:p>
          <w:bookmarkEnd w:id="32"/>
        </w:tc>
      </w:tr>
    </w:tbl>
    <w:bookmarkEnd w:id="33"/>
    <w:bookmarkStart w:id="35" w:name="sec-s2-4"/>
    <w:p>
      <w:pPr>
        <w:pStyle w:val="Heading3"/>
      </w:pPr>
      <w:r>
        <w:t xml:space="preserve">S1.2.2.3 Threshold agreement metrics</w:t>
      </w:r>
    </w:p>
    <w:p>
      <w:pPr>
        <w:pStyle w:val="FirstParagraph"/>
      </w:pPr>
      <w:r>
        <w:t xml:space="preserve">Below we quantify the stability of the network structures across thresholds using two metrics:</w:t>
      </w:r>
    </w:p>
    <w:p>
      <w:pPr>
        <w:numPr>
          <w:ilvl w:val="0"/>
          <w:numId w:val="1001"/>
        </w:numPr>
      </w:pPr>
      <w:r>
        <w:rPr>
          <w:bCs/>
          <w:b/>
        </w:rPr>
        <w:t xml:space="preserve">Edge-set Jaccard similarity</w:t>
      </w:r>
      <w:r>
        <w:t xml:space="preserve"> </w:t>
      </w:r>
      <w:r>
        <w:t xml:space="preserve">between each pair of thresholds: the number of edges present at both thresholds divided by the number present at either threshold. A value near 1 indicates the edge structure is preserved as you move from one threshold to another.</w:t>
      </w:r>
    </w:p>
    <w:p>
      <w:pPr>
        <w:numPr>
          <w:ilvl w:val="0"/>
          <w:numId w:val="1001"/>
        </w:numPr>
      </w:pPr>
      <w:r>
        <w:rPr>
          <w:bCs/>
          <w:b/>
        </w:rPr>
        <w:t xml:space="preserve">Adjacency-matrix correlation</w:t>
      </w:r>
      <w:r>
        <w:t xml:space="preserve"> </w:t>
      </w:r>
      <w:r>
        <w:t xml:space="preserve">between each pair of thresholds: the Pearson correlation between the vectorised upper triangles of the two adjacency matrices. This is a continuous measure of how similar the full set of pairwise similarity scores is before any cutoff is applied.</w:t>
      </w:r>
    </w:p>
    <w:tbl>
      <w:tblPr>
        <w:tblStyle w:val="Table"/>
        <w:tblW w:type="pct" w:w="5000"/>
        <w:tblLook w:firstRow="0" w:lastRow="0" w:firstColumn="0" w:lastColumn="0" w:noHBand="0" w:noVBand="0" w:val="0000"/>
        <w:jc w:val="start"/>
        <w:tblLayout w:type="fixed"/>
      </w:tblPr>
      <w:tblGrid>
        <w:gridCol w:w="7920"/>
      </w:tblGrid>
      <w:tr>
        <w:tc>
          <w:tcPr/>
          <w:bookmarkStart w:id="34" w:name="tbl-threshold-agreement"/>
          <w:tbl>
            <w:tblPr>
              <w:tblStyle w:val="Table"/>
              <w:tblW w:type="pct" w:w="5000"/>
              <w:tblLook w:firstRow="1" w:lastRow="0" w:firstColumn="0" w:lastColumn="0" w:noHBand="0" w:noVBand="0" w:val="0020"/>
              <w:jc w:val="start"/>
              <w:tblLayout w:type="fixed"/>
            </w:tblPr>
            <w:tblGrid>
              <w:gridCol w:w="1742"/>
              <w:gridCol w:w="1188"/>
              <w:gridCol w:w="1188"/>
              <w:gridCol w:w="1900"/>
              <w:gridCol w:w="1900"/>
            </w:tblGrid>
            <w:tr>
              <w:trPr>
                <w:tblHeader w:val="true"/>
              </w:trPr>
              <w:tc>
                <w:tcPr/>
                <w:p>
                  <w:pPr>
                    <w:pStyle w:val="Compact"/>
                    <w:jc w:val="left"/>
                    <w:jc w:val="left"/>
                  </w:pPr>
                  <w:r>
                    <w:t xml:space="preserve">Phase</w:t>
                  </w:r>
                </w:p>
              </w:tc>
              <w:tc>
                <w:tcPr/>
                <w:p>
                  <w:pPr>
                    <w:pStyle w:val="Compact"/>
                    <w:jc w:val="left"/>
                    <w:jc w:val="left"/>
                  </w:pPr>
                  <w:r>
                    <w:t xml:space="preserve">Threshold 1</w:t>
                  </w:r>
                </w:p>
              </w:tc>
              <w:tc>
                <w:tcPr/>
                <w:p>
                  <w:pPr>
                    <w:pStyle w:val="Compact"/>
                    <w:jc w:val="left"/>
                    <w:jc w:val="left"/>
                  </w:pPr>
                  <w:r>
                    <w:t xml:space="preserve">Threshold 2</w:t>
                  </w:r>
                </w:p>
              </w:tc>
              <w:tc>
                <w:tcPr/>
                <w:p>
                  <w:pPr>
                    <w:pStyle w:val="Compact"/>
                    <w:jc w:val="left"/>
                    <w:jc w:val="left"/>
                  </w:pPr>
                  <w:r>
                    <w:t xml:space="preserve">Edge Jaccard</w:t>
                  </w:r>
                </w:p>
              </w:tc>
              <w:tc>
                <w:tcPr/>
                <w:p>
                  <w:pPr>
                    <w:pStyle w:val="Compact"/>
                    <w:jc w:val="left"/>
                    <w:jc w:val="left"/>
                  </w:pPr>
                  <w:r>
                    <w:t xml:space="preserve">Adj. correlation</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0.2</w:t>
                  </w:r>
                </w:p>
              </w:tc>
              <w:tc>
                <w:tcPr/>
                <w:p>
                  <w:pPr>
                    <w:pStyle w:val="Compact"/>
                    <w:jc w:val="left"/>
                    <w:jc w:val="left"/>
                  </w:pPr>
                  <w:r>
                    <w:t xml:space="preserve">0.600</w:t>
                  </w:r>
                </w:p>
              </w:tc>
              <w:tc>
                <w:tcPr/>
                <w:p>
                  <w:pPr>
                    <w:pStyle w:val="Compact"/>
                    <w:jc w:val="left"/>
                    <w:jc w:val="left"/>
                  </w:pPr>
                  <w:r>
                    <w:t xml:space="preserve">0.961</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0.2</w:t>
                  </w:r>
                </w:p>
              </w:tc>
              <w:tc>
                <w:tcPr/>
                <w:p>
                  <w:pPr>
                    <w:pStyle w:val="Compact"/>
                    <w:jc w:val="left"/>
                    <w:jc w:val="left"/>
                  </w:pPr>
                  <w:r>
                    <w:t xml:space="preserve">0.655</w:t>
                  </w:r>
                </w:p>
              </w:tc>
              <w:tc>
                <w:tcPr/>
                <w:p>
                  <w:pPr>
                    <w:pStyle w:val="Compact"/>
                    <w:jc w:val="left"/>
                    <w:jc w:val="left"/>
                  </w:pPr>
                  <w:r>
                    <w:t xml:space="preserve">0.959</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0.3</w:t>
                  </w:r>
                </w:p>
              </w:tc>
              <w:tc>
                <w:tcPr/>
                <w:p>
                  <w:pPr>
                    <w:pStyle w:val="Compact"/>
                    <w:jc w:val="left"/>
                    <w:jc w:val="left"/>
                  </w:pPr>
                  <w:r>
                    <w:t xml:space="preserve">0.747</w:t>
                  </w:r>
                </w:p>
              </w:tc>
              <w:tc>
                <w:tcPr/>
                <w:p>
                  <w:pPr>
                    <w:pStyle w:val="Compact"/>
                    <w:jc w:val="left"/>
                    <w:jc w:val="left"/>
                  </w:pPr>
                  <w:r>
                    <w:t xml:space="preserve">0.956</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0.3</w:t>
                  </w:r>
                </w:p>
              </w:tc>
              <w:tc>
                <w:tcPr/>
                <w:p>
                  <w:pPr>
                    <w:pStyle w:val="Compact"/>
                    <w:jc w:val="left"/>
                    <w:jc w:val="left"/>
                  </w:pPr>
                  <w:r>
                    <w:t xml:space="preserve">0.684</w:t>
                  </w:r>
                </w:p>
              </w:tc>
              <w:tc>
                <w:tcPr/>
                <w:p>
                  <w:pPr>
                    <w:pStyle w:val="Compact"/>
                    <w:jc w:val="left"/>
                    <w:jc w:val="left"/>
                  </w:pPr>
                  <w:r>
                    <w:t xml:space="preserve">0.938</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0.3</w:t>
                  </w:r>
                </w:p>
              </w:tc>
              <w:tc>
                <w:tcPr/>
                <w:p>
                  <w:pPr>
                    <w:pStyle w:val="Compact"/>
                    <w:jc w:val="left"/>
                    <w:jc w:val="left"/>
                  </w:pPr>
                  <w:r>
                    <w:t xml:space="preserve">0.448</w:t>
                  </w:r>
                </w:p>
              </w:tc>
              <w:tc>
                <w:tcPr/>
                <w:p>
                  <w:pPr>
                    <w:pStyle w:val="Compact"/>
                    <w:jc w:val="left"/>
                    <w:jc w:val="left"/>
                  </w:pPr>
                  <w:r>
                    <w:t xml:space="preserve">0.932</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0.3</w:t>
                  </w:r>
                </w:p>
              </w:tc>
              <w:tc>
                <w:tcPr/>
                <w:p>
                  <w:pPr>
                    <w:pStyle w:val="Compact"/>
                    <w:jc w:val="left"/>
                    <w:jc w:val="left"/>
                  </w:pPr>
                  <w:r>
                    <w:t xml:space="preserve">0.448</w:t>
                  </w:r>
                </w:p>
              </w:tc>
              <w:tc>
                <w:tcPr/>
                <w:p>
                  <w:pPr>
                    <w:pStyle w:val="Compact"/>
                    <w:jc w:val="left"/>
                    <w:jc w:val="left"/>
                  </w:pPr>
                  <w:r>
                    <w:t xml:space="preserve">0.928</w:t>
                  </w:r>
                </w:p>
              </w:tc>
            </w:tr>
          </w:tbl>
          <w:p>
            <w:pPr>
              <w:jc w:val="left"/>
            </w:pPr>
            <w:pPr>
              <w:jc w:val="start"/>
              <w:spacing w:before="200"/>
              <w:pStyle w:val="ImageCaption"/>
            </w:pPr>
            <w:r>
              <w:t xml:space="preserve">Table C. Pairwise agreement between networks at all three threshold pairs. Edge‑set Jaccard measures the fraction of edges present at both thresholds out of all edges present at either threshold. Adjacency‑matrix correlation is the Pearson r between the vectorised upper‑triangular elements of the adjacency matrices at each threshold (all pairs of sites before the cutoff is applied).</w:t>
            </w:r>
          </w:p>
          <w:bookmarkEnd w:id="34"/>
        </w:tc>
      </w:tr>
    </w:tbl>
    <w:bookmarkEnd w:id="35"/>
    <w:bookmarkStart w:id="40" w:name="sec-s2-5"/>
    <w:p>
      <w:pPr>
        <w:pStyle w:val="Heading3"/>
      </w:pPr>
      <w:r>
        <w:t xml:space="preserve">S1.2.2.4 Continuous threshold sweep</w:t>
      </w:r>
    </w:p>
    <w:p>
      <w:pPr>
        <w:pStyle w:val="FirstParagraph"/>
      </w:pPr>
      <w:r>
        <w:t xml:space="preserve">The main text reports statistics at three discrete thresholds (0.1, 0.2, 0.3). This section sweeps the Jaccard similarity threshold from 0.05 to 0.50 in steps of 0.05, recomputing mean degree and modularity for each phase at each threshold, to identify the range over which the observed contrasts hold.</w:t>
      </w:r>
    </w:p>
    <w:tbl>
      <w:tblPr>
        <w:tblStyle w:val="Table"/>
        <w:tblW w:type="pct" w:w="5000"/>
        <w:tblLook w:firstRow="0" w:lastRow="0" w:firstColumn="0" w:lastColumn="0" w:noHBand="0" w:noVBand="0" w:val="0000"/>
        <w:jc w:val="start"/>
        <w:tblLayout w:type="fixed"/>
      </w:tblPr>
      <w:tblGrid>
        <w:gridCol w:w="7920"/>
      </w:tblGrid>
      <w:tr>
        <w:tc>
          <w:tcPr/>
          <w:bookmarkStart w:id="39" w:name="fig-threshold-sweep"/>
          <w:p>
            <w:pPr>
              <w:pStyle w:val="Compact"/>
              <w:jc w:val="left"/>
            </w:pPr>
            <w:r>
              <w:drawing>
                <wp:inline>
                  <wp:extent cx="5943600" cy="2971800"/>
                  <wp:effectExtent b="0" l="0" r="0" t="0"/>
                  <wp:docPr descr="" title="" id="37" name="Picture"/>
                  <a:graphic>
                    <a:graphicData uri="http://schemas.openxmlformats.org/drawingml/2006/picture">
                      <pic:pic>
                        <pic:nvPicPr>
                          <pic:cNvPr descr="S1_File_files/figure-docx/fig-threshold-sweep-1.png" id="38" name="Picture"/>
                          <pic:cNvPicPr>
                            <a:picLocks noChangeArrowheads="1" noChangeAspect="1"/>
                          </pic:cNvPicPr>
                        </pic:nvPicPr>
                        <pic:blipFill>
                          <a:blip r:embed="rId36"/>
                          <a:stretch>
                            <a:fillRect/>
                          </a:stretch>
                        </pic:blipFill>
                        <pic:spPr bwMode="auto">
                          <a:xfrm>
                            <a:off x="0" y="0"/>
                            <a:ext cx="5943600" cy="2971800"/>
                          </a:xfrm>
                          <a:prstGeom prst="rect">
                            <a:avLst/>
                          </a:prstGeom>
                          <a:noFill/>
                          <a:ln w="9525">
                            <a:noFill/>
                            <a:headEnd/>
                            <a:tailEnd/>
                          </a:ln>
                        </pic:spPr>
                      </pic:pic>
                    </a:graphicData>
                  </a:graphic>
                </wp:inline>
              </w:drawing>
            </w:r>
          </w:p>
          <w:p>
            <w:pPr>
              <w:jc w:val="left"/>
            </w:pPr>
            <w:pPr>
              <w:jc w:val="start"/>
              <w:spacing w:before="200"/>
              <w:pStyle w:val="ImageCaption"/>
            </w:pPr>
            <w:r>
              <w:t xml:space="preserve">Fig B. Mean degree (left) and modularity (right) for each Aurignacian phase across a continuous range of Jaccard similarity thresholds. The vertical dashed line marks the baseline threshold of 0.2.</w:t>
            </w:r>
          </w:p>
          <w:bookmarkEnd w:id="39"/>
        </w:tc>
      </w:tr>
    </w:tbl>
    <w:p>
      <w:pPr>
        <w:pStyle w:val="BodyText"/>
      </w:pPr>
      <w:r>
        <w:t xml:space="preserve">The sweep reveals the threshold range over which the Aur-P1 &gt; Aur-P2 mean-degree ordering holds. The ordering holds at every threshold in the swept range: Aur-P1’s mean degree runs from 2.80–14.80 and Aur-P2’s from 2.00–7.11 across thresholds of 0.05–0.50, and the ordering is preserved throughout. At very low thresholds both networks are densely connected and the relative contrast compresses; at high thresholds both fragment as edges drop out, but Aur-P2 retains a mean degree of at least 2.00 even at the coarsest threshold (0.50), so the contrast never collapses.</w:t>
      </w:r>
    </w:p>
    <w:bookmarkEnd w:id="40"/>
    <w:bookmarkEnd w:id="41"/>
    <w:bookmarkStart w:id="42" w:name="sec-s2-interpretation"/>
    <w:p>
      <w:pPr>
        <w:pStyle w:val="Heading2"/>
      </w:pPr>
      <w:r>
        <w:t xml:space="preserve">S1.2.3 Interpretation</w:t>
      </w:r>
    </w:p>
    <w:p>
      <w:pPr>
        <w:pStyle w:val="FirstParagraph"/>
      </w:pPr>
      <w:r>
        <w:rPr>
          <w:bCs/>
          <w:b/>
        </w:rPr>
        <w:t xml:space="preserve">Question: do the phase contrasts hold at the alternative thresholds of 0.1 and 0.3?</w:t>
      </w:r>
      <w:r>
        <w:t xml:space="preserve"> </w:t>
      </w:r>
      <w:r>
        <w:t xml:space="preserve">Yes, for the raw statistics. Aur-P1 has more edges and a higher mean degree than Aur-P2 at every threshold, while Aur-P2 has the higher edge density because it has far fewer nodes (</w:t>
      </w:r>
      <w:hyperlink w:anchor="tbl-sens-stats">
        <w:r>
          <w:rPr>
            <w:rStyle w:val="Hyperlink"/>
          </w:rPr>
          <w:t xml:space="preserve">Table B</w:t>
        </w:r>
      </w:hyperlink>
      <w:r>
        <w:t xml:space="preserve">). Aur-P1 modularity stays in the range 0.223–0.347 across thresholds. These raw values do not show that either phase has more connectivity or community structure than chance;</w:t>
      </w:r>
      <w:r>
        <w:t xml:space="preserve"> </w:t>
      </w:r>
      <w:r>
        <w:t xml:space="preserve">Section S1.7.2</w:t>
      </w:r>
      <w:r>
        <w:t xml:space="preserve"> </w:t>
      </w:r>
      <w:r>
        <w:t xml:space="preserve">and</w:t>
      </w:r>
      <w:r>
        <w:t xml:space="preserve"> </w:t>
      </w:r>
      <w:r>
        <w:t xml:space="preserve">Section S1.7.6</w:t>
      </w:r>
      <w:r>
        <w:t xml:space="preserve"> </w:t>
      </w:r>
      <w:r>
        <w:t xml:space="preserve">test this.</w:t>
      </w:r>
    </w:p>
    <w:p>
      <w:pPr>
        <w:pStyle w:val="BodyText"/>
      </w:pPr>
      <w:r>
        <w:rPr>
          <w:bCs/>
          <w:b/>
        </w:rPr>
        <w:t xml:space="preserve">Question: is the 0.2 threshold a defensible middle ground between over-connection and fragmentation?</w:t>
      </w:r>
      <w:r>
        <w:t xml:space="preserve"> </w:t>
      </w:r>
      <w:r>
        <w:t xml:space="preserve">Yes. At threshold 0.1 the graph is markedly denser (Aur-P1 density 0.658), and the 2 Aur-P1 sites that are isolated at 0.2 become connected. At 0.3 the graph is sparser: Aur-P2 gains 2 isolates, and the number of Aur-P1 isolates stays at 2. The 0.2 threshold preserves the major structural contrasts while avoiding both the over-connection artefacts of the 0.1 threshold and the excessive fragmentation of the 0.3 threshold.</w:t>
      </w:r>
    </w:p>
    <w:p>
      <w:pPr>
        <w:pStyle w:val="BodyText"/>
      </w:pPr>
      <w:r>
        <w:rPr>
          <w:bCs/>
          <w:b/>
        </w:rPr>
        <w:t xml:space="preserve">Question: how much of the edge structure is preserved when the threshold moves?</w:t>
      </w:r>
      <w:r>
        <w:t xml:space="preserve"> </w:t>
      </w:r>
      <w:r>
        <w:t xml:space="preserve">Most of it. Edge-set Jaccard between 0.1 and 0.2 is 0.6 for Aur-P1 and 0.655 for Aur-P2 (</w:t>
      </w:r>
      <w:hyperlink w:anchor="tbl-threshold-agreement">
        <w:r>
          <w:rPr>
            <w:rStyle w:val="Hyperlink"/>
          </w:rPr>
          <w:t xml:space="preserve">Table C</w:t>
        </w:r>
      </w:hyperlink>
      <w:r>
        <w:t xml:space="preserve">). Moving the threshold changes density more than structure.</w:t>
      </w:r>
    </w:p>
    <w:p>
      <w:pPr>
        <w:pStyle w:val="BodyText"/>
      </w:pPr>
      <w:r>
        <w:rPr>
          <w:bCs/>
          <w:b/>
        </w:rPr>
        <w:t xml:space="preserve">Question: over what continuous threshold range does the Aur-P1 greater than Aur-P2 ordering hold?</w:t>
      </w:r>
      <w:r>
        <w:t xml:space="preserve"> </w:t>
      </w:r>
      <w:r>
        <w:t xml:space="preserve">From 0.05 to 0.50. Aur-P1’s mean degree runs from 2.80–14.80 and Aur-P2’s from 2.00–7.11 across the swept range, and the ordering is preserved throughout (0.05–0.50) (</w:t>
      </w:r>
      <w:hyperlink w:anchor="fig-threshold-sweep">
        <w:r>
          <w:rPr>
            <w:rStyle w:val="Hyperlink"/>
          </w:rPr>
          <w:t xml:space="preserve">Fig B</w:t>
        </w:r>
      </w:hyperlink>
      <w:r>
        <w:t xml:space="preserve">). Aur-P2 retains a mean degree of at least 2.00 even at the coarsest threshold (0.50), so the contrast never collapses. Modularity shows the same ordering: Aur-P1 ranges from 0.204–0.437 and consistently exceeds Aur-P2 (0.085–0.161) at every threshold. However, as shown in</w:t>
      </w:r>
      <w:r>
        <w:t xml:space="preserve"> </w:t>
      </w:r>
      <w:r>
        <w:t xml:space="preserve">Section S1.7.6</w:t>
      </w:r>
      <w:r>
        <w:t xml:space="preserve">, this raw mean-degree contrast reflects the larger site sample in Aur-P1 rather than higher intrinsic connectivity.</w:t>
      </w:r>
    </w:p>
    <w:p>
      <w:pPr>
        <w:pStyle w:val="BodyText"/>
      </w:pPr>
      <w:r>
        <w:rPr>
          <w:bCs/>
          <w:b/>
        </w:rPr>
        <w:t xml:space="preserve">Implication for the main text.</w:t>
      </w:r>
      <w:r>
        <w:t xml:space="preserve"> </w:t>
      </w:r>
      <w:r>
        <w:t xml:space="preserve">The threshold of 0.2 used in the main analysis is a defensible and representative choice, not a cherry-picked value. Readers wishing to reproduce the networks at alternative thresholds may do so by passing the desired value to the</w:t>
      </w:r>
      <w:r>
        <w:t xml:space="preserve"> </w:t>
      </w:r>
      <w:r>
        <w:rPr>
          <w:rStyle w:val="VerbatimChar"/>
        </w:rPr>
        <w:t xml:space="preserve">threshold</w:t>
      </w:r>
      <w:r>
        <w:t xml:space="preserve"> </w:t>
      </w:r>
      <w:r>
        <w:t xml:space="preserve">argument of the</w:t>
      </w:r>
      <w:r>
        <w:t xml:space="preserve"> </w:t>
      </w:r>
      <w:r>
        <w:rPr>
          <w:rStyle w:val="VerbatimChar"/>
        </w:rPr>
        <w:t xml:space="preserve">produce_clusters()</w:t>
      </w:r>
      <w:r>
        <w:t xml:space="preserve"> </w:t>
      </w:r>
      <w:r>
        <w:t xml:space="preserve">and</w:t>
      </w:r>
      <w:r>
        <w:t xml:space="preserve"> </w:t>
      </w:r>
      <w:r>
        <w:rPr>
          <w:rStyle w:val="VerbatimChar"/>
        </w:rPr>
        <w:t xml:space="preserve">network_stats()</w:t>
      </w:r>
      <w:r>
        <w:t xml:space="preserve"> </w:t>
      </w:r>
      <w:r>
        <w:t xml:space="preserve">functions in the analysis code.</w:t>
      </w:r>
    </w:p>
    <w:bookmarkEnd w:id="42"/>
    <w:bookmarkEnd w:id="43"/>
    <w:bookmarkStart w:id="58" w:name="sec-s3"/>
    <w:p>
      <w:pPr>
        <w:pStyle w:val="Heading1"/>
      </w:pPr>
      <w:r>
        <w:t xml:space="preserve">S1.3 Similarity Metric Choice (Jaccard vs. Sørensen-Dice vs. Simpson)</w:t>
      </w:r>
    </w:p>
    <w:bookmarkStart w:id="44" w:name="sec-s3-rationale"/>
    <w:p>
      <w:pPr>
        <w:pStyle w:val="Heading2"/>
      </w:pPr>
      <w:r>
        <w:t xml:space="preserve">S1.3.1 Rationale</w:t>
      </w:r>
    </w:p>
    <w:p>
      <w:pPr>
        <w:pStyle w:val="FirstParagraph"/>
      </w:pPr>
      <w:r>
        <w:t xml:space="preserve">In presence/absence assemblage data, different similarity formulations weight joint presences and richness differences (assemblage sample size) differently:</w:t>
      </w:r>
    </w:p>
    <w:p>
      <w:pPr>
        <w:numPr>
          <w:ilvl w:val="0"/>
          <w:numId w:val="1002"/>
        </w:numPr>
        <w:pStyle w:val="Compact"/>
      </w:pPr>
      <w:r>
        <w:rPr>
          <w:bCs/>
          <w:b/>
        </w:rPr>
        <w:t xml:space="preserve">Jaccard Similarity:</w:t>
      </w:r>
      <w:r>
        <w:t xml:space="preserve"> </w:t>
      </w:r>
      <m:oMath>
        <m:r>
          <m:t>J</m:t>
        </m:r>
        <m:r>
          <m:rPr>
            <m:sty m:val="p"/>
          </m:rPr>
          <m:t>/</m:t>
        </m:r>
        <m:d>
          <m:dPr>
            <m:begChr m:val="("/>
            <m:endChr m:val=")"/>
            <m:sepChr m:val=""/>
            <m:grow/>
          </m:dPr>
          <m:e>
            <m:r>
              <m:t>A</m:t>
            </m:r>
            <m:r>
              <m:rPr>
                <m:sty m:val="p"/>
              </m:rPr>
              <m:t>+</m:t>
            </m:r>
            <m:r>
              <m:t>B</m:t>
            </m:r>
            <m:r>
              <m:rPr>
                <m:sty m:val="p"/>
              </m:rPr>
              <m:t>−</m:t>
            </m:r>
            <m:r>
              <m:t>J</m:t>
            </m:r>
          </m:e>
        </m:d>
      </m:oMath>
      <w:r>
        <w:t xml:space="preserve">, where</w:t>
      </w:r>
      <w:r>
        <w:t xml:space="preserve"> </w:t>
      </w:r>
      <m:oMath>
        <m:r>
          <m:t>J</m:t>
        </m:r>
      </m:oMath>
      <w:r>
        <w:t xml:space="preserve"> </w:t>
      </w:r>
      <w:r>
        <w:t xml:space="preserve">is shared sign types and</w:t>
      </w:r>
      <w:r>
        <w:t xml:space="preserve"> </w:t>
      </w:r>
      <m:oMath>
        <m:r>
          <m:t>A</m:t>
        </m:r>
        <m:r>
          <m:rPr>
            <m:sty m:val="p"/>
          </m:rPr>
          <m:t>,</m:t>
        </m:r>
        <m:r>
          <m:t>B</m:t>
        </m:r>
      </m:oMath>
      <w:r>
        <w:t xml:space="preserve"> </w:t>
      </w:r>
      <w:r>
        <w:t xml:space="preserve">are site sign counts.</w:t>
      </w:r>
    </w:p>
    <w:p>
      <w:pPr>
        <w:numPr>
          <w:ilvl w:val="0"/>
          <w:numId w:val="1002"/>
        </w:numPr>
        <w:pStyle w:val="Compact"/>
      </w:pPr>
      <w:r>
        <w:rPr>
          <w:bCs/>
          <w:b/>
        </w:rPr>
        <w:t xml:space="preserve">Sørensen-Dice Similarity:</w:t>
      </w:r>
      <w:r>
        <w:t xml:space="preserve"> </w:t>
      </w:r>
      <m:oMath>
        <m:r>
          <m:t>2</m:t>
        </m:r>
        <m:r>
          <m:t>J</m:t>
        </m:r>
        <m:r>
          <m:rPr>
            <m:sty m:val="p"/>
          </m:rPr>
          <m:t>/</m:t>
        </m:r>
        <m:d>
          <m:dPr>
            <m:begChr m:val="("/>
            <m:endChr m:val=")"/>
            <m:sepChr m:val=""/>
            <m:grow/>
          </m:dPr>
          <m:e>
            <m:r>
              <m:t>A</m:t>
            </m:r>
            <m:r>
              <m:rPr>
                <m:sty m:val="p"/>
              </m:rPr>
              <m:t>+</m:t>
            </m:r>
            <m:r>
              <m:t>B</m:t>
            </m:r>
          </m:e>
        </m:d>
      </m:oMath>
      <w:r>
        <w:t xml:space="preserve">, which places double weight on shared presences.</w:t>
      </w:r>
    </w:p>
    <w:p>
      <w:pPr>
        <w:numPr>
          <w:ilvl w:val="0"/>
          <w:numId w:val="1002"/>
        </w:numPr>
        <w:pStyle w:val="Compact"/>
      </w:pPr>
      <w:r>
        <w:rPr>
          <w:bCs/>
          <w:b/>
        </w:rPr>
        <w:t xml:space="preserve">Simpson Similarity:</w:t>
      </w:r>
      <w:r>
        <w:t xml:space="preserve"> </w:t>
      </w:r>
      <m:oMath>
        <m:r>
          <m:t>J</m:t>
        </m:r>
        <m:r>
          <m:rPr>
            <m:sty m:val="p"/>
          </m:rPr>
          <m:t>/</m:t>
        </m:r>
        <m:r>
          <m:rPr>
            <m:sty m:val="p"/>
          </m:rPr>
          <m:t>min</m:t>
        </m:r>
        <m:d>
          <m:dPr>
            <m:begChr m:val="("/>
            <m:endChr m:val=")"/>
            <m:sepChr m:val=""/>
            <m:grow/>
          </m:dPr>
          <m:e>
            <m:r>
              <m:t>A</m:t>
            </m:r>
            <m:r>
              <m:rPr>
                <m:sty m:val="p"/>
              </m:rPr>
              <m:t>,</m:t>
            </m:r>
            <m:r>
              <m:t>B</m:t>
            </m:r>
          </m:e>
        </m:d>
      </m:oMath>
      <w:r>
        <w:t xml:space="preserve">, which evaluates shared overlap relative to the smaller assemblage, rendering it insensitive to differences in sample size / richness between sites.</w:t>
      </w:r>
    </w:p>
    <w:p>
      <w:pPr>
        <w:pStyle w:val="FirstParagraph"/>
      </w:pPr>
      <w:r>
        <w:t xml:space="preserve">To test whether the network topology is sensitive to the dissimilarity metric chosen, we compared network properties across all three metrics at the baseline threshold of 0.2. This section answers three specific questions:</w:t>
      </w:r>
    </w:p>
    <w:p>
      <w:pPr>
        <w:pStyle w:val="BodyText"/>
      </w:pPr>
      <w:r>
        <w:rPr>
          <w:bCs/>
          <w:b/>
        </w:rPr>
        <w:t xml:space="preserve">Question: does the Aur-P1 greater than Aur-P2 phase contrast hold under all three metrics?</w:t>
      </w:r>
    </w:p>
    <w:p>
      <w:pPr>
        <w:pStyle w:val="BodyText"/>
      </w:pPr>
      <w:r>
        <w:rPr>
          <w:bCs/>
          <w:b/>
        </w:rPr>
        <w:t xml:space="preserve">Question: does double-weighting shared presences under Sørensen-Dice change community structure relative to Jaccard?</w:t>
      </w:r>
    </w:p>
    <w:p>
      <w:pPr>
        <w:pStyle w:val="BodyText"/>
      </w:pPr>
      <w:r>
        <w:rPr>
          <w:bCs/>
          <w:b/>
        </w:rPr>
        <w:t xml:space="preserve">Question: does the raw mean-degree difference between Aur-P1 and Aur-P2 survive under Simpson similarity, which controls for richness asymmetry?</w:t>
      </w:r>
    </w:p>
    <w:bookmarkEnd w:id="44"/>
    <w:bookmarkStart w:id="55" w:name="sec-s3-analysis"/>
    <w:p>
      <w:pPr>
        <w:pStyle w:val="Heading2"/>
      </w:pPr>
      <w:r>
        <w:t xml:space="preserve">S1.3.2 Analysis</w:t>
      </w:r>
    </w:p>
    <w:tbl>
      <w:tblPr>
        <w:tblStyle w:val="Table"/>
        <w:tblW w:type="pct" w:w="5000"/>
        <w:tblLook w:firstRow="0" w:lastRow="0" w:firstColumn="0" w:lastColumn="0" w:noHBand="0" w:noVBand="0" w:val="0000"/>
        <w:jc w:val="start"/>
        <w:tblLayout w:type="fixed"/>
      </w:tblPr>
      <w:tblGrid>
        <w:gridCol w:w="7920"/>
      </w:tblGrid>
      <w:tr>
        <w:tc>
          <w:tcPr/>
          <w:bookmarkStart w:id="45" w:name="tbl-metric-stats"/>
          <w:tbl>
            <w:tblPr>
              <w:tblStyle w:val="Table"/>
              <w:tblW w:type="pct" w:w="5000"/>
              <w:tblLook w:firstRow="1" w:lastRow="0" w:firstColumn="0" w:lastColumn="0" w:noHBand="0" w:noVBand="0" w:val="0020"/>
              <w:jc w:val="start"/>
              <w:tblLayout w:type="fixed"/>
            </w:tblPr>
            <w:tblGrid>
              <w:gridCol w:w="871"/>
              <w:gridCol w:w="1188"/>
              <w:gridCol w:w="633"/>
              <w:gridCol w:w="792"/>
              <w:gridCol w:w="792"/>
              <w:gridCol w:w="950"/>
              <w:gridCol w:w="950"/>
              <w:gridCol w:w="950"/>
              <w:gridCol w:w="792"/>
            </w:tblGrid>
            <w:tr>
              <w:trPr>
                <w:tblHeader w:val="true"/>
              </w:trPr>
              <w:tc>
                <w:tcPr/>
                <w:p>
                  <w:pPr>
                    <w:pStyle w:val="Compact"/>
                    <w:jc w:val="left"/>
                    <w:jc w:val="left"/>
                  </w:pPr>
                  <w:r>
                    <w:t xml:space="preserve">Phase</w:t>
                  </w:r>
                </w:p>
              </w:tc>
              <w:tc>
                <w:tcPr/>
                <w:p>
                  <w:pPr>
                    <w:pStyle w:val="Compact"/>
                    <w:jc w:val="left"/>
                    <w:jc w:val="left"/>
                  </w:pPr>
                  <w:r>
                    <w:t xml:space="preserve">Metric</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Isolates</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c>
                <w:tcPr/>
                <w:p>
                  <w:pPr>
                    <w:pStyle w:val="Compact"/>
                    <w:jc w:val="left"/>
                    <w:jc w:val="left"/>
                  </w:pPr>
                  <w:r>
                    <w:t xml:space="preserve">Communities</w:t>
                  </w:r>
                </w:p>
              </w:tc>
            </w:tr>
            <w:tr>
              <w:tc>
                <w:tcPr/>
                <w:p>
                  <w:pPr>
                    <w:pStyle w:val="Compact"/>
                    <w:jc w:val="left"/>
                    <w:jc w:val="left"/>
                  </w:pPr>
                  <w:r>
                    <w:t xml:space="preserve">Aur-P1</w:t>
                  </w:r>
                </w:p>
              </w:tc>
              <w:tc>
                <w:tcPr/>
                <w:p>
                  <w:pPr>
                    <w:pStyle w:val="Compact"/>
                    <w:jc w:val="left"/>
                    <w:jc w:val="left"/>
                  </w:pPr>
                  <w:r>
                    <w:t xml:space="preserve">jaccard</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2</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c>
                <w:tcPr/>
                <w:p>
                  <w:pPr>
                    <w:pStyle w:val="Compact"/>
                    <w:jc w:val="left"/>
                    <w:jc w:val="left"/>
                  </w:pPr>
                  <w:r>
                    <w:t xml:space="preserve">4</w:t>
                  </w:r>
                </w:p>
              </w:tc>
            </w:tr>
            <w:tr>
              <w:tc>
                <w:tcPr/>
                <w:p>
                  <w:pPr>
                    <w:pStyle w:val="Compact"/>
                    <w:jc w:val="left"/>
                    <w:jc w:val="left"/>
                  </w:pPr>
                  <w:r>
                    <w:t xml:space="preserve">Aur-P2</w:t>
                  </w:r>
                </w:p>
              </w:tc>
              <w:tc>
                <w:tcPr/>
                <w:p>
                  <w:pPr>
                    <w:pStyle w:val="Compact"/>
                    <w:jc w:val="left"/>
                    <w:jc w:val="left"/>
                  </w:pPr>
                  <w:r>
                    <w:t xml:space="preserve">jaccard</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0</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sorensen</w:t>
                  </w:r>
                </w:p>
              </w:tc>
              <w:tc>
                <w:tcPr/>
                <w:p>
                  <w:pPr>
                    <w:pStyle w:val="Compact"/>
                    <w:jc w:val="left"/>
                    <w:jc w:val="left"/>
                  </w:pPr>
                  <w:r>
                    <w:t xml:space="preserve">113</w:t>
                  </w:r>
                </w:p>
              </w:tc>
              <w:tc>
                <w:tcPr/>
                <w:p>
                  <w:pPr>
                    <w:pStyle w:val="Compact"/>
                    <w:jc w:val="left"/>
                    <w:jc w:val="left"/>
                  </w:pPr>
                  <w:r>
                    <w:t xml:space="preserve">0.595</w:t>
                  </w:r>
                </w:p>
              </w:tc>
              <w:tc>
                <w:tcPr/>
                <w:p>
                  <w:pPr>
                    <w:pStyle w:val="Compact"/>
                    <w:jc w:val="left"/>
                    <w:jc w:val="left"/>
                  </w:pPr>
                  <w:r>
                    <w:t xml:space="preserve">1</w:t>
                  </w:r>
                </w:p>
              </w:tc>
              <w:tc>
                <w:tcPr/>
                <w:p>
                  <w:pPr>
                    <w:pStyle w:val="Compact"/>
                    <w:jc w:val="left"/>
                    <w:jc w:val="left"/>
                  </w:pPr>
                  <w:r>
                    <w:t xml:space="preserve">11.30</w:t>
                  </w:r>
                </w:p>
              </w:tc>
              <w:tc>
                <w:tcPr/>
                <w:p>
                  <w:pPr>
                    <w:pStyle w:val="Compact"/>
                    <w:jc w:val="left"/>
                    <w:jc w:val="left"/>
                  </w:pPr>
                  <w:r>
                    <w:t xml:space="preserve">0.798</w:t>
                  </w:r>
                </w:p>
              </w:tc>
              <w:tc>
                <w:tcPr/>
                <w:p>
                  <w:pPr>
                    <w:pStyle w:val="Compact"/>
                    <w:jc w:val="left"/>
                    <w:jc w:val="left"/>
                  </w:pPr>
                  <w:r>
                    <w:t xml:space="preserve">0.199</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sorensen</w:t>
                  </w:r>
                </w:p>
              </w:tc>
              <w:tc>
                <w:tcPr/>
                <w:p>
                  <w:pPr>
                    <w:pStyle w:val="Compact"/>
                    <w:jc w:val="left"/>
                    <w:jc w:val="left"/>
                  </w:pPr>
                  <w:r>
                    <w:t xml:space="preserve">29</w:t>
                  </w:r>
                </w:p>
              </w:tc>
              <w:tc>
                <w:tcPr/>
                <w:p>
                  <w:pPr>
                    <w:pStyle w:val="Compact"/>
                    <w:jc w:val="left"/>
                    <w:jc w:val="left"/>
                  </w:pPr>
                  <w:r>
                    <w:t xml:space="preserve">0.806</w:t>
                  </w:r>
                </w:p>
              </w:tc>
              <w:tc>
                <w:tcPr/>
                <w:p>
                  <w:pPr>
                    <w:pStyle w:val="Compact"/>
                    <w:jc w:val="left"/>
                    <w:jc w:val="left"/>
                  </w:pPr>
                  <w:r>
                    <w:t xml:space="preserve">0</w:t>
                  </w:r>
                </w:p>
              </w:tc>
              <w:tc>
                <w:tcPr/>
                <w:p>
                  <w:pPr>
                    <w:pStyle w:val="Compact"/>
                    <w:jc w:val="left"/>
                    <w:jc w:val="left"/>
                  </w:pPr>
                  <w:r>
                    <w:t xml:space="preserve">6.44</w:t>
                  </w:r>
                </w:p>
              </w:tc>
              <w:tc>
                <w:tcPr/>
                <w:p>
                  <w:pPr>
                    <w:pStyle w:val="Compact"/>
                    <w:jc w:val="left"/>
                    <w:jc w:val="left"/>
                  </w:pPr>
                  <w:r>
                    <w:t xml:space="preserve">0.826</w:t>
                  </w:r>
                </w:p>
              </w:tc>
              <w:tc>
                <w:tcPr/>
                <w:p>
                  <w:pPr>
                    <w:pStyle w:val="Compact"/>
                    <w:jc w:val="left"/>
                    <w:jc w:val="left"/>
                  </w:pPr>
                  <w:r>
                    <w:t xml:space="preserve">0.058</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simpson</w:t>
                  </w:r>
                </w:p>
              </w:tc>
              <w:tc>
                <w:tcPr/>
                <w:p>
                  <w:pPr>
                    <w:pStyle w:val="Compact"/>
                    <w:jc w:val="left"/>
                    <w:jc w:val="left"/>
                  </w:pPr>
                  <w:r>
                    <w:t xml:space="preserve">148</w:t>
                  </w:r>
                </w:p>
              </w:tc>
              <w:tc>
                <w:tcPr/>
                <w:p>
                  <w:pPr>
                    <w:pStyle w:val="Compact"/>
                    <w:jc w:val="left"/>
                    <w:jc w:val="left"/>
                  </w:pPr>
                  <w:r>
                    <w:t xml:space="preserve">0.779</w:t>
                  </w:r>
                </w:p>
              </w:tc>
              <w:tc>
                <w:tcPr/>
                <w:p>
                  <w:pPr>
                    <w:pStyle w:val="Compact"/>
                    <w:jc w:val="left"/>
                    <w:jc w:val="left"/>
                  </w:pPr>
                  <w:r>
                    <w:t xml:space="preserve">0</w:t>
                  </w:r>
                </w:p>
              </w:tc>
              <w:tc>
                <w:tcPr/>
                <w:p>
                  <w:pPr>
                    <w:pStyle w:val="Compact"/>
                    <w:jc w:val="left"/>
                    <w:jc w:val="left"/>
                  </w:pPr>
                  <w:r>
                    <w:t xml:space="preserve">14.80</w:t>
                  </w:r>
                </w:p>
              </w:tc>
              <w:tc>
                <w:tcPr/>
                <w:p>
                  <w:pPr>
                    <w:pStyle w:val="Compact"/>
                    <w:jc w:val="left"/>
                    <w:jc w:val="left"/>
                  </w:pPr>
                  <w:r>
                    <w:t xml:space="preserve">0.921</w:t>
                  </w:r>
                </w:p>
              </w:tc>
              <w:tc>
                <w:tcPr/>
                <w:p>
                  <w:pPr>
                    <w:pStyle w:val="Compact"/>
                    <w:jc w:val="left"/>
                    <w:jc w:val="left"/>
                  </w:pPr>
                  <w:r>
                    <w:t xml:space="preserve">0.030</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simpson</w:t>
                  </w:r>
                </w:p>
              </w:tc>
              <w:tc>
                <w:tcPr/>
                <w:p>
                  <w:pPr>
                    <w:pStyle w:val="Compact"/>
                    <w:jc w:val="left"/>
                    <w:jc w:val="left"/>
                  </w:pPr>
                  <w:r>
                    <w:t xml:space="preserve">32</w:t>
                  </w:r>
                </w:p>
              </w:tc>
              <w:tc>
                <w:tcPr/>
                <w:p>
                  <w:pPr>
                    <w:pStyle w:val="Compact"/>
                    <w:jc w:val="left"/>
                    <w:jc w:val="left"/>
                  </w:pPr>
                  <w:r>
                    <w:t xml:space="preserve">0.889</w:t>
                  </w:r>
                </w:p>
              </w:tc>
              <w:tc>
                <w:tcPr/>
                <w:p>
                  <w:pPr>
                    <w:pStyle w:val="Compact"/>
                    <w:jc w:val="left"/>
                    <w:jc w:val="left"/>
                  </w:pPr>
                  <w:r>
                    <w:t xml:space="preserve">0</w:t>
                  </w:r>
                </w:p>
              </w:tc>
              <w:tc>
                <w:tcPr/>
                <w:p>
                  <w:pPr>
                    <w:pStyle w:val="Compact"/>
                    <w:jc w:val="left"/>
                    <w:jc w:val="left"/>
                  </w:pPr>
                  <w:r>
                    <w:t xml:space="preserve">7.11</w:t>
                  </w:r>
                </w:p>
              </w:tc>
              <w:tc>
                <w:tcPr/>
                <w:p>
                  <w:pPr>
                    <w:pStyle w:val="Compact"/>
                    <w:jc w:val="left"/>
                    <w:jc w:val="left"/>
                  </w:pPr>
                  <w:r>
                    <w:t xml:space="preserve">0.900</w:t>
                  </w:r>
                </w:p>
              </w:tc>
              <w:tc>
                <w:tcPr/>
                <w:p>
                  <w:pPr>
                    <w:pStyle w:val="Compact"/>
                    <w:jc w:val="left"/>
                    <w:jc w:val="left"/>
                  </w:pPr>
                  <w:r>
                    <w:t xml:space="preserve">0.024</w:t>
                  </w:r>
                </w:p>
              </w:tc>
              <w:tc>
                <w:tcPr/>
                <w:p>
                  <w:pPr>
                    <w:pStyle w:val="Compact"/>
                    <w:jc w:val="left"/>
                    <w:jc w:val="left"/>
                  </w:pPr>
                  <w:r>
                    <w:t xml:space="preserve">2</w:t>
                  </w:r>
                </w:p>
              </w:tc>
            </w:tr>
          </w:tbl>
          <w:p>
            <w:pPr>
              <w:jc w:val="left"/>
            </w:pPr>
            <w:pPr>
              <w:jc w:val="start"/>
              <w:spacing w:before="200"/>
              <w:pStyle w:val="ImageCaption"/>
            </w:pPr>
            <w:r>
              <w:t xml:space="preserve">Table D. Network statistics for each Aurignacian phase across three similarity metrics (Jaccard, Sørensen-Dice, Simpson) at threshold = 0.2.</w:t>
            </w:r>
          </w:p>
          <w:bookmarkEnd w:id="45"/>
        </w:tc>
      </w:tr>
    </w:tbl>
    <w:tbl>
      <w:tblPr>
        <w:tblStyle w:val="Table"/>
        <w:tblW w:type="pct" w:w="5000"/>
        <w:tblLook w:firstRow="0" w:lastRow="0" w:firstColumn="0" w:lastColumn="0" w:noHBand="0" w:noVBand="0" w:val="0000"/>
        <w:jc w:val="start"/>
        <w:tblLayout w:type="fixed"/>
      </w:tblPr>
      <w:tblGrid>
        <w:gridCol w:w="7920"/>
      </w:tblGrid>
      <w:tr>
        <w:tc>
          <w:tcPr/>
          <w:bookmarkStart w:id="49" w:name="fig-metric-networks"/>
          <w:p>
            <w:pPr>
              <w:pStyle w:val="Compact"/>
              <w:jc w:val="left"/>
            </w:pPr>
            <w:r>
              <w:drawing>
                <wp:inline>
                  <wp:extent cx="5943600" cy="5403272"/>
                  <wp:effectExtent b="0" l="0" r="0" t="0"/>
                  <wp:docPr descr="" title="" id="47" name="Picture"/>
                  <a:graphic>
                    <a:graphicData uri="http://schemas.openxmlformats.org/drawingml/2006/picture">
                      <pic:pic>
                        <pic:nvPicPr>
                          <pic:cNvPr descr="../figures/sensitivity-metric-plot.png" id="48" name="Picture"/>
                          <pic:cNvPicPr>
                            <a:picLocks noChangeArrowheads="1" noChangeAspect="1"/>
                          </pic:cNvPicPr>
                        </pic:nvPicPr>
                        <pic:blipFill>
                          <a:blip r:embed="rId46"/>
                          <a:stretch>
                            <a:fillRect/>
                          </a:stretch>
                        </pic:blipFill>
                        <pic:spPr bwMode="auto">
                          <a:xfrm>
                            <a:off x="0" y="0"/>
                            <a:ext cx="5943600" cy="5403272"/>
                          </a:xfrm>
                          <a:prstGeom prst="rect">
                            <a:avLst/>
                          </a:prstGeom>
                          <a:noFill/>
                          <a:ln w="9525">
                            <a:noFill/>
                            <a:headEnd/>
                            <a:tailEnd/>
                          </a:ln>
                        </pic:spPr>
                      </pic:pic>
                    </a:graphicData>
                  </a:graphic>
                </wp:inline>
              </w:drawing>
            </w:r>
          </w:p>
          <w:p>
            <w:pPr>
              <w:jc w:val="left"/>
            </w:pPr>
            <w:pPr>
              <w:jc w:val="start"/>
              <w:spacing w:before="200"/>
              <w:pStyle w:val="ImageCaption"/>
            </w:pPr>
            <w:r>
              <w:t xml:space="preserve">Fig C. Site networks for Aur-P1 (top) and Aur-P2 (bottom) under Jaccard (left), Sørensen-Dice (centre), and Simpson (right) similarity metrics at threshold = 0.2.</w:t>
            </w:r>
          </w:p>
          <w:bookmarkEnd w:id="49"/>
        </w:tc>
      </w:tr>
    </w:tbl>
    <w:bookmarkStart w:id="54" w:name="sec-s3-ordination"/>
    <w:p>
      <w:pPr>
        <w:pStyle w:val="Heading3"/>
      </w:pPr>
      <w:r>
        <w:t xml:space="preserve">S1.3.2.1 Ordination biplots with PCoA and CA</w:t>
      </w:r>
    </w:p>
    <w:p>
      <w:pPr>
        <w:pStyle w:val="FirstParagraph"/>
      </w:pPr>
      <w:r>
        <w:t xml:space="preserve">PCoA uses the same Jaccard dissimilarity as the Mantel tests. CA uses the presence absence matrix directly. Both plots colour sites by the manual restricted broad groups. The two methods show the same gradient side by side.</w:t>
      </w:r>
    </w:p>
    <w:tbl>
      <w:tblPr>
        <w:tblStyle w:val="Table"/>
        <w:tblW w:type="pct" w:w="5000"/>
        <w:tblLook w:firstRow="0" w:lastRow="0" w:firstColumn="0" w:lastColumn="0" w:noHBand="0" w:noVBand="0" w:val="0000"/>
        <w:jc w:val="start"/>
        <w:tblLayout w:type="fixed"/>
      </w:tblPr>
      <w:tblGrid>
        <w:gridCol w:w="7920"/>
      </w:tblGrid>
      <w:tr>
        <w:tc>
          <w:tcPr/>
          <w:bookmarkStart w:id="53" w:name="fig-ordination-pcoa-ca"/>
          <w:p>
            <w:pPr>
              <w:pStyle w:val="Compact"/>
              <w:jc w:val="left"/>
            </w:pPr>
            <w:r>
              <w:drawing>
                <wp:inline>
                  <wp:extent cx="5943600" cy="4754880"/>
                  <wp:effectExtent b="0" l="0" r="0" t="0"/>
                  <wp:docPr descr="" title="" id="51" name="Picture"/>
                  <a:graphic>
                    <a:graphicData uri="http://schemas.openxmlformats.org/drawingml/2006/picture">
                      <pic:pic>
                        <pic:nvPicPr>
                          <pic:cNvPr descr="../figures/ordination-pcoa-ca-plot.png" id="52" name="Picture"/>
                          <pic:cNvPicPr>
                            <a:picLocks noChangeArrowheads="1" noChangeAspect="1"/>
                          </pic:cNvPicPr>
                        </pic:nvPicPr>
                        <pic:blipFill>
                          <a:blip r:embed="rId50"/>
                          <a:stretch>
                            <a:fillRect/>
                          </a:stretch>
                        </pic:blipFill>
                        <pic:spPr bwMode="auto">
                          <a:xfrm>
                            <a:off x="0" y="0"/>
                            <a:ext cx="5943600" cy="4754880"/>
                          </a:xfrm>
                          <a:prstGeom prst="rect">
                            <a:avLst/>
                          </a:prstGeom>
                          <a:noFill/>
                          <a:ln w="9525">
                            <a:noFill/>
                            <a:headEnd/>
                            <a:tailEnd/>
                          </a:ln>
                        </pic:spPr>
                      </pic:pic>
                    </a:graphicData>
                  </a:graphic>
                </wp:inline>
              </w:drawing>
            </w:r>
          </w:p>
          <w:p>
            <w:pPr>
              <w:jc w:val="left"/>
            </w:pPr>
            <w:pPr>
              <w:jc w:val="start"/>
              <w:spacing w:before="200"/>
              <w:pStyle w:val="ImageCaption"/>
            </w:pPr>
            <w:r>
              <w:t xml:space="preserve">Fig D. PCoA on Jaccard dissimilarity (left column) and CA on presence absence (right column) for Aur-P1 (top row) and Aur-P2 (bottom row). Points are sites coloured by manual group with restricted in orange and broad in blue. Labels name sites with high leverage only when space allows.</w:t>
            </w:r>
          </w:p>
          <w:bookmarkEnd w:id="53"/>
        </w:tc>
      </w:tr>
    </w:tbl>
    <w:bookmarkEnd w:id="54"/>
    <w:bookmarkEnd w:id="55"/>
    <w:bookmarkStart w:id="57" w:name="sec-s3-interpretation"/>
    <w:p>
      <w:pPr>
        <w:pStyle w:val="Heading2"/>
      </w:pPr>
      <w:r>
        <w:t xml:space="preserve">S1.3.3 Interpretation</w:t>
      </w:r>
    </w:p>
    <w:p>
      <w:pPr>
        <w:pStyle w:val="FirstParagraph"/>
      </w:pPr>
      <w:r>
        <w:rPr>
          <w:bCs/>
          <w:b/>
        </w:rPr>
        <w:t xml:space="preserve">Question: does the Aur-P1 greater than Aur-P2 phase contrast hold under all three metrics?</w:t>
      </w:r>
      <w:r>
        <w:t xml:space="preserve"> </w:t>
      </w:r>
      <w:r>
        <w:t xml:space="preserve">Yes, for the raw edge count and mean degree. Aur-P1 has more edges and a higher mean degree than Aur-P2 under Jaccard, Sørensen-Dice and Simpson similarity. Aur-P2 has the higher edge density under all three metrics: 0.528 against 0.395 for Jaccard, 0.806 against 0.595 for Sørensen-Dice and 0.889 against 0.779 for Simpson. The higher edge count of Aur-P1 therefore comes from its larger number of sites (20 against 9) (</w:t>
      </w:r>
      <w:hyperlink w:anchor="tbl-metric-stats">
        <w:r>
          <w:rPr>
            <w:rStyle w:val="Hyperlink"/>
          </w:rPr>
          <w:t xml:space="preserve">Table D</w:t>
        </w:r>
      </w:hyperlink>
      <w:r>
        <w:t xml:space="preserve">;</w:t>
      </w:r>
      <w:r>
        <w:t xml:space="preserve"> </w:t>
      </w:r>
      <w:hyperlink w:anchor="fig-metric-networks">
        <w:r>
          <w:rPr>
            <w:rStyle w:val="Hyperlink"/>
          </w:rPr>
          <w:t xml:space="preserve">Fig C</w:t>
        </w:r>
      </w:hyperlink>
      <w:r>
        <w:t xml:space="preserve">).</w:t>
      </w:r>
    </w:p>
    <w:p>
      <w:pPr>
        <w:pStyle w:val="BodyText"/>
      </w:pPr>
      <w:r>
        <w:rPr>
          <w:bCs/>
          <w:b/>
        </w:rPr>
        <w:t xml:space="preserve">Question: does double-weighting shared presences under Sørensen-Dice change community structure relative to Jaccard?</w:t>
      </w:r>
      <w:r>
        <w:t xml:space="preserve"> </w:t>
      </w:r>
      <w:r>
        <w:t xml:space="preserve">Yes. Sørensen-Dice similarity weakens the community structure. The double weight on shared presences raises more similarity scores above the 0.2 threshold, so Aur-P1 has 113 edges under Sørensen-Dice against 75 under Jaccard. Modularity falls from 0.336 to 0.199 in Aur-P1 and from 0.161 to 0.058 in Aur-P2. The number of communities falls from 4 to 3 in Aur-P1 and from 3 to 2 in Aur-P2 (</w:t>
      </w:r>
      <w:hyperlink w:anchor="tbl-metric-stats">
        <w:r>
          <w:rPr>
            <w:rStyle w:val="Hyperlink"/>
          </w:rPr>
          <w:t xml:space="preserve">Table D</w:t>
        </w:r>
      </w:hyperlink>
      <w:r>
        <w:t xml:space="preserve">). We did not compare hub sites between the two metrics.</w:t>
      </w:r>
    </w:p>
    <w:p>
      <w:pPr>
        <w:pStyle w:val="BodyText"/>
      </w:pPr>
      <w:r>
        <w:rPr>
          <w:bCs/>
          <w:b/>
        </w:rPr>
        <w:t xml:space="preserve">Question: does the raw mean-degree difference between Aur-P1 and Aur-P2 survive under Simpson similarity, which controls for richness asymmetry?</w:t>
      </w:r>
      <w:r>
        <w:t xml:space="preserve"> </w:t>
      </w:r>
      <w:r>
        <w:t xml:space="preserve">Yes. Under Simpson similarity, Aur-P1 has a mean degree of 14.80 and Aur-P2 has a mean degree of 7.11. Simpson similarity is J/min(A,B). A poor assemblage that is nested inside a rich one therefore gets a high score by construction (</w:t>
      </w:r>
      <w:r>
        <w:t xml:space="preserve">Section S1.10.3</w:t>
      </w:r>
      <w:r>
        <w:t xml:space="preserve">). This nestedness makes both Simpson networks dense: the edge density is 0.779 in Aur-P1 and 0.889 in Aur-P2. Aur-P2 is the denser network. The higher mean degree of Aur-P1 therefore comes from its larger number of sites (20 against 9), as under the other two metrics.</w:t>
      </w:r>
    </w:p>
    <w:p>
      <w:pPr>
        <w:pStyle w:val="BodyText"/>
      </w:pPr>
      <w:r>
        <w:rPr>
          <w:bCs/>
          <w:b/>
        </w:rPr>
        <w:t xml:space="preserve">Question: do ordinations show discrete clusters or a continuous gradient?</w:t>
      </w:r>
      <w:r>
        <w:t xml:space="preserve"> </w:t>
      </w:r>
      <w:r>
        <w:t xml:space="preserve">The PCoA and CA biplots show a continuous gradient with two single site outliers. In</w:t>
      </w:r>
      <w:r>
        <w:t xml:space="preserve"> </w:t>
      </w:r>
      <w:hyperlink w:anchor="fig-ordination-pcoa-ca">
        <w:r>
          <w:rPr>
            <w:rStyle w:val="Hyperlink"/>
          </w:rPr>
          <w:t xml:space="preserve">Fig D</w:t>
        </w:r>
      </w:hyperlink>
      <w:r>
        <w:t xml:space="preserve"> </w:t>
      </w:r>
      <w:r>
        <w:t xml:space="preserve">the restricted sites in orange and the broad sites in blue fall along one slope in Aur-P1 and in Aur-P2. PCoA axis 1 carries 31% of variance in Aur-P1 and 43.7% in Aur-P2. CA axis 1 carries 19.4% in Aur-P1 and 31.3% in Aur-P2. The main cloud shows no split into two groups. In Aur-P1 CA two broad sites stand apart, namely Les Cottés and Trou al’Wesse, because each carries a rare sign type. The visual matches the Simpson turnover result with no group separation.</w:t>
      </w:r>
    </w:p>
    <w:p>
      <w:pPr>
        <w:pStyle w:val="BodyText"/>
      </w:pPr>
      <w:r>
        <w:rPr>
          <w:bCs/>
          <w:b/>
        </w:rPr>
        <w:t xml:space="preserve">Question: does PCoA1 track richness, geography, or both?</w:t>
      </w:r>
      <w:r>
        <w:t xml:space="preserve"> </w:t>
      </w:r>
      <w:r>
        <w:t xml:space="preserve">The PCoA axis 1 captures the primary gradient in sign-type composition. To evaluate whether this gradient reflects richness, geographic position, or both, a multiple regression fits PCoA1 against richness and both geographic coordinates. Partial t-tests show whether PCoA1 tracks richness after controlling for geography and vice versa.</w:t>
      </w:r>
    </w:p>
    <w:tbl>
      <w:tblPr>
        <w:tblStyle w:val="Table"/>
        <w:tblW w:type="pct" w:w="5000"/>
        <w:tblLook w:firstRow="0" w:lastRow="0" w:firstColumn="0" w:lastColumn="0" w:noHBand="0" w:noVBand="0" w:val="0000"/>
        <w:jc w:val="start"/>
        <w:tblLayout w:type="fixed"/>
      </w:tblPr>
      <w:tblGrid>
        <w:gridCol w:w="7920"/>
      </w:tblGrid>
      <w:tr>
        <w:tc>
          <w:tcPr/>
          <w:bookmarkStart w:id="56" w:name="tbl-pc1-axis-test"/>
          <w:p>
            <w:pPr>
              <w:jc w:val="left"/>
            </w:pPr>
            <w:pPr>
              <w:jc w:val="start"/>
              <w:spacing w:before="200"/>
              <w:pStyle w:val="ImageCaption"/>
            </w:pPr>
            <w:r>
              <w:t xml:space="preserve">Table E. Multiple regression of PCoA axis 1 on sign-type richness and geographic coordinates. Partial t-tests show whether PCoA1 tracks richness after controlling for geography and vice versa. Bold p-values indicate significance.</w:t>
            </w:r>
          </w:p>
          <w:tbl>
            <w:tblPr>
              <w:tblStyle w:val="Table"/>
              <w:tblW w:type="pct" w:w="5000"/>
              <w:tblLook w:firstRow="1" w:lastRow="0" w:firstColumn="0" w:lastColumn="0" w:noHBand="0" w:noVBand="0" w:val="0020"/>
              <w:jc w:val="start"/>
              <w:tblLayout w:type="fixed"/>
            </w:tblPr>
            <w:tblGrid>
              <w:gridCol w:w="950"/>
              <w:gridCol w:w="554"/>
              <w:gridCol w:w="792"/>
              <w:gridCol w:w="950"/>
              <w:gridCol w:w="871"/>
              <w:gridCol w:w="1029"/>
              <w:gridCol w:w="950"/>
              <w:gridCol w:w="950"/>
              <w:gridCol w:w="871"/>
            </w:tblGrid>
            <w:tr>
              <w:trPr>
                <w:tblHeader w:val="true"/>
              </w:trPr>
              <w:tc>
                <w:tcPr/>
                <w:p>
                  <w:pPr>
                    <w:pStyle w:val="Compact"/>
                    <w:jc w:val="left"/>
                    <w:jc w:val="left"/>
                  </w:pPr>
                  <w:r>
                    <w:t xml:space="preserve">Phase</w:t>
                  </w:r>
                </w:p>
              </w:tc>
              <w:tc>
                <w:tcPr/>
                <w:p>
                  <w:pPr>
                    <w:pStyle w:val="Compact"/>
                    <w:jc w:val="left"/>
                    <w:jc w:val="left"/>
                  </w:pPr>
                  <w:r>
                    <w:t xml:space="preserve">n</w:t>
                  </w:r>
                </w:p>
              </w:tc>
              <w:tc>
                <w:tcPr/>
                <w:p>
                  <w:pPr>
                    <w:pStyle w:val="Compact"/>
                    <w:jc w:val="left"/>
                    <w:jc w:val="left"/>
                  </w:pPr>
                  <w:r>
                    <w:t xml:space="preserve">R² adj</w:t>
                  </w:r>
                </w:p>
              </w:tc>
              <w:tc>
                <w:tcPr/>
                <w:p>
                  <w:pPr>
                    <w:pStyle w:val="Compact"/>
                    <w:jc w:val="left"/>
                    <w:jc w:val="left"/>
                  </w:pPr>
                  <w:r>
                    <w:t xml:space="preserve">Richness coef</w:t>
                  </w:r>
                </w:p>
              </w:tc>
              <w:tc>
                <w:tcPr/>
                <w:p>
                  <w:pPr>
                    <w:pStyle w:val="Compact"/>
                    <w:jc w:val="left"/>
                    <w:jc w:val="left"/>
                  </w:pPr>
                  <w:r>
                    <w:t xml:space="preserve">Richness p</w:t>
                  </w:r>
                </w:p>
              </w:tc>
              <w:tc>
                <w:tcPr/>
                <w:p>
                  <w:pPr>
                    <w:pStyle w:val="Compact"/>
                    <w:jc w:val="left"/>
                    <w:jc w:val="left"/>
                  </w:pPr>
                  <w:r>
                    <w:t xml:space="preserve">Longitude coef</w:t>
                  </w:r>
                </w:p>
              </w:tc>
              <w:tc>
                <w:tcPr/>
                <w:p>
                  <w:pPr>
                    <w:pStyle w:val="Compact"/>
                    <w:jc w:val="left"/>
                    <w:jc w:val="left"/>
                  </w:pPr>
                  <w:r>
                    <w:t xml:space="preserve">Longitude p</w:t>
                  </w:r>
                </w:p>
              </w:tc>
              <w:tc>
                <w:tcPr/>
                <w:p>
                  <w:pPr>
                    <w:pStyle w:val="Compact"/>
                    <w:jc w:val="left"/>
                    <w:jc w:val="left"/>
                  </w:pPr>
                  <w:r>
                    <w:t xml:space="preserve">Latitude coef</w:t>
                  </w:r>
                </w:p>
              </w:tc>
              <w:tc>
                <w:tcPr/>
                <w:p>
                  <w:pPr>
                    <w:pStyle w:val="Compact"/>
                    <w:jc w:val="left"/>
                    <w:jc w:val="left"/>
                  </w:pPr>
                  <w:r>
                    <w:t xml:space="preserve">Latitude p</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0.644</w:t>
                  </w:r>
                </w:p>
              </w:tc>
              <w:tc>
                <w:tcPr/>
                <w:p>
                  <w:pPr>
                    <w:pStyle w:val="Compact"/>
                    <w:jc w:val="left"/>
                    <w:jc w:val="left"/>
                  </w:pPr>
                  <w:r>
                    <w:t xml:space="preserve">-0.051</w:t>
                  </w:r>
                </w:p>
              </w:tc>
              <w:tc>
                <w:tcPr/>
                <w:p>
                  <w:pPr>
                    <w:pStyle w:val="Compact"/>
                    <w:jc w:val="left"/>
                    <w:jc w:val="left"/>
                  </w:pPr>
                  <w:r>
                    <w:t xml:space="preserve">&lt; 0.001</w:t>
                  </w:r>
                </w:p>
              </w:tc>
              <w:tc>
                <w:tcPr/>
                <w:p>
                  <w:pPr>
                    <w:pStyle w:val="Compact"/>
                    <w:jc w:val="left"/>
                    <w:jc w:val="left"/>
                  </w:pPr>
                  <w:r>
                    <w:t xml:space="preserve">0.040</w:t>
                  </w:r>
                </w:p>
              </w:tc>
              <w:tc>
                <w:tcPr/>
                <w:p>
                  <w:pPr>
                    <w:pStyle w:val="Compact"/>
                    <w:jc w:val="left"/>
                    <w:jc w:val="left"/>
                  </w:pPr>
                  <w:r>
                    <w:t xml:space="preserve">0.003</w:t>
                  </w:r>
                </w:p>
              </w:tc>
              <w:tc>
                <w:tcPr/>
                <w:p>
                  <w:pPr>
                    <w:pStyle w:val="Compact"/>
                    <w:jc w:val="left"/>
                    <w:jc w:val="left"/>
                  </w:pPr>
                  <w:r>
                    <w:t xml:space="preserve">-0.049</w:t>
                  </w:r>
                </w:p>
              </w:tc>
              <w:tc>
                <w:tcPr/>
                <w:p>
                  <w:pPr>
                    <w:pStyle w:val="Compact"/>
                    <w:jc w:val="left"/>
                    <w:jc w:val="left"/>
                  </w:pPr>
                  <w:r>
                    <w:t xml:space="preserve">0.061</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-0.214</w:t>
                  </w:r>
                </w:p>
              </w:tc>
              <w:tc>
                <w:tcPr/>
                <w:p>
                  <w:pPr>
                    <w:pStyle w:val="Compact"/>
                    <w:jc w:val="left"/>
                    <w:jc w:val="left"/>
                  </w:pPr>
                  <w:r>
                    <w:t xml:space="preserve">0.049</w:t>
                  </w:r>
                </w:p>
              </w:tc>
              <w:tc>
                <w:tcPr/>
                <w:p>
                  <w:pPr>
                    <w:pStyle w:val="Compact"/>
                    <w:jc w:val="left"/>
                    <w:jc w:val="left"/>
                  </w:pPr>
                  <w:r>
                    <w:t xml:space="preserve">0.376</w:t>
                  </w:r>
                </w:p>
              </w:tc>
              <w:tc>
                <w:tcPr/>
                <w:p>
                  <w:pPr>
                    <w:pStyle w:val="Compact"/>
                    <w:jc w:val="left"/>
                    <w:jc w:val="left"/>
                  </w:pPr>
                  <w:r>
                    <w:t xml:space="preserve">0.024</w:t>
                  </w:r>
                </w:p>
              </w:tc>
              <w:tc>
                <w:tcPr/>
                <w:p>
                  <w:pPr>
                    <w:pStyle w:val="Compact"/>
                    <w:jc w:val="left"/>
                    <w:jc w:val="left"/>
                  </w:pPr>
                  <w:r>
                    <w:t xml:space="preserve">0.388</w:t>
                  </w:r>
                </w:p>
              </w:tc>
              <w:tc>
                <w:tcPr/>
                <w:p>
                  <w:pPr>
                    <w:pStyle w:val="Compact"/>
                    <w:jc w:val="left"/>
                    <w:jc w:val="left"/>
                  </w:pPr>
                  <w:r>
                    <w:t xml:space="preserve">-0.059</w:t>
                  </w:r>
                </w:p>
              </w:tc>
              <w:tc>
                <w:tcPr/>
                <w:p>
                  <w:pPr>
                    <w:pStyle w:val="Compact"/>
                    <w:jc w:val="left"/>
                    <w:jc w:val="left"/>
                  </w:pPr>
                  <w:r>
                    <w:t xml:space="preserve">0.523</w:t>
                  </w:r>
                </w:p>
              </w:tc>
            </w:tr>
          </w:tbl>
          <w:bookmarkEnd w:id="56"/>
          <w:p/>
        </w:tc>
      </w:tr>
    </w:tbl>
    <w:p>
      <w:pPr>
        <w:pStyle w:val="BodyText"/>
      </w:pPr>
      <w:r>
        <w:rPr>
          <w:bCs/>
          <w:b/>
        </w:rPr>
        <w:t xml:space="preserve">Answer: richness is the dominant predictor</w:t>
      </w:r>
      <w:r>
        <w:t xml:space="preserve"> </w:t>
      </w:r>
      <w:r>
        <w:t xml:space="preserve">(R² adj = 0.644, p = &lt; 0.001), but</w:t>
      </w:r>
      <w:r>
        <w:t xml:space="preserve"> </w:t>
      </w:r>
      <w:r>
        <w:rPr>
          <w:bCs/>
          <w:b/>
        </w:rPr>
        <w:t xml:space="preserve">longitude contributes a significant independent signal</w:t>
      </w:r>
      <w:r>
        <w:t xml:space="preserve"> </w:t>
      </w:r>
      <w:r>
        <w:t xml:space="preserve">(p = 0.003, partial ρ = 0.652) — eastern sites carry a distinct sign-type composition beyond what richness predicts. Latitude does not contribute significantly (p = 0.061). For Aur-P2 the sample (9 sites) is too small to resolve any predictor (R² adj = -0.214).</w:t>
      </w:r>
    </w:p>
    <w:p>
      <w:pPr>
        <w:pStyle w:val="BodyText"/>
      </w:pPr>
      <w:r>
        <w:rPr>
          <w:bCs/>
          <w:b/>
        </w:rPr>
        <w:t xml:space="preserve">Implication for the main text.</w:t>
      </w:r>
      <w:r>
        <w:t xml:space="preserve"> </w:t>
      </w:r>
      <w:r>
        <w:t xml:space="preserve">The higher raw mean degree of Aur-P1 does not depend on the similarity metric: Jaccard, Sørensen-Dice and Simpson similarity all give Aur-P1 more edges and a higher mean degree than Aur-P2 (</w:t>
      </w:r>
      <w:hyperlink w:anchor="tbl-metric-stats">
        <w:r>
          <w:rPr>
            <w:rStyle w:val="Hyperlink"/>
          </w:rPr>
          <w:t xml:space="preserve">Table D</w:t>
        </w:r>
      </w:hyperlink>
      <w:r>
        <w:t xml:space="preserve">;</w:t>
      </w:r>
      <w:r>
        <w:t xml:space="preserve"> </w:t>
      </w:r>
      <w:hyperlink w:anchor="fig-metric-networks">
        <w:r>
          <w:rPr>
            <w:rStyle w:val="Hyperlink"/>
          </w:rPr>
          <w:t xml:space="preserve">Fig C</w:t>
        </w:r>
      </w:hyperlink>
      <w:r>
        <w:t xml:space="preserve">). The community structure does depend on the metric: Aur-P1 modularity is 0.336 under Jaccard, 0.199 under Sørensen-Dice and 0.030 under Simpson. Under Simpson similarity a poor assemblage nested inside a rich one scores high by construction (</w:t>
      </w:r>
      <w:r>
        <w:t xml:space="preserve">Section S1.10.3</w:t>
      </w:r>
      <w:r>
        <w:t xml:space="preserve">), so the network becomes much denser and its community structure almost disappears. Nestedness, in which rich sites share most of the sign types of poor sites, explains why the Simpson networks are dense. It does not explain the phase difference in mean degree. Under all three metrics, that difference comes from the number of sites (20 in Aur-P1 against 9 in Aur-P2). In Aur-P1, the PCoA1 regression (</w:t>
      </w:r>
      <w:hyperlink w:anchor="tbl-pc1-axis-test">
        <w:r>
          <w:rPr>
            <w:rStyle w:val="Hyperlink"/>
          </w:rPr>
          <w:t xml:space="preserve">Table E</w:t>
        </w:r>
      </w:hyperlink>
      <w:r>
        <w:t xml:space="preserve">) also links the main gradient of sign-type composition to richness.</w:t>
      </w:r>
    </w:p>
    <w:p>
      <w:pPr>
        <w:pStyle w:val="BodyText"/>
      </w:pPr>
      <w:r>
        <w:t xml:space="preserve">The PCoA and CA ordination biplots reinforce this by showing that site relationships form a</w:t>
      </w:r>
      <w:r>
        <w:t xml:space="preserve"> </w:t>
      </w:r>
      <w:r>
        <w:rPr>
          <w:bCs/>
          <w:b/>
        </w:rPr>
        <w:t xml:space="preserve">continuous gradient</w:t>
      </w:r>
      <w:r>
        <w:t xml:space="preserve"> </w:t>
      </w:r>
      <w:r>
        <w:t xml:space="preserve">rather than discrete clusters (</w:t>
      </w:r>
      <w:hyperlink w:anchor="fig-ordination-pcoa-ca">
        <w:r>
          <w:rPr>
            <w:rStyle w:val="Hyperlink"/>
          </w:rPr>
          <w:t xml:space="preserve">Fig D</w:t>
        </w:r>
      </w:hyperlink>
      <w:r>
        <w:t xml:space="preserve">), matching the Simpson turnover result of no group separation. Together these results mean: (1) the main-text network conclusions are not an artefact of the Jaccard formulation; (2) the continuous gradient structure matches the Simpson turnover finding; and (3) geographic position (east–west) has a secondary effect on sign-type composition, but richness dominates the primary axis of variation. The main text reports this east–west component together with the weak dbRDA trend (</w:t>
      </w:r>
      <w:r>
        <w:t xml:space="preserve">Section S1.4.4</w:t>
      </w:r>
      <w:r>
        <w:t xml:space="preserve">).</w:t>
      </w:r>
    </w:p>
    <w:bookmarkEnd w:id="57"/>
    <w:bookmarkEnd w:id="58"/>
    <w:bookmarkStart w:id="76" w:name="sec-s4"/>
    <w:p>
      <w:pPr>
        <w:pStyle w:val="Heading1"/>
      </w:pPr>
      <w:r>
        <w:t xml:space="preserve">S1.4 Geographic Distance Verification (Mantel Tests)</w:t>
      </w:r>
    </w:p>
    <w:bookmarkStart w:id="59" w:name="sec-s4-rationale"/>
    <w:p>
      <w:pPr>
        <w:pStyle w:val="Heading2"/>
      </w:pPr>
      <w:r>
        <w:t xml:space="preserve">S1.4.1 Rationale</w:t>
      </w:r>
    </w:p>
    <w:p>
      <w:pPr>
        <w:pStyle w:val="FirstParagraph"/>
      </w:pPr>
      <w:r>
        <w:t xml:space="preserve">Mantel tests in the main text find no geographic signal, but the choice of distance measure and the use of a single global correlation can each affect this result. This section checks the result in three ways: a comparison of geodesic and flat-coordinate distances, scale-dependent correlograms with uncertainty on the global R, and a non-Mantel trend-surface model. Each check below states its questions in Rationale and answers them in Interpretation.</w:t>
      </w:r>
    </w:p>
    <w:bookmarkEnd w:id="59"/>
    <w:bookmarkStart w:id="63" w:name="sec-s4-check"/>
    <w:p>
      <w:pPr>
        <w:pStyle w:val="Heading2"/>
      </w:pPr>
      <w:r>
        <w:t xml:space="preserve">S1.4.2 Geodesic distance comparison</w:t>
      </w:r>
    </w:p>
    <w:bookmarkStart w:id="61" w:name="sec-s4-check-rationale"/>
    <w:p>
      <w:pPr>
        <w:pStyle w:val="Heading3"/>
      </w:pPr>
      <w:r>
        <w:t xml:space="preserve">S1.4.2.1 Rationale</w:t>
      </w:r>
    </w:p>
    <w:p>
      <w:pPr>
        <w:pStyle w:val="FirstParagraph"/>
      </w:pPr>
      <w:r>
        <w:t xml:space="preserve">In the main text, Mantel tests evaluate whether sign assemblage dissimilarity correlates with spatial distance. These tests measure geographic distance as</w:t>
      </w:r>
      <w:r>
        <w:t xml:space="preserve"> </w:t>
      </w:r>
      <w:r>
        <w:rPr>
          <w:bCs/>
          <w:b/>
        </w:rPr>
        <w:t xml:space="preserve">geodesic distance in kilometres</w:t>
      </w:r>
      <w:r>
        <w:t xml:space="preserve">, computed with</w:t>
      </w:r>
      <w:r>
        <w:t xml:space="preserve"> </w:t>
      </w:r>
      <w:r>
        <w:rPr>
          <w:rStyle w:val="VerbatimChar"/>
        </w:rPr>
        <w:t xml:space="preserve">sf::st_distance()</w:t>
      </w:r>
      <w:r>
        <w:t xml:space="preserve">. A simpler alternative is the Euclidean distance between flat longitude and latitude coordinates (</w:t>
      </w:r>
      <w:r>
        <w:rPr>
          <w:rStyle w:val="VerbatimChar"/>
        </w:rPr>
        <w:t xml:space="preserve">dist(cbind(lon, lat))</w:t>
      </w:r>
      <w:r>
        <w:t xml:space="preserve">), which distorts east–west distances across European latitudes. Here we repeat the Mantel tests with both distance measures, to check that the result does not depend on the distance measure.</w:t>
      </w:r>
    </w:p>
    <w:p>
      <w:pPr>
        <w:pStyle w:val="BodyText"/>
      </w:pPr>
      <w:r>
        <w:rPr>
          <w:bCs/>
          <w:b/>
        </w:rPr>
        <w:t xml:space="preserve">Question: does the non-significant Mantel result hold under both geodesic and flat Euclidean distances?</w:t>
      </w:r>
    </w:p>
    <w:tbl>
      <w:tblPr>
        <w:tblStyle w:val="Table"/>
        <w:tblW w:type="pct" w:w="5000"/>
        <w:tblLook w:firstRow="0" w:lastRow="0" w:firstColumn="0" w:lastColumn="0" w:noHBand="0" w:noVBand="0" w:val="0000"/>
        <w:jc w:val="start"/>
        <w:tblLayout w:type="fixed"/>
      </w:tblPr>
      <w:tblGrid>
        <w:gridCol w:w="7920"/>
      </w:tblGrid>
      <w:tr>
        <w:tc>
          <w:tcPr/>
          <w:bookmarkStart w:id="60" w:name="tbl-geodesic-mantel"/>
          <w:tbl>
            <w:tblPr>
              <w:tblStyle w:val="Table"/>
              <w:tblW w:type="pct" w:w="5000"/>
              <w:tblLook w:firstRow="1" w:lastRow="0" w:firstColumn="0" w:lastColumn="0" w:noHBand="0" w:noVBand="0" w:val="0020"/>
              <w:jc w:val="start"/>
              <w:tblLayout w:type="fixed"/>
            </w:tblPr>
            <w:tblGrid>
              <w:gridCol w:w="1742"/>
              <w:gridCol w:w="1504"/>
              <w:gridCol w:w="1504"/>
              <w:gridCol w:w="1663"/>
              <w:gridCol w:w="1504"/>
            </w:tblGrid>
            <w:tr>
              <w:trPr>
                <w:tblHeader w:val="true"/>
              </w:trPr>
              <w:tc>
                <w:tcPr/>
                <w:p>
                  <w:pPr>
                    <w:pStyle w:val="Compact"/>
                    <w:jc w:val="left"/>
                    <w:jc w:val="left"/>
                  </w:pPr>
                  <w:r>
                    <w:t xml:space="preserve">Phase</w:t>
                  </w:r>
                </w:p>
              </w:tc>
              <w:tc>
                <w:tcPr/>
                <w:p>
                  <w:pPr>
                    <w:pStyle w:val="Compact"/>
                    <w:jc w:val="left"/>
                    <w:jc w:val="left"/>
                  </w:pPr>
                  <w:r>
                    <w:t xml:space="preserve">Euclidean R</w:t>
                  </w:r>
                </w:p>
              </w:tc>
              <w:tc>
                <w:tcPr/>
                <w:p>
                  <w:pPr>
                    <w:pStyle w:val="Compact"/>
                    <w:jc w:val="left"/>
                    <w:jc w:val="left"/>
                  </w:pPr>
                  <w:r>
                    <w:t xml:space="preserve">Euclidean p</w:t>
                  </w:r>
                </w:p>
              </w:tc>
              <w:tc>
                <w:tcPr/>
                <w:p>
                  <w:pPr>
                    <w:pStyle w:val="Compact"/>
                    <w:jc w:val="left"/>
                    <w:jc w:val="left"/>
                  </w:pPr>
                  <w:r>
                    <w:t xml:space="preserve">Geodesic R (km)</w:t>
                  </w:r>
                </w:p>
              </w:tc>
              <w:tc>
                <w:tcPr/>
                <w:p>
                  <w:pPr>
                    <w:pStyle w:val="Compact"/>
                    <w:jc w:val="left"/>
                    <w:jc w:val="left"/>
                  </w:pPr>
                  <w:r>
                    <w:t xml:space="preserve">Geodesic p (km)</w:t>
                  </w:r>
                </w:p>
              </w:tc>
            </w:tr>
            <w:tr>
              <w:tc>
                <w:tcPr/>
                <w:p>
                  <w:pPr>
                    <w:pStyle w:val="Compact"/>
                    <w:jc w:val="left"/>
                    <w:jc w:val="left"/>
                  </w:pPr>
                  <w:r>
                    <w:t xml:space="preserve">Aur-P1</w:t>
                  </w:r>
                </w:p>
              </w:tc>
              <w:tc>
                <w:tcPr/>
                <w:p>
                  <w:pPr>
                    <w:pStyle w:val="Compact"/>
                    <w:jc w:val="left"/>
                    <w:jc w:val="left"/>
                  </w:pPr>
                  <w:r>
                    <w:t xml:space="preserve">0.026</w:t>
                  </w:r>
                </w:p>
              </w:tc>
              <w:tc>
                <w:tcPr/>
                <w:p>
                  <w:pPr>
                    <w:pStyle w:val="Compact"/>
                    <w:jc w:val="left"/>
                    <w:jc w:val="left"/>
                  </w:pPr>
                  <w:r>
                    <w:t xml:space="preserve">0.371</w:t>
                  </w:r>
                </w:p>
              </w:tc>
              <w:tc>
                <w:tcPr/>
                <w:p>
                  <w:pPr>
                    <w:pStyle w:val="Compact"/>
                    <w:jc w:val="left"/>
                    <w:jc w:val="left"/>
                  </w:pPr>
                  <w:r>
                    <w:t xml:space="preserve">0.046</w:t>
                  </w:r>
                </w:p>
              </w:tc>
              <w:tc>
                <w:tcPr/>
                <w:p>
                  <w:pPr>
                    <w:pStyle w:val="Compact"/>
                    <w:jc w:val="left"/>
                    <w:jc w:val="left"/>
                  </w:pPr>
                  <w:r>
                    <w:t xml:space="preserve">0.301</w:t>
                  </w:r>
                </w:p>
              </w:tc>
            </w:tr>
            <w:tr>
              <w:tc>
                <w:tcPr/>
                <w:p>
                  <w:pPr>
                    <w:pStyle w:val="Compact"/>
                    <w:jc w:val="left"/>
                    <w:jc w:val="left"/>
                  </w:pPr>
                  <w:r>
                    <w:t xml:space="preserve">Aur-P2</w:t>
                  </w:r>
                </w:p>
              </w:tc>
              <w:tc>
                <w:tcPr/>
                <w:p>
                  <w:pPr>
                    <w:pStyle w:val="Compact"/>
                    <w:jc w:val="left"/>
                    <w:jc w:val="left"/>
                  </w:pPr>
                  <w:r>
                    <w:t xml:space="preserve">-0.294</w:t>
                  </w:r>
                </w:p>
              </w:tc>
              <w:tc>
                <w:tcPr/>
                <w:p>
                  <w:pPr>
                    <w:pStyle w:val="Compact"/>
                    <w:jc w:val="left"/>
                    <w:jc w:val="left"/>
                  </w:pPr>
                  <w:r>
                    <w:t xml:space="preserve">0.965</w:t>
                  </w:r>
                </w:p>
              </w:tc>
              <w:tc>
                <w:tcPr/>
                <w:p>
                  <w:pPr>
                    <w:pStyle w:val="Compact"/>
                    <w:jc w:val="left"/>
                    <w:jc w:val="left"/>
                  </w:pPr>
                  <w:r>
                    <w:t xml:space="preserve">-0.299</w:t>
                  </w:r>
                </w:p>
              </w:tc>
              <w:tc>
                <w:tcPr/>
                <w:p>
                  <w:pPr>
                    <w:pStyle w:val="Compact"/>
                    <w:jc w:val="left"/>
                    <w:jc w:val="left"/>
                  </w:pPr>
                  <w:r>
                    <w:t xml:space="preserve">0.967</w:t>
                  </w:r>
                </w:p>
              </w:tc>
            </w:tr>
          </w:tbl>
          <w:p>
            <w:pPr>
              <w:jc w:val="left"/>
            </w:pPr>
            <w:pPr>
              <w:jc w:val="start"/>
              <w:spacing w:before="200"/>
              <w:pStyle w:val="ImageCaption"/>
            </w:pPr>
            <w:r>
              <w:t xml:space="preserve">Table F. Comparison of Mantel test results (Mantel R and p-value) evaluating sign assemblage dissimilarity vs. spatial distance using flat coordinate Euclidean distance vs. geodesic distance in kilometres (the distance measure used in the main text).</w:t>
            </w:r>
          </w:p>
          <w:bookmarkEnd w:id="60"/>
        </w:tc>
      </w:tr>
    </w:tbl>
    <w:bookmarkEnd w:id="61"/>
    <w:bookmarkStart w:id="62" w:name="sec-s4-check-interpretation"/>
    <w:p>
      <w:pPr>
        <w:pStyle w:val="Heading3"/>
      </w:pPr>
      <w:r>
        <w:t xml:space="preserve">S1.4.2.2 Interpretation</w:t>
      </w:r>
    </w:p>
    <w:p>
      <w:pPr>
        <w:pStyle w:val="FirstParagraph"/>
      </w:pPr>
      <w:r>
        <w:rPr>
          <w:bCs/>
          <w:b/>
        </w:rPr>
        <w:t xml:space="preserve">Question: does the non-significant Mantel result hold under both geodesic and flat Euclidean distances?</w:t>
      </w:r>
      <w:r>
        <w:t xml:space="preserve"> </w:t>
      </w:r>
      <w:r>
        <w:t xml:space="preserve">Yes. Neither distance measure gives a significant correlation in either phase:</w:t>
      </w:r>
    </w:p>
    <w:p>
      <w:pPr>
        <w:numPr>
          <w:ilvl w:val="0"/>
          <w:numId w:val="1003"/>
        </w:numPr>
        <w:pStyle w:val="Compact"/>
      </w:pPr>
      <w:r>
        <w:t xml:space="preserve">In</w:t>
      </w:r>
      <w:r>
        <w:t xml:space="preserve"> </w:t>
      </w:r>
      <w:r>
        <w:rPr>
          <w:bCs/>
          <w:b/>
        </w:rPr>
        <w:t xml:space="preserve">Aur-P1</w:t>
      </w:r>
      <w:r>
        <w:t xml:space="preserve">, the geodesic test gives</w:t>
      </w:r>
      <w:r>
        <w:t xml:space="preserve"> </w:t>
      </w:r>
      <m:oMath>
        <m:r>
          <m:t>R</m:t>
        </m:r>
      </m:oMath>
      <w:r>
        <w:t xml:space="preserve"> </w:t>
      </w:r>
      <w:r>
        <w:t xml:space="preserve">= 0.046 (p = 0.301) and the flat-coordinate test gives</w:t>
      </w:r>
      <w:r>
        <w:t xml:space="preserve"> </w:t>
      </w:r>
      <m:oMath>
        <m:r>
          <m:t>R</m:t>
        </m:r>
      </m:oMath>
      <w:r>
        <w:t xml:space="preserve"> </w:t>
      </w:r>
      <w:r>
        <w:t xml:space="preserve">= 0.026 (p = 0.371).</w:t>
      </w:r>
    </w:p>
    <w:p>
      <w:pPr>
        <w:numPr>
          <w:ilvl w:val="0"/>
          <w:numId w:val="1003"/>
        </w:numPr>
        <w:pStyle w:val="Compact"/>
      </w:pPr>
      <w:r>
        <w:t xml:space="preserve">In</w:t>
      </w:r>
      <w:r>
        <w:t xml:space="preserve"> </w:t>
      </w:r>
      <w:r>
        <w:rPr>
          <w:bCs/>
          <w:b/>
        </w:rPr>
        <w:t xml:space="preserve">Aur-P2</w:t>
      </w:r>
      <w:r>
        <w:t xml:space="preserve">, the geodesic test gives</w:t>
      </w:r>
      <w:r>
        <w:t xml:space="preserve"> </w:t>
      </w:r>
      <m:oMath>
        <m:r>
          <m:t>R</m:t>
        </m:r>
      </m:oMath>
      <w:r>
        <w:t xml:space="preserve"> </w:t>
      </w:r>
      <w:r>
        <w:t xml:space="preserve">= -0.299 (p = 0.967) and the flat-coordinate test gives</w:t>
      </w:r>
      <w:r>
        <w:t xml:space="preserve"> </w:t>
      </w:r>
      <m:oMath>
        <m:r>
          <m:t>R</m:t>
        </m:r>
      </m:oMath>
      <w:r>
        <w:t xml:space="preserve"> </w:t>
      </w:r>
      <w:r>
        <w:t xml:space="preserve">= -0.294 (p = 0.965).</w:t>
      </w:r>
    </w:p>
    <w:p>
      <w:pPr>
        <w:pStyle w:val="FirstParagraph"/>
      </w:pPr>
      <w:r>
        <w:t xml:space="preserve">The geodesic R values are the same as in the main-text Mantel tests. The p-values can differ slightly from the main text, because the two analyses use different random permutations.</w:t>
      </w:r>
    </w:p>
    <w:p>
      <w:pPr>
        <w:pStyle w:val="BodyText"/>
      </w:pPr>
      <w:r>
        <w:rPr>
          <w:bCs/>
          <w:b/>
        </w:rPr>
        <w:t xml:space="preserve">Implication for the main text.</w:t>
      </w:r>
      <w:r>
        <w:t xml:space="preserve"> </w:t>
      </w:r>
      <w:r>
        <w:t xml:space="preserve">The main-text Mantel tests already use geodesic kilometres. Flat coordinates give the same non-significant result in both phases, so the null result does not depend on the distance measure.</w:t>
      </w:r>
    </w:p>
    <w:bookmarkEnd w:id="62"/>
    <w:bookmarkEnd w:id="63"/>
    <w:bookmarkStart w:id="71" w:name="sec-s4-3"/>
    <w:p>
      <w:pPr>
        <w:pStyle w:val="Heading2"/>
      </w:pPr>
      <w:r>
        <w:t xml:space="preserve">S1.4.3 Mantel correlogram</w:t>
      </w:r>
    </w:p>
    <w:bookmarkStart w:id="64" w:name="rationale"/>
    <w:p>
      <w:pPr>
        <w:pStyle w:val="Heading3"/>
      </w:pPr>
      <w:r>
        <w:t xml:space="preserve">Rationale</w:t>
      </w:r>
    </w:p>
    <w:p>
      <w:pPr>
        <w:pStyle w:val="FirstParagraph"/>
      </w:pPr>
      <w:r>
        <w:t xml:space="preserve">The Mantel tests reported in the main text and in</w:t>
      </w:r>
      <w:r>
        <w:t xml:space="preserve"> </w:t>
      </w:r>
      <w:r>
        <w:t xml:space="preserve">Section S1.4</w:t>
      </w:r>
      <w:r>
        <w:t xml:space="preserve"> </w:t>
      </w:r>
      <w:r>
        <w:t xml:space="preserve">evaluate a single global null hypothesis: that geometric-sign dissimilarity is uncorrelated with geographic distance across all site pairs simultaneously. A non-significant global result can conceal scale-dependent structure — for example, sign sharing might be geographically clustered at short distances but random at long distances, producing a net correlation near zero. Because the global test cannot distinguish</w:t>
      </w:r>
      <w:r>
        <w:t xml:space="preserve"> </w:t>
      </w:r>
      <w:r>
        <w:t xml:space="preserve">“</w:t>
      </w:r>
      <w:r>
        <w:t xml:space="preserve">no spatial structure at any scale</w:t>
      </w:r>
      <w:r>
        <w:t xml:space="preserve">”</w:t>
      </w:r>
      <w:r>
        <w:t xml:space="preserve"> </w:t>
      </w:r>
      <w:r>
        <w:t xml:space="preserve">from</w:t>
      </w:r>
      <w:r>
        <w:t xml:space="preserve"> </w:t>
      </w:r>
      <w:r>
        <w:t xml:space="preserve">“</w:t>
      </w:r>
      <w:r>
        <w:t xml:space="preserve">positive and negative structure that cancel,</w:t>
      </w:r>
      <w:r>
        <w:t xml:space="preserve">”</w:t>
      </w:r>
      <w:r>
        <w:t xml:space="preserve"> </w:t>
      </w:r>
      <w:r>
        <w:t xml:space="preserve">we ask two specific questions:</w:t>
      </w:r>
    </w:p>
    <w:p>
      <w:pPr>
        <w:pStyle w:val="BodyText"/>
      </w:pPr>
      <w:r>
        <w:rPr>
          <w:bCs/>
          <w:b/>
        </w:rPr>
        <w:t xml:space="preserve">Question: does sign dissimilarity show spatial autocorrelation at a specific distance lag?</w:t>
      </w:r>
      <w:r>
        <w:t xml:space="preserve"> </w:t>
      </w:r>
      <w:r>
        <w:t xml:space="preserve">A Mantel correlogram partitions site pairs by geographic-distance bin and tests the Mantel correlation within each bin; a significant positive r at one or more lags would reveal scale-dependent structure that the global test misses.</w:t>
      </w:r>
    </w:p>
    <w:p>
      <w:pPr>
        <w:pStyle w:val="BodyText"/>
      </w:pPr>
      <w:r>
        <w:rPr>
          <w:bCs/>
          <w:b/>
        </w:rPr>
        <w:t xml:space="preserve">Question: how uncertain is the global Mantel R estimate, and what does that imply about statistical power?</w:t>
      </w:r>
      <w:r>
        <w:t xml:space="preserve"> </w:t>
      </w:r>
      <w:r>
        <w:t xml:space="preserve">We place a 95% interval on the single global Mantel R reported for each phase, by resampling objects within each site. This interval shows how stable R is when objects are resampled. It does not include the uncertainty that comes from the small number of sites, so it cannot measure statistical power. We therefore assess power separately, with the design calculations in</w:t>
      </w:r>
      <w:r>
        <w:t xml:space="preserve"> </w:t>
      </w:r>
      <w:r>
        <w:t xml:space="preserve">Section S1.13</w:t>
      </w:r>
      <w:r>
        <w:t xml:space="preserve">.</w:t>
      </w:r>
    </w:p>
    <w:bookmarkEnd w:id="64"/>
    <w:bookmarkStart w:id="69" w:name="analysis"/>
    <w:p>
      <w:pPr>
        <w:pStyle w:val="Heading3"/>
      </w:pPr>
      <w:r>
        <w:t xml:space="preserve">Analysis</w:t>
      </w:r>
    </w:p>
    <w:p>
      <w:pPr>
        <w:pStyle w:val="FirstParagraph"/>
      </w:pPr>
      <w:r>
        <w:t xml:space="preserve">We reconstruct, for each phase, the Jaccard sign dissimilarity and the geodesic geographic-distance matrix used by the</w:t>
      </w:r>
      <w:r>
        <w:t xml:space="preserve"> </w:t>
      </w:r>
      <w:r>
        <w:t xml:space="preserve">Section S1.4</w:t>
      </w:r>
      <w:r>
        <w:t xml:space="preserve"> </w:t>
      </w:r>
      <w:r>
        <w:t xml:space="preserve">Mantel tests (the same construction as</w:t>
      </w:r>
      <w:r>
        <w:t xml:space="preserve"> </w:t>
      </w:r>
      <w:r>
        <w:rPr>
          <w:rStyle w:val="VerbatimChar"/>
        </w:rPr>
        <w:t xml:space="preserve">run_mantel_comp</w:t>
      </w:r>
      <w:r>
        <w:t xml:space="preserve">, applied to the technology-assigned phase data). The Mantel correlogram is computed with</w:t>
      </w:r>
      <w:r>
        <w:t xml:space="preserve"> </w:t>
      </w:r>
      <w:r>
        <w:rPr>
          <w:rStyle w:val="VerbatimChar"/>
        </w:rPr>
        <w:t xml:space="preserve">ecodist::mgram</w:t>
      </w:r>
      <w:r>
        <w:t xml:space="preserve"> </w:t>
      </w:r>
      <w:r>
        <w:t xml:space="preserve">[1]</w:t>
      </w:r>
      <w:r>
        <w:t xml:space="preserve">, which bins pairs by geographic distance — into 5 equiprobable lags for Aur-P1 and 3 for Aur-P2, to keep pair counts per lag stable given the small samples — and returns the Mantel r, a permutation p-value, and 95% bootstrap confidence limits (llim/ulim) for each lag. For the global statistic we resample objects within each site with replacement (B = 1000), rebuild the site presence matrix, recompute Mantel R, and take the 2.5 percent and 97.5 percent quantiles as the bootstrap interval. We do not resample sites with replacement because duplicate sites create distance 0 and dissimilarity 0 pairs.</w:t>
      </w:r>
    </w:p>
    <w:tbl>
      <w:tblPr>
        <w:tblStyle w:val="Table"/>
        <w:tblW w:type="pct" w:w="5000"/>
        <w:tblLook w:firstRow="0" w:lastRow="0" w:firstColumn="0" w:lastColumn="0" w:noHBand="0" w:noVBand="0" w:val="0000"/>
        <w:jc w:val="start"/>
        <w:tblLayout w:type="fixed"/>
      </w:tblPr>
      <w:tblGrid>
        <w:gridCol w:w="7920"/>
      </w:tblGrid>
      <w:tr>
        <w:tc>
          <w:tcPr/>
          <w:bookmarkStart w:id="68" w:name="fig-mantel-correlogram"/>
          <w:p>
            <w:pPr>
              <w:pStyle w:val="Compact"/>
              <w:jc w:val="left"/>
            </w:pPr>
            <w:r>
              <w:drawing>
                <wp:inline>
                  <wp:extent cx="5943600" cy="3714750"/>
                  <wp:effectExtent b="0" l="0" r="0" t="0"/>
                  <wp:docPr descr="" title="" id="66" name="Picture"/>
                  <a:graphic>
                    <a:graphicData uri="http://schemas.openxmlformats.org/drawingml/2006/picture">
                      <pic:pic>
                        <pic:nvPicPr>
                          <pic:cNvPr descr="S1_File_files/figure-docx/fig-mantel-correlogram-1.png" id="67" name="Picture"/>
                          <pic:cNvPicPr>
                            <a:picLocks noChangeArrowheads="1" noChangeAspect="1"/>
                          </pic:cNvPicPr>
                        </pic:nvPicPr>
                        <pic:blipFill>
                          <a:blip r:embed="rId65"/>
                          <a:stretch>
                            <a:fillRect/>
                          </a:stretch>
                        </pic:blipFill>
                        <pic:spPr bwMode="auto">
                          <a:xfrm>
                            <a:off x="0" y="0"/>
                            <a:ext cx="5943600" cy="3714750"/>
                          </a:xfrm>
                          <a:prstGeom prst="rect">
                            <a:avLst/>
                          </a:prstGeom>
                          <a:noFill/>
                          <a:ln w="9525">
                            <a:noFill/>
                            <a:headEnd/>
                            <a:tailEnd/>
                          </a:ln>
                        </pic:spPr>
                      </pic:pic>
                    </a:graphicData>
                  </a:graphic>
                </wp:inline>
              </w:drawing>
            </w:r>
          </w:p>
          <w:p>
            <w:pPr>
              <w:jc w:val="left"/>
            </w:pPr>
            <w:pPr>
              <w:jc w:val="start"/>
              <w:spacing w:before="200"/>
              <w:pStyle w:val="ImageCaption"/>
            </w:pPr>
            <w:r>
              <w:t xml:space="preserve">Fig E. Mantel correlogram of geometric-sign dissimilarity against geographic distance, by phase. Points are the Mantel r within each distance lag; error bars are 95% bootstrap confidence intervals (ecodist::mgram, llim/ulim). The dashed line is r = 0. No Aur-P1 lag reaches significance; in Aur-P2 the longest-distance lag is nominally significant and its interval excludes zero.</w:t>
            </w:r>
          </w:p>
          <w:bookmarkEnd w:id="68"/>
        </w:tc>
      </w:tr>
    </w:tbl>
    <w:bookmarkEnd w:id="69"/>
    <w:bookmarkStart w:id="70" w:name="interpretation"/>
    <w:p>
      <w:pPr>
        <w:pStyle w:val="Heading3"/>
      </w:pPr>
      <w:r>
        <w:t xml:space="preserve">Interpretation</w:t>
      </w:r>
    </w:p>
    <w:p>
      <w:pPr>
        <w:pStyle w:val="FirstParagraph"/>
      </w:pPr>
      <w:r>
        <w:rPr>
          <w:bCs/>
          <w:b/>
        </w:rPr>
        <w:t xml:space="preserve">Question: does sign dissimilarity show spatial autocorrelation at a specific distance lag?</w:t>
      </w:r>
      <w:r>
        <w:t xml:space="preserve"> </w:t>
      </w:r>
      <w:r>
        <w:t xml:space="preserve">Mostly no. In Aur-P1 the 5 distance lags yield Mantel r values from -0.077 to 0.078, none significant (smallest p = 0.318); in Aur-P2 the 3 lags range from -0.255 to 0.349, the third lag reaches nominal significance (p = 0.048) and its bootstrap interval excludes zero. In Aur-P1 the bootstrap intervals of 2 lags also exclude zero, at mean distances of 380 and 536 km. These lags have small Mantel r values (-0.077 and 0.078), and their permutation p-values (0.318 and 0.393) are not significant. These limits come from the ecodist bootstrap, which recomputes r on random subsets of 90% of the sites. They show how much r varies between subsets of sites. The permutation p-value is the test of each lag. The correlograms therefore show no clear scale-dependent structure. This agrees with the global Mantel tests, which find no isolation-by-distance correlation in either phase. The trend-surface model in</w:t>
      </w:r>
      <w:r>
        <w:t xml:space="preserve"> </w:t>
      </w:r>
      <w:r>
        <w:t xml:space="preserve">Section S1.4.4</w:t>
      </w:r>
      <w:r>
        <w:t xml:space="preserve"> </w:t>
      </w:r>
      <w:r>
        <w:t xml:space="preserve">finds only a weak linear trend in Aur-P1.</w:t>
      </w:r>
    </w:p>
    <w:p>
      <w:pPr>
        <w:pStyle w:val="BodyText"/>
      </w:pPr>
      <w:r>
        <w:rPr>
          <w:bCs/>
          <w:b/>
        </w:rPr>
        <w:t xml:space="preserve">Question: how uncertain is the global Mantel R estimate, and what does that imply about statistical power?</w:t>
      </w:r>
      <w:r>
        <w:t xml:space="preserve"> </w:t>
      </w:r>
      <w:r>
        <w:t xml:space="preserve">The global Mantel R is 0.046 (p = 0.300) for Aur-P1 and -0.299 (p = 0.935) for Aur-P2, matching the</w:t>
      </w:r>
      <w:r>
        <w:t xml:space="preserve"> </w:t>
      </w:r>
      <w:r>
        <w:t xml:space="preserve">Section S1.4</w:t>
      </w:r>
      <w:r>
        <w:t xml:space="preserve"> </w:t>
      </w:r>
      <w:r>
        <w:t xml:space="preserve">geodesic results. The 95% interval from the object-within-site bootstrap is [-0.022, 0.086] for Aur-P1 and [-0.355, -0.231] for Aur-P2. Both intervals are narrow, because this bootstrap keeps the same sites and the same distances and resamples only the objects within each site. The intervals therefore show that each R is stable when objects are resampled. They do not include the uncertainty that comes from the small number of sites, and they do not measure statistical power. The Aur-P2 interval is entirely negative: in this phase, sites that are further apart tend to have more similar repertoires, which is the opposite of isolation by distance. The Mantel test is one-sided (it tests for a positive correlation), so its p-value does not test this negative association. We do not resample sites with replacement, because duplicate sites create pairs with distance 0 and dissimilarity 0. Statistical power is assessed with the design calculations in</w:t>
      </w:r>
      <w:r>
        <w:t xml:space="preserve"> </w:t>
      </w:r>
      <w:r>
        <w:t xml:space="preserve">Section S1.13</w:t>
      </w:r>
      <w:r>
        <w:t xml:space="preserve">. The non-significant Mantel results are therefore a lack of evidence for geographic structure, not evidence that it is absent, and they provide no support for any alternative cultural process (</w:t>
      </w:r>
      <w:r>
        <w:t xml:space="preserve">Section S1.8.2</w:t>
      </w:r>
      <w:r>
        <w:t xml:space="preserve">).</w:t>
      </w:r>
    </w:p>
    <w:p>
      <w:pPr>
        <w:pStyle w:val="BodyText"/>
      </w:pPr>
      <w:r>
        <w:rPr>
          <w:bCs/>
          <w:b/>
        </w:rPr>
        <w:t xml:space="preserve">Implication for the main text.</w:t>
      </w:r>
      <w:r>
        <w:t xml:space="preserve"> </w:t>
      </w:r>
      <w:r>
        <w:t xml:space="preserve">No short-lag structure in either phase; one nominally significant long-range lag in Aur-P2. The bootstrap intervals show that the Mantel R values are stable under object resampling; power is assessed in</w:t>
      </w:r>
      <w:r>
        <w:t xml:space="preserve"> </w:t>
      </w:r>
      <w:r>
        <w:t xml:space="preserve">Section S1.13</w:t>
      </w:r>
      <w:r>
        <w:t xml:space="preserve">.</w:t>
      </w:r>
    </w:p>
    <w:bookmarkEnd w:id="70"/>
    <w:bookmarkEnd w:id="71"/>
    <w:bookmarkStart w:id="75" w:name="sec-s4-4"/>
    <w:p>
      <w:pPr>
        <w:pStyle w:val="Heading2"/>
      </w:pPr>
      <w:r>
        <w:t xml:space="preserve">S1.4.4 Distance-based redundancy analysis</w:t>
      </w:r>
    </w:p>
    <w:bookmarkStart w:id="73" w:name="rationale-1"/>
    <w:p>
      <w:pPr>
        <w:pStyle w:val="Heading3"/>
      </w:pPr>
      <w:r>
        <w:t xml:space="preserve">Rationale</w:t>
      </w:r>
    </w:p>
    <w:p>
      <w:pPr>
        <w:pStyle w:val="FirstParagraph"/>
      </w:pPr>
      <w:r>
        <w:t xml:space="preserve">All spatial tests above belong to the Mantel family: they correlate pairs of distance matrices, whose pairwise entries are non-independent by construction. Distance-based redundancy analysis</w:t>
      </w:r>
      <w:r>
        <w:t xml:space="preserve"> </w:t>
      </w:r>
      <w:r>
        <w:t xml:space="preserve">[dbRDA, 2]</w:t>
      </w:r>
      <w:r>
        <w:t xml:space="preserve"> </w:t>
      </w:r>
      <w:r>
        <w:t xml:space="preserve">instead fits an explanatory model of the site composition matrix on geographic predictors, with an R² and a permutation p-value, so a null here is convergent evidence from different machinery rather than a re-run of the same correlation. We model the site Jaccard dissimilarity matrix (same construction as the Mantel tests) on a linear geographic trend surface (longitude + latitude). The 2-df specification is identical in both phases so Aur-P2 (9 sites, 6 residual df) remains estimable.</w:t>
      </w:r>
    </w:p>
    <w:p>
      <w:pPr>
        <w:pStyle w:val="BodyText"/>
      </w:pPr>
      <w:r>
        <w:rPr>
          <w:bCs/>
          <w:b/>
        </w:rPr>
        <w:t xml:space="preserve">Question: does geography explain sign composition under a non-Mantel trend-surface model?</w:t>
      </w:r>
    </w:p>
    <w:tbl>
      <w:tblPr>
        <w:tblStyle w:val="Table"/>
        <w:tblW w:type="pct" w:w="5000"/>
        <w:tblLook w:firstRow="0" w:lastRow="0" w:firstColumn="0" w:lastColumn="0" w:noHBand="0" w:noVBand="0" w:val="0000"/>
        <w:jc w:val="start"/>
        <w:tblLayout w:type="fixed"/>
      </w:tblPr>
      <w:tblGrid>
        <w:gridCol w:w="7920"/>
      </w:tblGrid>
      <w:tr>
        <w:tc>
          <w:tcPr/>
          <w:bookmarkStart w:id="72" w:name="tbl-dbrda"/>
          <w:tbl>
            <w:tblPr>
              <w:tblStyle w:val="Table"/>
              <w:tblW w:type="pct" w:w="5000"/>
              <w:tblLook w:firstRow="1" w:lastRow="0" w:firstColumn="0" w:lastColumn="0" w:noHBand="0" w:noVBand="0" w:val="0020"/>
              <w:jc w:val="start"/>
              <w:tblLayout w:type="fixed"/>
            </w:tblPr>
            <w:tblGrid>
              <w:gridCol w:w="1900"/>
              <w:gridCol w:w="1504"/>
              <w:gridCol w:w="1504"/>
              <w:gridCol w:w="1504"/>
              <w:gridCol w:w="1504"/>
            </w:tblGrid>
            <w:tr>
              <w:trPr>
                <w:tblHeader w:val="true"/>
              </w:trPr>
              <w:tc>
                <w:tcPr/>
                <w:p>
                  <w:pPr>
                    <w:pStyle w:val="Compact"/>
                    <w:jc w:val="left"/>
                    <w:jc w:val="left"/>
                  </w:pPr>
                  <w:r>
                    <w:t xml:space="preserve">Phase</w:t>
                  </w:r>
                </w:p>
              </w:tc>
              <w:tc>
                <w:tcPr/>
                <w:p>
                  <w:pPr>
                    <w:pStyle w:val="Compact"/>
                    <w:jc w:val="left"/>
                    <w:jc w:val="left"/>
                  </w:pPr>
                  <w:r>
                    <w:t xml:space="preserve">dbRDA R2</w:t>
                  </w:r>
                </w:p>
              </w:tc>
              <w:tc>
                <w:tcPr/>
                <w:p>
                  <w:pPr>
                    <w:pStyle w:val="Compact"/>
                    <w:jc w:val="left"/>
                    <w:jc w:val="left"/>
                  </w:pPr>
                  <w:r>
                    <w:t xml:space="preserve">dbRDA adjR2</w:t>
                  </w:r>
                </w:p>
              </w:tc>
              <w:tc>
                <w:tcPr/>
                <w:p>
                  <w:pPr>
                    <w:pStyle w:val="Compact"/>
                    <w:jc w:val="left"/>
                    <w:jc w:val="left"/>
                  </w:pPr>
                  <w:r>
                    <w:t xml:space="preserve">dbRDA F</w:t>
                  </w:r>
                </w:p>
              </w:tc>
              <w:tc>
                <w:tcPr/>
                <w:p>
                  <w:pPr>
                    <w:pStyle w:val="Compact"/>
                    <w:jc w:val="left"/>
                    <w:jc w:val="left"/>
                  </w:pPr>
                  <w:r>
                    <w:t xml:space="preserve">dbRDA p</w:t>
                  </w:r>
                </w:p>
              </w:tc>
            </w:tr>
            <w:tr>
              <w:tc>
                <w:tcPr/>
                <w:p>
                  <w:pPr>
                    <w:pStyle w:val="Compact"/>
                    <w:jc w:val="left"/>
                    <w:jc w:val="left"/>
                  </w:pPr>
                  <w:r>
                    <w:t xml:space="preserve">Aur-P1</w:t>
                  </w:r>
                </w:p>
              </w:tc>
              <w:tc>
                <w:tcPr/>
                <w:p>
                  <w:pPr>
                    <w:pStyle w:val="Compact"/>
                    <w:jc w:val="left"/>
                    <w:jc w:val="left"/>
                  </w:pPr>
                  <w:r>
                    <w:t xml:space="preserve">0.156</w:t>
                  </w:r>
                </w:p>
              </w:tc>
              <w:tc>
                <w:tcPr/>
                <w:p>
                  <w:pPr>
                    <w:pStyle w:val="Compact"/>
                    <w:jc w:val="left"/>
                    <w:jc w:val="left"/>
                  </w:pPr>
                  <w:r>
                    <w:t xml:space="preserve">0.057</w:t>
                  </w:r>
                </w:p>
              </w:tc>
              <w:tc>
                <w:tcPr/>
                <w:p>
                  <w:pPr>
                    <w:pStyle w:val="Compact"/>
                    <w:jc w:val="left"/>
                    <w:jc w:val="left"/>
                  </w:pPr>
                  <w:r>
                    <w:t xml:space="preserve">1.573</w:t>
                  </w:r>
                </w:p>
              </w:tc>
              <w:tc>
                <w:tcPr/>
                <w:p>
                  <w:pPr>
                    <w:pStyle w:val="Compact"/>
                    <w:jc w:val="left"/>
                    <w:jc w:val="left"/>
                  </w:pPr>
                  <w:r>
                    <w:t xml:space="preserve">0.038</w:t>
                  </w:r>
                </w:p>
              </w:tc>
            </w:tr>
            <w:tr>
              <w:tc>
                <w:tcPr/>
                <w:p>
                  <w:pPr>
                    <w:pStyle w:val="Compact"/>
                    <w:jc w:val="left"/>
                    <w:jc w:val="left"/>
                  </w:pPr>
                  <w:r>
                    <w:t xml:space="preserve">Aur-P2</w:t>
                  </w:r>
                </w:p>
              </w:tc>
              <w:tc>
                <w:tcPr/>
                <w:p>
                  <w:pPr>
                    <w:pStyle w:val="Compact"/>
                    <w:jc w:val="left"/>
                    <w:jc w:val="left"/>
                  </w:pPr>
                  <w:r>
                    <w:t xml:space="preserve">0.191</w:t>
                  </w:r>
                </w:p>
              </w:tc>
              <w:tc>
                <w:tcPr/>
                <w:p>
                  <w:pPr>
                    <w:pStyle w:val="Compact"/>
                    <w:jc w:val="left"/>
                    <w:jc w:val="left"/>
                  </w:pPr>
                  <w:r>
                    <w:t xml:space="preserve">-0.078</w:t>
                  </w:r>
                </w:p>
              </w:tc>
              <w:tc>
                <w:tcPr/>
                <w:p>
                  <w:pPr>
                    <w:pStyle w:val="Compact"/>
                    <w:jc w:val="left"/>
                    <w:jc w:val="left"/>
                  </w:pPr>
                  <w:r>
                    <w:t xml:space="preserve">0.709</w:t>
                  </w:r>
                </w:p>
              </w:tc>
              <w:tc>
                <w:tcPr/>
                <w:p>
                  <w:pPr>
                    <w:pStyle w:val="Compact"/>
                    <w:jc w:val="left"/>
                    <w:jc w:val="left"/>
                  </w:pPr>
                  <w:r>
                    <w:t xml:space="preserve">0.850</w:t>
                  </w:r>
                </w:p>
              </w:tc>
            </w:tr>
          </w:tbl>
          <w:p>
            <w:pPr>
              <w:jc w:val="left"/>
            </w:pPr>
            <w:pPr>
              <w:jc w:val="start"/>
              <w:spacing w:before="200"/>
              <w:pStyle w:val="ImageCaption"/>
            </w:pPr>
            <w:r>
              <w:t xml:space="preserve">Table G. Distance-based redundancy analysis of site Jaccard dissimilarity on a linear geographic trend surface (longitude + latitude), per phase. R² is the raw constrained proportion, adjR² the Ezekiel-adjusted value, F and p from 999 permutations.</w:t>
            </w:r>
          </w:p>
          <w:bookmarkEnd w:id="72"/>
        </w:tc>
      </w:tr>
    </w:tbl>
    <w:bookmarkEnd w:id="73"/>
    <w:bookmarkStart w:id="74" w:name="interpretation-1"/>
    <w:p>
      <w:pPr>
        <w:pStyle w:val="Heading3"/>
      </w:pPr>
      <w:r>
        <w:t xml:space="preserve">Interpretation</w:t>
      </w:r>
    </w:p>
    <w:p>
      <w:pPr>
        <w:pStyle w:val="FirstParagraph"/>
      </w:pPr>
      <w:r>
        <w:rPr>
          <w:bCs/>
          <w:b/>
        </w:rPr>
        <w:t xml:space="preserve">Question: does geography explain sign composition under a non-Mantel trend-surface model?</w:t>
      </w:r>
      <w:r>
        <w:t xml:space="preserve"> </w:t>
      </w:r>
      <w:r>
        <w:t xml:space="preserve">Only faintly, and only in Aur-P1. The linear trend is nominally significant in Aur-P1 (R² = 0.156, adjusted R² = 0.057, p = 0.038) but the adjusted R² is small (0.057): longitude and latitude explain only about 6% of the variation in sign composition. In Aur-P2 there is no signal (R² = 0.191, adjusted R² = -0.078, p = 0.85). Note the Aur-P2 raw R² exceeds Aur-P1’s while its adjusted R² is negative: with 9 sites and 2 predictors the raw value is overfit, which is why the adjusted figure governs the reading. Because both tests use the same dissimilarity matrix, the Aur-P1 result is weak corroboration of a weak gradient rather than independent confirmation.</w:t>
      </w:r>
    </w:p>
    <w:p>
      <w:pPr>
        <w:pStyle w:val="BodyText"/>
      </w:pPr>
      <w:r>
        <w:rPr>
          <w:bCs/>
          <w:b/>
        </w:rPr>
        <w:t xml:space="preserve">Implication for the main text.</w:t>
      </w:r>
      <w:r>
        <w:t xml:space="preserve"> </w:t>
      </w:r>
      <w:r>
        <w:t xml:space="preserve">Geography adds no discrete regional explanation; the weak Aur-P1 gradient does not alter the non-significant Mantel reading.</w:t>
      </w:r>
    </w:p>
    <w:bookmarkEnd w:id="74"/>
    <w:bookmarkEnd w:id="75"/>
    <w:bookmarkEnd w:id="76"/>
    <w:bookmarkStart w:id="100" w:name="sec-s5"/>
    <w:p>
      <w:pPr>
        <w:pStyle w:val="Heading1"/>
      </w:pPr>
      <w:r>
        <w:t xml:space="preserve">S1.5 Periodisation Scheme Sensitivity</w:t>
      </w:r>
    </w:p>
    <w:bookmarkStart w:id="77" w:name="sec-s5-1"/>
    <w:p>
      <w:pPr>
        <w:pStyle w:val="Heading2"/>
      </w:pPr>
      <w:r>
        <w:t xml:space="preserve">S1.5.1 Rationale</w:t>
      </w:r>
    </w:p>
    <w:p>
      <w:pPr>
        <w:pStyle w:val="FirstParagraph"/>
      </w:pPr>
      <w:r>
        <w:t xml:space="preserve">The main analysis adopts the two-phase Aur-P1/Aur-P2 framework of Shao et al.</w:t>
      </w:r>
      <w:r>
        <w:t xml:space="preserve"> </w:t>
      </w:r>
      <w:r>
        <w:t xml:space="preserve">[3]</w:t>
      </w:r>
      <w:r>
        <w:t xml:space="preserve">, which merges the Proto- and Early Aurignacian into a single early phase (Aur-P1, 43–37 ka cal BP) and treats the Evolved/Late Aurignacian as a single late phase (Aur-P2, 37–32 ka cal BP), with site membership assigned on technological grounds (</w:t>
      </w:r>
      <w:r>
        <w:t xml:space="preserve">Section S1.5.5</w:t>
      </w:r>
      <w:r>
        <w:t xml:space="preserve">). Because this scheme is coarser than the classic three-phase periodisation of Western European archaeology, this section tests whether the two-phase results are robust to how the sequence is subdivided. Four checks follow: decomposition into technology-assigned components and a four-phase split (</w:t>
      </w:r>
      <w:r>
        <w:t xml:space="preserve">Section S1.5.2</w:t>
      </w:r>
      <w:r>
        <w:t xml:space="preserve">), date-variant calibration (</w:t>
      </w:r>
      <w:r>
        <w:t xml:space="preserve">Section S1.5.3</w:t>
      </w:r>
      <w:r>
        <w:t xml:space="preserve">), phase-boundary shifts (</w:t>
      </w:r>
      <w:r>
        <w:t xml:space="preserve">Section S1.5.4</w:t>
      </w:r>
      <w:r>
        <w:t xml:space="preserve">), and technological versus date-based assignment (</w:t>
      </w:r>
      <w:r>
        <w:t xml:space="preserve">Section S1.5.5</w:t>
      </w:r>
      <w:r>
        <w:t xml:space="preserve">). All schemes are evaluated at the main-text threshold of 0.2 using Jaccard similarity.</w:t>
      </w:r>
    </w:p>
    <w:bookmarkEnd w:id="77"/>
    <w:bookmarkStart w:id="83" w:name="sec-s5-2"/>
    <w:p>
      <w:pPr>
        <w:pStyle w:val="Heading2"/>
      </w:pPr>
      <w:r>
        <w:t xml:space="preserve">S1.5.2 Two-, three- and four-phase decomposition</w:t>
      </w:r>
    </w:p>
    <w:bookmarkStart w:id="80" w:name="rationale-2"/>
    <w:p>
      <w:pPr>
        <w:pStyle w:val="Heading3"/>
      </w:pPr>
      <w:r>
        <w:t xml:space="preserve">Rationale</w:t>
      </w:r>
    </w:p>
    <w:p>
      <w:pPr>
        <w:pStyle w:val="FirstParagraph"/>
      </w:pPr>
      <w:r>
        <w:t xml:space="preserve">We decompose the two-phase baseline into its technology-assigned components, the relict Proto-Aurignacian, the Early Aurignacian, and the Evolved Aurignacian (Aur-P2), and additionally split the Evolved Aurignacian into Evolved and Late sub-phases following the four-phase taxonomy of Teyssandier and Zilhão</w:t>
      </w:r>
      <w:r>
        <w:t xml:space="preserve"> </w:t>
      </w:r>
      <w:r>
        <w:t xml:space="preserve">[4]</w:t>
      </w:r>
      <w:r>
        <w:t xml:space="preserve">, with the Evolved–Late boundary at 35 ka cal BP. This section answers three specific questions:</w:t>
      </w:r>
    </w:p>
    <w:p>
      <w:pPr>
        <w:pStyle w:val="BodyText"/>
      </w:pPr>
      <w:r>
        <w:rPr>
          <w:bCs/>
          <w:b/>
        </w:rPr>
        <w:t xml:space="preserve">Question: which technology-assigned component carries the raw mean-degree difference between Aur-P1 and Aur-P2?</w:t>
      </w:r>
    </w:p>
    <w:p>
      <w:pPr>
        <w:pStyle w:val="BodyText"/>
      </w:pPr>
      <w:r>
        <w:rPr>
          <w:bCs/>
          <w:b/>
        </w:rPr>
        <w:t xml:space="preserve">Question: does the early versus late contrast persist without merging Proto and Early?</w:t>
      </w:r>
    </w:p>
    <w:p>
      <w:pPr>
        <w:pStyle w:val="BodyText"/>
      </w:pPr>
      <w:r>
        <w:rPr>
          <w:bCs/>
          <w:b/>
        </w:rPr>
        <w:t xml:space="preserve">Question: does splitting Aur-P2 into Evolved and Late sub-phases reveal internal differentiation or only data limitation?</w:t>
      </w:r>
    </w:p>
    <w:tbl>
      <w:tblPr>
        <w:tblStyle w:val="Table"/>
        <w:tblW w:type="pct" w:w="5000"/>
        <w:tblLook w:firstRow="0" w:lastRow="0" w:firstColumn="0" w:lastColumn="0" w:noHBand="0" w:noVBand="0" w:val="0000"/>
        <w:jc w:val="start"/>
        <w:tblLayout w:type="fixed"/>
      </w:tblPr>
      <w:tblGrid>
        <w:gridCol w:w="7920"/>
      </w:tblGrid>
      <w:tr>
        <w:tc>
          <w:tcPr/>
          <w:bookmarkStart w:id="78" w:name="tbl-two-phase-ref"/>
          <w:tbl>
            <w:tblPr>
              <w:tblStyle w:val="Table"/>
              <w:tblW w:type="pct" w:w="5000"/>
              <w:tblLook w:firstRow="1" w:lastRow="0" w:firstColumn="0" w:lastColumn="0" w:noHBand="0" w:noVBand="0" w:val="0020"/>
              <w:jc w:val="start"/>
              <w:tblLayout w:type="fixed"/>
            </w:tblPr>
            <w:tblGrid>
              <w:gridCol w:w="2217"/>
              <w:gridCol w:w="792"/>
              <w:gridCol w:w="871"/>
              <w:gridCol w:w="950"/>
              <w:gridCol w:w="1108"/>
              <w:gridCol w:w="1029"/>
              <w:gridCol w:w="950"/>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r>
            <w:tr>
              <w:tc>
                <w:tcPr/>
                <w:p>
                  <w:pPr>
                    <w:pStyle w:val="Compact"/>
                    <w:jc w:val="left"/>
                    <w:jc w:val="left"/>
                  </w:pPr>
                  <w:r>
                    <w:t xml:space="preserve">Aur-P1 (Proto + Early)</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r>
            <w:tr>
              <w:tc>
                <w:tcPr/>
                <w:p>
                  <w:pPr>
                    <w:pStyle w:val="Compact"/>
                    <w:jc w:val="left"/>
                    <w:jc w:val="left"/>
                  </w:pPr>
                  <w:r>
                    <w:t xml:space="preserve">Aur-P2 (Evolved)</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r>
          </w:tbl>
          <w:p>
            <w:pPr>
              <w:jc w:val="left"/>
            </w:pPr>
            <w:pPr>
              <w:jc w:val="start"/>
              <w:spacing w:before="200"/>
              <w:pStyle w:val="ImageCaption"/>
            </w:pPr>
            <w:r>
              <w:t xml:space="preserve">Table H. Reference: network statistics under the two-phase periodisation used in the main text (threshold = 0.2). Aur-P1 = Proto + Early; Aur-P2 = Evolved.</w:t>
            </w:r>
          </w:p>
          <w:bookmarkEnd w:id="78"/>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79" w:name="tbl-three-phase-tech"/>
          <w:tbl>
            <w:tblPr>
              <w:tblStyle w:val="Table"/>
              <w:tblW w:type="pct" w:w="5000"/>
              <w:tblLook w:firstRow="1" w:lastRow="0" w:firstColumn="0" w:lastColumn="0" w:noHBand="0" w:noVBand="0" w:val="0020"/>
              <w:jc w:val="start"/>
              <w:tblLayout w:type="fixed"/>
            </w:tblPr>
            <w:tblGrid>
              <w:gridCol w:w="2376"/>
              <w:gridCol w:w="712"/>
              <w:gridCol w:w="871"/>
              <w:gridCol w:w="871"/>
              <w:gridCol w:w="1029"/>
              <w:gridCol w:w="1029"/>
              <w:gridCol w:w="1029"/>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r>
            <w:tr>
              <w:tc>
                <w:tcPr/>
                <w:p>
                  <w:pPr>
                    <w:pStyle w:val="Compact"/>
                    <w:jc w:val="left"/>
                    <w:jc w:val="left"/>
                  </w:pPr>
                  <w:r>
                    <w:t xml:space="preserve">Proto-Aurignacian (Aur-P1)</w:t>
                  </w:r>
                </w:p>
              </w:tc>
              <w:tc>
                <w:tcPr/>
                <w:p>
                  <w:pPr>
                    <w:pStyle w:val="Compact"/>
                    <w:jc w:val="left"/>
                    <w:jc w:val="left"/>
                  </w:pPr>
                  <w:r>
                    <w:t xml:space="preserve">7</w:t>
                  </w:r>
                </w:p>
              </w:tc>
              <w:tc>
                <w:tcPr/>
                <w:p>
                  <w:pPr>
                    <w:pStyle w:val="Compact"/>
                    <w:jc w:val="left"/>
                    <w:jc w:val="left"/>
                  </w:pPr>
                  <w:r>
                    <w:t xml:space="preserve">9</w:t>
                  </w:r>
                </w:p>
              </w:tc>
              <w:tc>
                <w:tcPr/>
                <w:p>
                  <w:pPr>
                    <w:pStyle w:val="Compact"/>
                    <w:jc w:val="left"/>
                    <w:jc w:val="left"/>
                  </w:pPr>
                  <w:r>
                    <w:t xml:space="preserve">0.429</w:t>
                  </w:r>
                </w:p>
              </w:tc>
              <w:tc>
                <w:tcPr/>
                <w:p>
                  <w:pPr>
                    <w:pStyle w:val="Compact"/>
                    <w:jc w:val="left"/>
                    <w:jc w:val="left"/>
                  </w:pPr>
                  <w:r>
                    <w:t xml:space="preserve">2.57</w:t>
                  </w:r>
                </w:p>
              </w:tc>
              <w:tc>
                <w:tcPr/>
                <w:p>
                  <w:pPr>
                    <w:pStyle w:val="Compact"/>
                    <w:jc w:val="left"/>
                    <w:jc w:val="left"/>
                  </w:pPr>
                  <w:r>
                    <w:t xml:space="preserve">0.714</w:t>
                  </w:r>
                </w:p>
              </w:tc>
              <w:tc>
                <w:tcPr/>
                <w:p>
                  <w:pPr>
                    <w:pStyle w:val="Compact"/>
                    <w:jc w:val="left"/>
                    <w:jc w:val="left"/>
                  </w:pPr>
                  <w:r>
                    <w:t xml:space="preserve">0.108</w:t>
                  </w:r>
                </w:p>
              </w:tc>
            </w:tr>
            <w:tr>
              <w:tc>
                <w:tcPr/>
                <w:p>
                  <w:pPr>
                    <w:pStyle w:val="Compact"/>
                    <w:jc w:val="left"/>
                    <w:jc w:val="left"/>
                  </w:pPr>
                  <w:r>
                    <w:t xml:space="preserve">Early Aurignacian (Aur-P1)</w:t>
                  </w:r>
                </w:p>
              </w:tc>
              <w:tc>
                <w:tcPr/>
                <w:p>
                  <w:pPr>
                    <w:pStyle w:val="Compact"/>
                    <w:jc w:val="left"/>
                    <w:jc w:val="left"/>
                  </w:pPr>
                  <w:r>
                    <w:t xml:space="preserve">13</w:t>
                  </w:r>
                </w:p>
              </w:tc>
              <w:tc>
                <w:tcPr/>
                <w:p>
                  <w:pPr>
                    <w:pStyle w:val="Compact"/>
                    <w:jc w:val="left"/>
                    <w:jc w:val="left"/>
                  </w:pPr>
                  <w:r>
                    <w:t xml:space="preserve">35</w:t>
                  </w:r>
                </w:p>
              </w:tc>
              <w:tc>
                <w:tcPr/>
                <w:p>
                  <w:pPr>
                    <w:pStyle w:val="Compact"/>
                    <w:jc w:val="left"/>
                    <w:jc w:val="left"/>
                  </w:pPr>
                  <w:r>
                    <w:t xml:space="preserve">0.449</w:t>
                  </w:r>
                </w:p>
              </w:tc>
              <w:tc>
                <w:tcPr/>
                <w:p>
                  <w:pPr>
                    <w:pStyle w:val="Compact"/>
                    <w:jc w:val="left"/>
                    <w:jc w:val="left"/>
                  </w:pPr>
                  <w:r>
                    <w:t xml:space="preserve">5.38</w:t>
                  </w:r>
                </w:p>
              </w:tc>
              <w:tc>
                <w:tcPr/>
                <w:p>
                  <w:pPr>
                    <w:pStyle w:val="Compact"/>
                    <w:jc w:val="left"/>
                    <w:jc w:val="left"/>
                  </w:pPr>
                  <w:r>
                    <w:t xml:space="preserve">0.781</w:t>
                  </w:r>
                </w:p>
              </w:tc>
              <w:tc>
                <w:tcPr/>
                <w:p>
                  <w:pPr>
                    <w:pStyle w:val="Compact"/>
                    <w:jc w:val="left"/>
                    <w:jc w:val="left"/>
                  </w:pPr>
                  <w:r>
                    <w:t xml:space="preserve">0.307</w:t>
                  </w:r>
                </w:p>
              </w:tc>
            </w:tr>
            <w:tr>
              <w:tc>
                <w:tcPr/>
                <w:p>
                  <w:pPr>
                    <w:pStyle w:val="Compact"/>
                    <w:jc w:val="left"/>
                    <w:jc w:val="left"/>
                  </w:pPr>
                  <w:r>
                    <w:t xml:space="preserve">Evolved Aurignacian (Aur-P2)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r>
          </w:tbl>
          <w:p>
            <w:pPr>
              <w:jc w:val="left"/>
            </w:pPr>
            <w:pPr>
              <w:jc w:val="start"/>
              <w:spacing w:before="200"/>
              <w:pStyle w:val="ImageCaption"/>
            </w:pPr>
            <w:r>
              <w:t xml:space="preserve">Table I. Network statistics for the technology-assigned components of the two-phase baseline (Proto-Aurignacian, Early Aurignacian, Evolved Aurignacian) at threshold = 0.2. Aur-P1 = Proto + Early; Aur-P2 = Evolved.</w:t>
            </w:r>
          </w:p>
          <w:bookmarkEnd w:id="79"/>
        </w:tc>
      </w:tr>
    </w:tbl>
    <w:bookmarkEnd w:id="80"/>
    <w:bookmarkStart w:id="82" w:name="sec-s5-2-interpretation"/>
    <w:p>
      <w:pPr>
        <w:pStyle w:val="Heading3"/>
      </w:pPr>
      <w:r>
        <w:t xml:space="preserve">S1.5.2.1 Interpretation</w:t>
      </w:r>
    </w:p>
    <w:p>
      <w:pPr>
        <w:pStyle w:val="FirstParagraph"/>
      </w:pPr>
      <w:r>
        <w:t xml:space="preserve">The two-phase, three-phase, and four-phase periodisations yield consistent conclusions about the broad structure of Aurignacian social connectivity, while clarifying which components carry the two-phase results.</w:t>
      </w:r>
    </w:p>
    <w:p>
      <w:pPr>
        <w:pStyle w:val="BodyText"/>
      </w:pPr>
      <w:r>
        <w:rPr>
          <w:bCs/>
          <w:b/>
        </w:rPr>
        <w:t xml:space="preserve">Question: which technology-assigned component carries the raw mean-degree difference between Aur-P1 and Aur-P2?</w:t>
      </w:r>
      <w:r>
        <w:t xml:space="preserve"> </w:t>
      </w:r>
      <w:r>
        <w:t xml:space="preserve">The Early component. Decomposing the two-phase baseline into its technology-assigned components shows that the Early Aurignacian (mean degree = 5.38, 35 edges across 13 sites) has the highest mean degree, higher than that of Aur-P2 (4.22, 19 edges). The relict Proto-Aurignacian, the component that survives after technology-based reassignment moved the well-sampled Swabian and Périgord sites to the Early Aurignacian (</w:t>
      </w:r>
      <w:r>
        <w:t xml:space="preserve">Section S1.5.5</w:t>
      </w:r>
      <w:r>
        <w:t xml:space="preserve">), is the least connected of the three (mean degree 2.57 across 7 sites and 9 edges). The reclassified Proto-Aurignacian sample is too small and too weakly connected to support network-level claims of its own, which is one reason for merging it with the Early Aurignacian. The merged Aur-P1 mean degree (7.50) comes mainly from the Early component.</w:t>
      </w:r>
    </w:p>
    <w:p>
      <w:pPr>
        <w:pStyle w:val="BodyText"/>
      </w:pPr>
      <w:r>
        <w:rPr>
          <w:bCs/>
          <w:b/>
        </w:rPr>
        <w:t xml:space="preserve">Question: does the early versus late contrast persist without merging Proto and Early?</w:t>
      </w:r>
      <w:r>
        <w:t xml:space="preserve"> </w:t>
      </w:r>
      <w:r>
        <w:t xml:space="preserve">Yes. Even without the Proto component, the Early Aurignacian alone (mean degree 5.38) exceeds Aur-P2 (4.22), so the two-phase Aur-P1 &gt; Aur-P2 result does not depend on the Proto/Early boundary being drawn one way or the other. The raw mean-degree difference between the early and late Aurignacian persists whether the early sequence is analysed as a single phase or as its separate Proto and Early components.</w:t>
      </w:r>
      <w:r>
        <w:t xml:space="preserve"> </w:t>
      </w:r>
      <w:r>
        <w:t xml:space="preserve">Section S1.7.6</w:t>
      </w:r>
      <w:r>
        <w:t xml:space="preserve"> </w:t>
      </w:r>
      <w:r>
        <w:t xml:space="preserve">shows that this raw difference reflects network size.</w:t>
      </w:r>
    </w:p>
    <w:p>
      <w:pPr>
        <w:pStyle w:val="BodyText"/>
      </w:pPr>
      <w:r>
        <w:rPr>
          <w:bCs/>
          <w:b/>
        </w:rPr>
        <w:t xml:space="preserve">Question: does splitting Aur-P2 into Evolved and Late sub-phases reveal internal differentiation or only data limitation?</w:t>
      </w:r>
      <w:r>
        <w:t xml:space="preserve"> </w:t>
      </w:r>
      <w:r>
        <w:t xml:space="preserve">Only data limitation can be shown; the split is addressed with</w:t>
      </w:r>
      <w:r>
        <w:t xml:space="preserve"> </w:t>
      </w:r>
      <w:hyperlink w:anchor="tbl-four-phase-periodisation">
        <w:r>
          <w:rPr>
            <w:rStyle w:val="Hyperlink"/>
          </w:rPr>
          <w:t xml:space="preserve">Table J</w:t>
        </w:r>
      </w:hyperlink>
      <w:r>
        <w:t xml:space="preserve"> </w:t>
      </w:r>
      <w:r>
        <w:t xml:space="preserve">below.</w:t>
      </w:r>
      <w:r>
        <w:t xml:space="preserve"> </w:t>
      </w:r>
      <w:r>
        <w:rPr>
          <w:bCs/>
          <w:b/>
        </w:rPr>
        <w:t xml:space="preserve">Modularity keeps the same raw order as in the two-phase scheme.</w:t>
      </w:r>
      <w:r>
        <w:t xml:space="preserve"> </w:t>
      </w:r>
      <w:r>
        <w:t xml:space="preserve">Modularity is highest in the Early component (0.307), lower in the Evolved component (0.161) and lowest in the relict Proto component (0.108). In the two-phase scheme, Aur-P1 modularity (0.336) is also higher than Aur-P2 modularity (0.161) (</w:t>
      </w:r>
      <w:hyperlink w:anchor="tbl-two-phase-ref">
        <w:r>
          <w:rPr>
            <w:rStyle w:val="Hyperlink"/>
          </w:rPr>
          <w:t xml:space="preserve">Table H</w:t>
        </w:r>
      </w:hyperlink>
      <w:r>
        <w:t xml:space="preserve">). These are raw values. They do not show that either phase has more community structure than chance.</w:t>
      </w:r>
      <w:r>
        <w:t xml:space="preserve"> </w:t>
      </w:r>
      <w:r>
        <w:t xml:space="preserve">Section S1.7.2</w:t>
      </w:r>
      <w:r>
        <w:t xml:space="preserve"> </w:t>
      </w:r>
      <w:r>
        <w:t xml:space="preserve">finds that the modularity of neither phase is higher than its null expectation, and</w:t>
      </w:r>
      <w:r>
        <w:t xml:space="preserve"> </w:t>
      </w:r>
      <w:r>
        <w:t xml:space="preserve">Section S1.5.5</w:t>
      </w:r>
      <w:r>
        <w:t xml:space="preserve"> </w:t>
      </w:r>
      <w:r>
        <w:t xml:space="preserve">shows that the order of the two phases reverses under date-based assignment.</w:t>
      </w:r>
    </w:p>
    <w:tbl>
      <w:tblPr>
        <w:tblStyle w:val="Table"/>
        <w:tblW w:type="pct" w:w="5000"/>
        <w:tblLook w:firstRow="0" w:lastRow="0" w:firstColumn="0" w:lastColumn="0" w:noHBand="0" w:noVBand="0" w:val="0000"/>
        <w:jc w:val="start"/>
        <w:tblLayout w:type="fixed"/>
      </w:tblPr>
      <w:tblGrid>
        <w:gridCol w:w="7920"/>
      </w:tblGrid>
      <w:tr>
        <w:tc>
          <w:tcPr/>
          <w:bookmarkStart w:id="81" w:name="tbl-four-phase-periodisation"/>
          <w:tbl>
            <w:tblPr>
              <w:tblStyle w:val="Table"/>
              <w:tblW w:type="pct" w:w="5000"/>
              <w:tblLook w:firstRow="1" w:lastRow="0" w:firstColumn="0" w:lastColumn="0" w:noHBand="0" w:noVBand="0" w:val="0020"/>
              <w:jc w:val="start"/>
              <w:tblLayout w:type="fixed"/>
            </w:tblPr>
            <w:tblGrid>
              <w:gridCol w:w="2534"/>
              <w:gridCol w:w="712"/>
              <w:gridCol w:w="871"/>
              <w:gridCol w:w="871"/>
              <w:gridCol w:w="1029"/>
              <w:gridCol w:w="950"/>
              <w:gridCol w:w="950"/>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r>
            <w:tr>
              <w:tc>
                <w:tcPr/>
                <w:p>
                  <w:pPr>
                    <w:pStyle w:val="Compact"/>
                    <w:jc w:val="left"/>
                    <w:jc w:val="left"/>
                  </w:pPr>
                  <w:r>
                    <w:t xml:space="preserve">Proto-Aurignacian (Aur-P1)</w:t>
                  </w:r>
                </w:p>
              </w:tc>
              <w:tc>
                <w:tcPr/>
                <w:p>
                  <w:pPr>
                    <w:pStyle w:val="Compact"/>
                    <w:jc w:val="left"/>
                    <w:jc w:val="left"/>
                  </w:pPr>
                  <w:r>
                    <w:t xml:space="preserve">7</w:t>
                  </w:r>
                </w:p>
              </w:tc>
              <w:tc>
                <w:tcPr/>
                <w:p>
                  <w:pPr>
                    <w:pStyle w:val="Compact"/>
                    <w:jc w:val="left"/>
                    <w:jc w:val="left"/>
                  </w:pPr>
                  <w:r>
                    <w:t xml:space="preserve">9</w:t>
                  </w:r>
                </w:p>
              </w:tc>
              <w:tc>
                <w:tcPr/>
                <w:p>
                  <w:pPr>
                    <w:pStyle w:val="Compact"/>
                    <w:jc w:val="left"/>
                    <w:jc w:val="left"/>
                  </w:pPr>
                  <w:r>
                    <w:t xml:space="preserve">0.429</w:t>
                  </w:r>
                </w:p>
              </w:tc>
              <w:tc>
                <w:tcPr/>
                <w:p>
                  <w:pPr>
                    <w:pStyle w:val="Compact"/>
                    <w:jc w:val="left"/>
                    <w:jc w:val="left"/>
                  </w:pPr>
                  <w:r>
                    <w:t xml:space="preserve">2.57</w:t>
                  </w:r>
                </w:p>
              </w:tc>
              <w:tc>
                <w:tcPr/>
                <w:p>
                  <w:pPr>
                    <w:pStyle w:val="Compact"/>
                    <w:jc w:val="left"/>
                    <w:jc w:val="left"/>
                  </w:pPr>
                  <w:r>
                    <w:t xml:space="preserve">0.714</w:t>
                  </w:r>
                </w:p>
              </w:tc>
              <w:tc>
                <w:tcPr/>
                <w:p>
                  <w:pPr>
                    <w:pStyle w:val="Compact"/>
                    <w:jc w:val="left"/>
                    <w:jc w:val="left"/>
                  </w:pPr>
                  <w:r>
                    <w:t xml:space="preserve">0.108</w:t>
                  </w:r>
                </w:p>
              </w:tc>
            </w:tr>
            <w:tr>
              <w:tc>
                <w:tcPr/>
                <w:p>
                  <w:pPr>
                    <w:pStyle w:val="Compact"/>
                    <w:jc w:val="left"/>
                    <w:jc w:val="left"/>
                  </w:pPr>
                  <w:r>
                    <w:t xml:space="preserve">Early Aurignacian (Aur-P1)</w:t>
                  </w:r>
                </w:p>
              </w:tc>
              <w:tc>
                <w:tcPr/>
                <w:p>
                  <w:pPr>
                    <w:pStyle w:val="Compact"/>
                    <w:jc w:val="left"/>
                    <w:jc w:val="left"/>
                  </w:pPr>
                  <w:r>
                    <w:t xml:space="preserve">13</w:t>
                  </w:r>
                </w:p>
              </w:tc>
              <w:tc>
                <w:tcPr/>
                <w:p>
                  <w:pPr>
                    <w:pStyle w:val="Compact"/>
                    <w:jc w:val="left"/>
                    <w:jc w:val="left"/>
                  </w:pPr>
                  <w:r>
                    <w:t xml:space="preserve">35</w:t>
                  </w:r>
                </w:p>
              </w:tc>
              <w:tc>
                <w:tcPr/>
                <w:p>
                  <w:pPr>
                    <w:pStyle w:val="Compact"/>
                    <w:jc w:val="left"/>
                    <w:jc w:val="left"/>
                  </w:pPr>
                  <w:r>
                    <w:t xml:space="preserve">0.449</w:t>
                  </w:r>
                </w:p>
              </w:tc>
              <w:tc>
                <w:tcPr/>
                <w:p>
                  <w:pPr>
                    <w:pStyle w:val="Compact"/>
                    <w:jc w:val="left"/>
                    <w:jc w:val="left"/>
                  </w:pPr>
                  <w:r>
                    <w:t xml:space="preserve">5.38</w:t>
                  </w:r>
                </w:p>
              </w:tc>
              <w:tc>
                <w:tcPr/>
                <w:p>
                  <w:pPr>
                    <w:pStyle w:val="Compact"/>
                    <w:jc w:val="left"/>
                    <w:jc w:val="left"/>
                  </w:pPr>
                  <w:r>
                    <w:t xml:space="preserve">0.781</w:t>
                  </w:r>
                </w:p>
              </w:tc>
              <w:tc>
                <w:tcPr/>
                <w:p>
                  <w:pPr>
                    <w:pStyle w:val="Compact"/>
                    <w:jc w:val="left"/>
                    <w:jc w:val="left"/>
                  </w:pPr>
                  <w:r>
                    <w:t xml:space="preserve">0.307</w:t>
                  </w:r>
                </w:p>
              </w:tc>
            </w:tr>
            <w:tr>
              <w:tc>
                <w:tcPr/>
                <w:p>
                  <w:pPr>
                    <w:pStyle w:val="Compact"/>
                    <w:jc w:val="left"/>
                    <w:jc w:val="left"/>
                  </w:pPr>
                  <w:r>
                    <w:t xml:space="preserve">Evolved Aurignacian (37.8-35 ka cal BP)</w:t>
                  </w:r>
                </w:p>
              </w:tc>
              <w:tc>
                <w:tcPr/>
                <w:p>
                  <w:pPr>
                    <w:pStyle w:val="Compact"/>
                    <w:jc w:val="left"/>
                    <w:jc w:val="left"/>
                  </w:pPr>
                  <w:r>
                    <w:t xml:space="preserve">7</w:t>
                  </w:r>
                </w:p>
              </w:tc>
              <w:tc>
                <w:tcPr/>
                <w:p>
                  <w:pPr>
                    <w:pStyle w:val="Compact"/>
                    <w:jc w:val="left"/>
                    <w:jc w:val="left"/>
                  </w:pPr>
                  <w:r>
                    <w:t xml:space="preserve">13</w:t>
                  </w:r>
                </w:p>
              </w:tc>
              <w:tc>
                <w:tcPr/>
                <w:p>
                  <w:pPr>
                    <w:pStyle w:val="Compact"/>
                    <w:jc w:val="left"/>
                    <w:jc w:val="left"/>
                  </w:pPr>
                  <w:r>
                    <w:t xml:space="preserve">0.619</w:t>
                  </w:r>
                </w:p>
              </w:tc>
              <w:tc>
                <w:tcPr/>
                <w:p>
                  <w:pPr>
                    <w:pStyle w:val="Compact"/>
                    <w:jc w:val="left"/>
                    <w:jc w:val="left"/>
                  </w:pPr>
                  <w:r>
                    <w:t xml:space="preserve">3.71</w:t>
                  </w:r>
                </w:p>
              </w:tc>
              <w:tc>
                <w:tcPr/>
                <w:p>
                  <w:pPr>
                    <w:pStyle w:val="Compact"/>
                    <w:jc w:val="left"/>
                    <w:jc w:val="left"/>
                  </w:pPr>
                  <w:r>
                    <w:t xml:space="preserve">0.659</w:t>
                  </w:r>
                </w:p>
              </w:tc>
              <w:tc>
                <w:tcPr/>
                <w:p>
                  <w:pPr>
                    <w:pStyle w:val="Compact"/>
                    <w:jc w:val="left"/>
                    <w:jc w:val="left"/>
                  </w:pPr>
                  <w:r>
                    <w:t xml:space="preserve">0.128</w:t>
                  </w:r>
                </w:p>
              </w:tc>
            </w:tr>
            <w:tr>
              <w:tc>
                <w:tcPr/>
                <w:p>
                  <w:pPr>
                    <w:pStyle w:val="Compact"/>
                    <w:jc w:val="left"/>
                    <w:jc w:val="left"/>
                  </w:pPr>
                  <w:r>
                    <w:t xml:space="preserve">Late Aurignacian (35-32 ka cal BP)</w:t>
                  </w:r>
                </w:p>
              </w:tc>
              <w:tc>
                <w:tcPr/>
                <w:p>
                  <w:pPr>
                    <w:pStyle w:val="Compact"/>
                    <w:jc w:val="left"/>
                    <w:jc w:val="left"/>
                  </w:pPr>
                  <w:r>
                    <w:t xml:space="preserve">2</w:t>
                  </w:r>
                </w:p>
              </w:tc>
              <w:tc>
                <w:tcPr/>
                <w:p>
                  <w:pPr>
                    <w:pStyle w:val="Compact"/>
                    <w:jc w:val="left"/>
                    <w:jc w:val="left"/>
                  </w:pPr>
                  <w:r>
                    <w:t xml:space="preserve">0</w:t>
                  </w:r>
                </w:p>
              </w:tc>
              <w:tc>
                <w:tcPr/>
                <w:p>
                  <w:pPr>
                    <w:pStyle w:val="Compact"/>
                    <w:jc w:val="left"/>
                    <w:jc w:val="left"/>
                  </w:pPr>
                  <w:r>
                    <w:t xml:space="preserve">0.000</w:t>
                  </w:r>
                </w:p>
              </w:tc>
              <w:tc>
                <w:tcPr/>
                <w:p>
                  <w:pPr>
                    <w:pStyle w:val="Compact"/>
                    <w:jc w:val="left"/>
                    <w:jc w:val="left"/>
                  </w:pPr>
                  <w:r>
                    <w:t xml:space="preserve">0.00</w:t>
                  </w:r>
                </w:p>
              </w:tc>
              <w:tc>
                <w:tcPr/>
                <w:p>
                  <w:pPr>
                    <w:pStyle w:val="Compact"/>
                    <w:jc w:val="left"/>
                    <w:jc w:val="left"/>
                  </w:pPr>
                  <w:r>
                    <w:t xml:space="preserve">NaN</w:t>
                  </w:r>
                </w:p>
              </w:tc>
              <w:tc>
                <w:tcPr/>
                <w:p>
                  <w:pPr>
                    <w:pStyle w:val="Compact"/>
                    <w:jc w:val="left"/>
                    <w:jc w:val="left"/>
                  </w:pPr>
                  <w:r>
                    <w:t xml:space="preserve">NaN</w:t>
                  </w:r>
                </w:p>
              </w:tc>
            </w:tr>
          </w:tbl>
          <w:p>
            <w:pPr>
              <w:jc w:val="left"/>
            </w:pPr>
            <w:pPr>
              <w:jc w:val="start"/>
              <w:spacing w:before="200"/>
              <w:pStyle w:val="ImageCaption"/>
            </w:pPr>
            <w:r>
              <w:t xml:space="preserve">Table J. Network statistics under the four-phase periodisation (Proto, Early, Evolved, Late Aurignacian) at threshold = 0.2. The Evolved/Late split of Aur-P2 follows the four-phase Aurignacian taxonomy of Teyssandier and Zilhão</w:t>
            </w:r>
            <w:r>
              <w:t xml:space="preserve"> </w:t>
            </w:r>
            <w:r>
              <w:t xml:space="preserve">[4]</w:t>
            </w:r>
            <w:r>
              <w:t xml:space="preserve">, with the boundary at 35 ka cal BP.</w:t>
            </w:r>
          </w:p>
          <w:bookmarkEnd w:id="81"/>
        </w:tc>
      </w:tr>
    </w:tbl>
    <w:p>
      <w:pPr>
        <w:pStyle w:val="BodyText"/>
      </w:pPr>
      <w:r>
        <w:rPr>
          <w:bCs/>
          <w:b/>
        </w:rPr>
        <w:t xml:space="preserve">Question: does splitting Aur-P2 into Evolved and Late sub-phases reveal internal differentiation or only data limitation? (four-phase detail).</w:t>
      </w:r>
      <w:r>
        <w:t xml:space="preserve"> </w:t>
      </w:r>
      <w:r>
        <w:t xml:space="preserve">The four-phase Aurignacian taxonomy of Teyssandier and Zilhão</w:t>
      </w:r>
      <w:r>
        <w:t xml:space="preserve"> </w:t>
      </w:r>
      <w:r>
        <w:t xml:space="preserve">[4]</w:t>
      </w:r>
      <w:r>
        <w:t xml:space="preserve"> </w:t>
      </w:r>
      <w:r>
        <w:t xml:space="preserve">distinguishes Proto, Early (Aurignacian I), Evolved (Aurignacian II), and Late (Aurignacian III-IV) phases. The Early–Evolved transition has been dated to 37.0–36.5 ka cal BP, and the Late Aurignacian is associated with the terminal phase of the technocomplex before the onset of the Gravettian. Splitting the Evolved Aurignacian (Aur-P2) at 35 ka cal BP into Evolved and Late sub-phases tests whether Aur-P2’s connectivity is internally differentiated. The Evolved Aurignacian (37.8–35 ka cal BP) retains moderate connectivity with 13 edges and a mean degree of 3.71 across 7 sites, while the Late Aurignacian (35–32 ka cal BP) is severely data-limited: with only 2 sites and no edges at threshold 0.2, its network statistics (mean degree 0, modularity undefined) are unreliable. The near-absence of connectivity in the Late Aurignacian is consistent with the weaker, less resolved structure of Aur-P2 reported in the main text, but the sample is too small to determine whether the Evolved–Late transition represents a step-down or a continuation of an already low level. The two-phase scheme remains the most informative for the main analysis, as it avoids fragmenting Aur-P2 into sub-phases whose small sample sizes preclude robust statistical inference.</w:t>
      </w:r>
    </w:p>
    <w:p>
      <w:pPr>
        <w:pStyle w:val="BodyText"/>
      </w:pPr>
      <w:r>
        <w:rPr>
          <w:bCs/>
          <w:b/>
        </w:rPr>
        <w:t xml:space="preserve">Implication for the main text.</w:t>
      </w:r>
      <w:r>
        <w:t xml:space="preserve"> </w:t>
      </w:r>
      <w:r>
        <w:t xml:space="preserve">The two-phase Aur-P1 greater than Aur-P2 ordering is carried by the Early component and does not depend on where the Proto/Early line is drawn; finer splits add no stable new structure.</w:t>
      </w:r>
    </w:p>
    <w:bookmarkEnd w:id="82"/>
    <w:bookmarkEnd w:id="83"/>
    <w:bookmarkStart w:id="88" w:name="sec-s5-3"/>
    <w:p>
      <w:pPr>
        <w:pStyle w:val="Heading2"/>
      </w:pPr>
      <w:r>
        <w:t xml:space="preserve">S1.5.3 Date-variant calibration</w:t>
      </w:r>
    </w:p>
    <w:bookmarkStart w:id="86" w:name="rationale-3"/>
    <w:p>
      <w:pPr>
        <w:pStyle w:val="Heading3"/>
      </w:pPr>
      <w:r>
        <w:t xml:space="preserve">Rationale</w:t>
      </w:r>
    </w:p>
    <w:p>
      <w:pPr>
        <w:pStyle w:val="FirstParagraph"/>
      </w:pPr>
      <w:r>
        <w:t xml:space="preserve">The date parser handles both ends of calibrated ranges and routes OSL ages around calibration with IntCal20 explicitly. The main analysis uses the older end. Under the date rule alone, with one median date per site, the older end assigns 19 sites to Aur-P1 and 9 to Aur-P2. The technology-based baseline instead has 20 Aur-P1 units and 9 Aur-P2 units: the technology-based overrides move La Ferrassie to Aur-P1 and Mladeč to Aur-P2, and the layer-level override places the AH V assemblage of Hohle Fels in Aur-P1 and its upper horizons in Aur-P2. Here we re-run phase assignment with older, midpoint, and younger variants to test sensitivity to which calibrated median is used.</w:t>
      </w:r>
    </w:p>
    <w:p>
      <w:pPr>
        <w:pStyle w:val="BodyText"/>
      </w:pPr>
      <w:r>
        <w:rPr>
          <w:bCs/>
          <w:b/>
        </w:rPr>
        <w:t xml:space="preserve">Question: how many sites change phase across older, midpoint, and younger date variants, and in which direction?</w:t>
      </w:r>
    </w:p>
    <w:p>
      <w:pPr>
        <w:pStyle w:val="BodyText"/>
      </w:pPr>
      <w:r>
        <w:rPr>
          <w:bCs/>
          <w:b/>
        </w:rPr>
        <w:t xml:space="preserve">Question: does the Aur-P1 greater than Aur-P2 raw mean-degree ordering survive when the full network analysis is re-run with each variant?</w:t>
      </w:r>
    </w:p>
    <w:tbl>
      <w:tblPr>
        <w:tblStyle w:val="Table"/>
        <w:tblW w:type="pct" w:w="5000"/>
        <w:tblLook w:firstRow="0" w:lastRow="0" w:firstColumn="0" w:lastColumn="0" w:noHBand="0" w:noVBand="0" w:val="0000"/>
        <w:jc w:val="start"/>
        <w:tblLayout w:type="fixed"/>
      </w:tblPr>
      <w:tblGrid>
        <w:gridCol w:w="7920"/>
      </w:tblGrid>
      <w:tr>
        <w:tc>
          <w:tcPr/>
          <w:bookmarkStart w:id="84" w:name="tbl-date-variant-comparison"/>
          <w:tbl>
            <w:tblPr>
              <w:tblStyle w:val="Table"/>
              <w:tblW w:type="pct" w:w="5000"/>
              <w:tblLook w:firstRow="1" w:lastRow="0" w:firstColumn="0" w:lastColumn="0" w:noHBand="0" w:noVBand="0" w:val="0020"/>
              <w:jc w:val="start"/>
              <w:tblLayout w:type="fixed"/>
            </w:tblPr>
            <w:tblGrid>
              <w:gridCol w:w="1584"/>
              <w:gridCol w:w="950"/>
              <w:gridCol w:w="950"/>
              <w:gridCol w:w="950"/>
              <w:gridCol w:w="950"/>
              <w:gridCol w:w="950"/>
              <w:gridCol w:w="950"/>
              <w:gridCol w:w="633"/>
            </w:tblGrid>
            <w:tr>
              <w:trPr>
                <w:tblHeader w:val="true"/>
              </w:trPr>
              <w:tc>
                <w:tcPr/>
                <w:p>
                  <w:pPr>
                    <w:pStyle w:val="Compact"/>
                    <w:jc w:val="left"/>
                    <w:jc w:val="left"/>
                  </w:pPr>
                  <w:r>
                    <w:t xml:space="preserve">Site</w:t>
                  </w:r>
                </w:p>
              </w:tc>
              <w:tc>
                <w:tcPr/>
                <w:p>
                  <w:pPr>
                    <w:pStyle w:val="Compact"/>
                    <w:jc w:val="left"/>
                    <w:jc w:val="left"/>
                  </w:pPr>
                  <w:r>
                    <w:t xml:space="preserve">MedianBP (older)</w:t>
                  </w:r>
                </w:p>
              </w:tc>
              <w:tc>
                <w:tcPr/>
                <w:p>
                  <w:pPr>
                    <w:pStyle w:val="Compact"/>
                    <w:jc w:val="left"/>
                    <w:jc w:val="left"/>
                  </w:pPr>
                  <w:r>
                    <w:t xml:space="preserve">Phase (older)</w:t>
                  </w:r>
                </w:p>
              </w:tc>
              <w:tc>
                <w:tcPr/>
                <w:p>
                  <w:pPr>
                    <w:pStyle w:val="Compact"/>
                    <w:jc w:val="left"/>
                    <w:jc w:val="left"/>
                  </w:pPr>
                  <w:r>
                    <w:t xml:space="preserve">MedianBP (midpoint)</w:t>
                  </w:r>
                </w:p>
              </w:tc>
              <w:tc>
                <w:tcPr/>
                <w:p>
                  <w:pPr>
                    <w:pStyle w:val="Compact"/>
                    <w:jc w:val="left"/>
                    <w:jc w:val="left"/>
                  </w:pPr>
                  <w:r>
                    <w:t xml:space="preserve">Phase (midpoint)</w:t>
                  </w:r>
                </w:p>
              </w:tc>
              <w:tc>
                <w:tcPr/>
                <w:p>
                  <w:pPr>
                    <w:pStyle w:val="Compact"/>
                    <w:jc w:val="left"/>
                    <w:jc w:val="left"/>
                  </w:pPr>
                  <w:r>
                    <w:t xml:space="preserve">MedianBP (younger)</w:t>
                  </w:r>
                </w:p>
              </w:tc>
              <w:tc>
                <w:tcPr/>
                <w:p>
                  <w:pPr>
                    <w:pStyle w:val="Compact"/>
                    <w:jc w:val="left"/>
                    <w:jc w:val="left"/>
                  </w:pPr>
                  <w:r>
                    <w:t xml:space="preserve">Phase (younger)</w:t>
                  </w:r>
                </w:p>
              </w:tc>
              <w:tc>
                <w:tcPr/>
                <w:p>
                  <w:pPr>
                    <w:pStyle w:val="Compact"/>
                    <w:jc w:val="left"/>
                    <w:jc w:val="left"/>
                  </w:pPr>
                  <w:r>
                    <w:t xml:space="preserve">Changes</w:t>
                  </w:r>
                </w:p>
              </w:tc>
            </w:tr>
            <w:tr>
              <w:tc>
                <w:tcPr/>
                <w:p>
                  <w:pPr>
                    <w:pStyle w:val="Compact"/>
                    <w:jc w:val="left"/>
                    <w:jc w:val="left"/>
                  </w:pPr>
                  <w:r>
                    <w:t xml:space="preserve">Abri Pataud</w:t>
                  </w:r>
                </w:p>
              </w:tc>
              <w:tc>
                <w:tcPr/>
                <w:p>
                  <w:pPr>
                    <w:pStyle w:val="Compact"/>
                    <w:jc w:val="left"/>
                    <w:jc w:val="left"/>
                  </w:pPr>
                  <w:r>
                    <w:t xml:space="preserve">40127</w:t>
                  </w:r>
                </w:p>
              </w:tc>
              <w:tc>
                <w:tcPr/>
                <w:p>
                  <w:pPr>
                    <w:pStyle w:val="Compact"/>
                    <w:jc w:val="left"/>
                    <w:jc w:val="left"/>
                  </w:pPr>
                  <w:r>
                    <w:t xml:space="preserve">Aur-P1</w:t>
                  </w:r>
                </w:p>
              </w:tc>
              <w:tc>
                <w:tcPr/>
                <w:p>
                  <w:pPr>
                    <w:pStyle w:val="Compact"/>
                    <w:jc w:val="left"/>
                    <w:jc w:val="left"/>
                  </w:pPr>
                  <w:r>
                    <w:t xml:space="preserve">37854</w:t>
                  </w:r>
                </w:p>
              </w:tc>
              <w:tc>
                <w:tcPr/>
                <w:p>
                  <w:pPr>
                    <w:pStyle w:val="Compact"/>
                    <w:jc w:val="left"/>
                    <w:jc w:val="left"/>
                  </w:pPr>
                  <w:r>
                    <w:t xml:space="preserve">Aur-P1</w:t>
                  </w:r>
                </w:p>
              </w:tc>
              <w:tc>
                <w:tcPr/>
                <w:p>
                  <w:pPr>
                    <w:pStyle w:val="Compact"/>
                    <w:jc w:val="left"/>
                    <w:jc w:val="left"/>
                  </w:pPr>
                  <w:r>
                    <w:t xml:space="preserve">35580</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Bockstein-Törle</w:t>
                  </w:r>
                </w:p>
              </w:tc>
              <w:tc>
                <w:tcPr/>
                <w:p>
                  <w:pPr>
                    <w:pStyle w:val="Compact"/>
                    <w:jc w:val="left"/>
                    <w:jc w:val="left"/>
                  </w:pPr>
                  <w:r>
                    <w:t xml:space="preserve">35872</w:t>
                  </w:r>
                </w:p>
              </w:tc>
              <w:tc>
                <w:tcPr/>
                <w:p>
                  <w:pPr>
                    <w:pStyle w:val="Compact"/>
                    <w:jc w:val="left"/>
                    <w:jc w:val="left"/>
                  </w:pPr>
                  <w:r>
                    <w:t xml:space="preserve">Aur-P2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dropped</w:t>
                  </w:r>
                </w:p>
              </w:tc>
            </w:tr>
            <w:tr>
              <w:tc>
                <w:tcPr/>
                <w:p>
                  <w:pPr>
                    <w:pStyle w:val="Compact"/>
                    <w:jc w:val="left"/>
                    <w:jc w:val="left"/>
                  </w:pPr>
                  <w:r>
                    <w:t xml:space="preserve">Castanet</w:t>
                  </w:r>
                </w:p>
              </w:tc>
              <w:tc>
                <w:tcPr/>
                <w:p>
                  <w:pPr>
                    <w:pStyle w:val="Compact"/>
                    <w:jc w:val="left"/>
                    <w:jc w:val="left"/>
                  </w:pPr>
                  <w:r>
                    <w:t xml:space="preserve">39413</w:t>
                  </w:r>
                </w:p>
              </w:tc>
              <w:tc>
                <w:tcPr/>
                <w:p>
                  <w:pPr>
                    <w:pStyle w:val="Compact"/>
                    <w:jc w:val="left"/>
                    <w:jc w:val="left"/>
                  </w:pPr>
                  <w:r>
                    <w:t xml:space="preserve">Aur-P1</w:t>
                  </w:r>
                </w:p>
              </w:tc>
              <w:tc>
                <w:tcPr/>
                <w:p>
                  <w:pPr>
                    <w:pStyle w:val="Compact"/>
                    <w:jc w:val="left"/>
                    <w:jc w:val="left"/>
                  </w:pPr>
                  <w:r>
                    <w:t xml:space="preserve">37829</w:t>
                  </w:r>
                </w:p>
              </w:tc>
              <w:tc>
                <w:tcPr/>
                <w:p>
                  <w:pPr>
                    <w:pStyle w:val="Compact"/>
                    <w:jc w:val="left"/>
                    <w:jc w:val="left"/>
                  </w:pPr>
                  <w:r>
                    <w:t xml:space="preserve">Aur-P1</w:t>
                  </w:r>
                </w:p>
              </w:tc>
              <w:tc>
                <w:tcPr/>
                <w:p>
                  <w:pPr>
                    <w:pStyle w:val="Compact"/>
                    <w:jc w:val="left"/>
                    <w:jc w:val="left"/>
                  </w:pPr>
                  <w:r>
                    <w:t xml:space="preserve">36245</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Cellier</w:t>
                  </w:r>
                </w:p>
              </w:tc>
              <w:tc>
                <w:tcPr/>
                <w:p>
                  <w:pPr>
                    <w:pStyle w:val="Compact"/>
                    <w:jc w:val="left"/>
                    <w:jc w:val="left"/>
                  </w:pPr>
                  <w:r>
                    <w:t xml:space="preserve">38392</w:t>
                  </w:r>
                </w:p>
              </w:tc>
              <w:tc>
                <w:tcPr/>
                <w:p>
                  <w:pPr>
                    <w:pStyle w:val="Compact"/>
                    <w:jc w:val="left"/>
                    <w:jc w:val="left"/>
                  </w:pPr>
                  <w:r>
                    <w:t xml:space="preserve">Aur-P1</w:t>
                  </w:r>
                </w:p>
              </w:tc>
              <w:tc>
                <w:tcPr/>
                <w:p>
                  <w:pPr>
                    <w:pStyle w:val="Compact"/>
                    <w:jc w:val="left"/>
                    <w:jc w:val="left"/>
                  </w:pPr>
                  <w:r>
                    <w:t xml:space="preserve">37624</w:t>
                  </w:r>
                </w:p>
              </w:tc>
              <w:tc>
                <w:tcPr/>
                <w:p>
                  <w:pPr>
                    <w:pStyle w:val="Compact"/>
                    <w:jc w:val="left"/>
                    <w:jc w:val="left"/>
                  </w:pPr>
                  <w:r>
                    <w:t xml:space="preserve">Aur-P2</w:t>
                  </w:r>
                </w:p>
              </w:tc>
              <w:tc>
                <w:tcPr/>
                <w:p>
                  <w:pPr>
                    <w:pStyle w:val="Compact"/>
                    <w:jc w:val="left"/>
                    <w:jc w:val="left"/>
                  </w:pPr>
                  <w:r>
                    <w:t xml:space="preserve">36855</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Fumane</w:t>
                  </w:r>
                </w:p>
              </w:tc>
              <w:tc>
                <w:tcPr/>
                <w:p>
                  <w:pPr>
                    <w:pStyle w:val="Compact"/>
                    <w:jc w:val="left"/>
                    <w:jc w:val="left"/>
                  </w:pPr>
                  <w:r>
                    <w:t xml:space="preserve">42561</w:t>
                  </w:r>
                </w:p>
              </w:tc>
              <w:tc>
                <w:tcPr/>
                <w:p>
                  <w:pPr>
                    <w:pStyle w:val="Compact"/>
                    <w:jc w:val="left"/>
                    <w:jc w:val="left"/>
                  </w:pPr>
                  <w:r>
                    <w:t xml:space="preserve">Aur-P1</w:t>
                  </w:r>
                </w:p>
              </w:tc>
              <w:tc>
                <w:tcPr/>
                <w:p>
                  <w:pPr>
                    <w:pStyle w:val="Compact"/>
                    <w:jc w:val="left"/>
                    <w:jc w:val="left"/>
                  </w:pPr>
                  <w:r>
                    <w:t xml:space="preserve">39406</w:t>
                  </w:r>
                </w:p>
              </w:tc>
              <w:tc>
                <w:tcPr/>
                <w:p>
                  <w:pPr>
                    <w:pStyle w:val="Compact"/>
                    <w:jc w:val="left"/>
                    <w:jc w:val="left"/>
                  </w:pPr>
                  <w:r>
                    <w:t xml:space="preserve">Aur-P1</w:t>
                  </w:r>
                </w:p>
              </w:tc>
              <w:tc>
                <w:tcPr/>
                <w:p>
                  <w:pPr>
                    <w:pStyle w:val="Compact"/>
                    <w:jc w:val="left"/>
                    <w:jc w:val="left"/>
                  </w:pPr>
                  <w:r>
                    <w:t xml:space="preserve">36252</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Geissenklösterle</w:t>
                  </w:r>
                </w:p>
              </w:tc>
              <w:tc>
                <w:tcPr/>
                <w:p>
                  <w:pPr>
                    <w:pStyle w:val="Compact"/>
                    <w:jc w:val="left"/>
                    <w:jc w:val="left"/>
                  </w:pPr>
                  <w:r>
                    <w:t xml:space="preserve">40747</w:t>
                  </w:r>
                </w:p>
              </w:tc>
              <w:tc>
                <w:tcPr/>
                <w:p>
                  <w:pPr>
                    <w:pStyle w:val="Compact"/>
                    <w:jc w:val="left"/>
                    <w:jc w:val="left"/>
                  </w:pPr>
                  <w:r>
                    <w:t xml:space="preserve">Aur-P1</w:t>
                  </w:r>
                </w:p>
              </w:tc>
              <w:tc>
                <w:tcPr/>
                <w:p>
                  <w:pPr>
                    <w:pStyle w:val="Compact"/>
                    <w:jc w:val="left"/>
                    <w:jc w:val="left"/>
                  </w:pPr>
                  <w:r>
                    <w:t xml:space="preserve">37898</w:t>
                  </w:r>
                </w:p>
              </w:tc>
              <w:tc>
                <w:tcPr/>
                <w:p>
                  <w:pPr>
                    <w:pStyle w:val="Compact"/>
                    <w:jc w:val="left"/>
                    <w:jc w:val="left"/>
                  </w:pPr>
                  <w:r>
                    <w:t xml:space="preserve">Aur-P1</w:t>
                  </w:r>
                </w:p>
              </w:tc>
              <w:tc>
                <w:tcPr/>
                <w:p>
                  <w:pPr>
                    <w:pStyle w:val="Compact"/>
                    <w:jc w:val="left"/>
                    <w:jc w:val="left"/>
                  </w:pPr>
                  <w:r>
                    <w:t xml:space="preserve">35049</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Grotte de la Verpillière I</w:t>
                  </w:r>
                </w:p>
              </w:tc>
              <w:tc>
                <w:tcPr/>
                <w:p>
                  <w:pPr>
                    <w:pStyle w:val="Compact"/>
                    <w:jc w:val="left"/>
                    <w:jc w:val="left"/>
                  </w:pPr>
                  <w:r>
                    <w:t xml:space="preserve">38896</w:t>
                  </w:r>
                </w:p>
              </w:tc>
              <w:tc>
                <w:tcPr/>
                <w:p>
                  <w:pPr>
                    <w:pStyle w:val="Compact"/>
                    <w:jc w:val="left"/>
                    <w:jc w:val="left"/>
                  </w:pPr>
                  <w:r>
                    <w:t xml:space="preserve">Aur-P1</w:t>
                  </w:r>
                </w:p>
              </w:tc>
              <w:tc>
                <w:tcPr/>
                <w:p>
                  <w:pPr>
                    <w:pStyle w:val="Compact"/>
                    <w:jc w:val="left"/>
                    <w:jc w:val="left"/>
                  </w:pPr>
                  <w:r>
                    <w:t xml:space="preserve">36218</w:t>
                  </w:r>
                </w:p>
              </w:tc>
              <w:tc>
                <w:tcPr/>
                <w:p>
                  <w:pPr>
                    <w:pStyle w:val="Compact"/>
                    <w:jc w:val="left"/>
                    <w:jc w:val="left"/>
                  </w:pPr>
                  <w:r>
                    <w:t xml:space="preserve">Aur-P2</w:t>
                  </w:r>
                </w:p>
              </w:tc>
              <w:tc>
                <w:tcPr/>
                <w:p>
                  <w:pPr>
                    <w:pStyle w:val="Compact"/>
                    <w:jc w:val="left"/>
                    <w:jc w:val="left"/>
                  </w:pPr>
                  <w:r>
                    <w:t xml:space="preserve">33541</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Grottes de Fonds-de-Forêt</w:t>
                  </w:r>
                </w:p>
              </w:tc>
              <w:tc>
                <w:tcPr/>
                <w:p>
                  <w:pPr>
                    <w:pStyle w:val="Compact"/>
                    <w:jc w:val="left"/>
                    <w:jc w:val="left"/>
                  </w:pPr>
                  <w:r>
                    <w:t xml:space="preserve">38509</w:t>
                  </w:r>
                </w:p>
              </w:tc>
              <w:tc>
                <w:tcPr/>
                <w:p>
                  <w:pPr>
                    <w:pStyle w:val="Compact"/>
                    <w:jc w:val="left"/>
                    <w:jc w:val="left"/>
                  </w:pPr>
                  <w:r>
                    <w:t xml:space="preserve">Aur-P1</w:t>
                  </w:r>
                </w:p>
              </w:tc>
              <w:tc>
                <w:tcPr/>
                <w:p>
                  <w:pPr>
                    <w:pStyle w:val="Compact"/>
                    <w:jc w:val="left"/>
                    <w:jc w:val="left"/>
                  </w:pPr>
                  <w:r>
                    <w:t xml:space="preserve">36168</w:t>
                  </w:r>
                </w:p>
              </w:tc>
              <w:tc>
                <w:tcPr/>
                <w:p>
                  <w:pPr>
                    <w:pStyle w:val="Compact"/>
                    <w:jc w:val="left"/>
                    <w:jc w:val="left"/>
                  </w:pPr>
                  <w:r>
                    <w:t xml:space="preserve">Aur-P2</w:t>
                  </w:r>
                </w:p>
              </w:tc>
              <w:tc>
                <w:tcPr/>
                <w:p>
                  <w:pPr>
                    <w:pStyle w:val="Compact"/>
                    <w:jc w:val="left"/>
                    <w:jc w:val="left"/>
                  </w:pPr>
                  <w:r>
                    <w:t xml:space="preserve">33827</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Les Cottés</w:t>
                  </w:r>
                </w:p>
              </w:tc>
              <w:tc>
                <w:tcPr/>
                <w:p>
                  <w:pPr>
                    <w:pStyle w:val="Compact"/>
                    <w:jc w:val="left"/>
                    <w:jc w:val="left"/>
                  </w:pPr>
                  <w:r>
                    <w:t xml:space="preserve">40037</w:t>
                  </w:r>
                </w:p>
              </w:tc>
              <w:tc>
                <w:tcPr/>
                <w:p>
                  <w:pPr>
                    <w:pStyle w:val="Compact"/>
                    <w:jc w:val="left"/>
                    <w:jc w:val="left"/>
                  </w:pPr>
                  <w:r>
                    <w:t xml:space="preserve">Aur-P1</w:t>
                  </w:r>
                </w:p>
              </w:tc>
              <w:tc>
                <w:tcPr/>
                <w:p>
                  <w:pPr>
                    <w:pStyle w:val="Compact"/>
                    <w:jc w:val="left"/>
                    <w:jc w:val="left"/>
                  </w:pPr>
                  <w:r>
                    <w:t xml:space="preserve">38002</w:t>
                  </w:r>
                </w:p>
              </w:tc>
              <w:tc>
                <w:tcPr/>
                <w:p>
                  <w:pPr>
                    <w:pStyle w:val="Compact"/>
                    <w:jc w:val="left"/>
                    <w:jc w:val="left"/>
                  </w:pPr>
                  <w:r>
                    <w:t xml:space="preserve">Aur-P1</w:t>
                  </w:r>
                </w:p>
              </w:tc>
              <w:tc>
                <w:tcPr/>
                <w:p>
                  <w:pPr>
                    <w:pStyle w:val="Compact"/>
                    <w:jc w:val="left"/>
                    <w:jc w:val="left"/>
                  </w:pPr>
                  <w:r>
                    <w:t xml:space="preserve">35968</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Mladeč</w:t>
                  </w:r>
                </w:p>
              </w:tc>
              <w:tc>
                <w:tcPr/>
                <w:p>
                  <w:pPr>
                    <w:pStyle w:val="Compact"/>
                    <w:jc w:val="left"/>
                    <w:jc w:val="left"/>
                  </w:pPr>
                  <w:r>
                    <w:t xml:space="preserve">40091</w:t>
                  </w:r>
                </w:p>
              </w:tc>
              <w:tc>
                <w:tcPr/>
                <w:p>
                  <w:pPr>
                    <w:pStyle w:val="Compact"/>
                    <w:jc w:val="left"/>
                    <w:jc w:val="left"/>
                  </w:pPr>
                  <w:r>
                    <w:t xml:space="preserve">Aur-P1</w:t>
                  </w:r>
                </w:p>
              </w:tc>
              <w:tc>
                <w:tcPr/>
                <w:p>
                  <w:pPr>
                    <w:pStyle w:val="Compact"/>
                    <w:jc w:val="left"/>
                    <w:jc w:val="left"/>
                  </w:pPr>
                  <w:r>
                    <w:t xml:space="preserve">37831</w:t>
                  </w:r>
                </w:p>
              </w:tc>
              <w:tc>
                <w:tcPr/>
                <w:p>
                  <w:pPr>
                    <w:pStyle w:val="Compact"/>
                    <w:jc w:val="left"/>
                    <w:jc w:val="left"/>
                  </w:pPr>
                  <w:r>
                    <w:t xml:space="preserve">Aur-P1</w:t>
                  </w:r>
                </w:p>
              </w:tc>
              <w:tc>
                <w:tcPr/>
                <w:p>
                  <w:pPr>
                    <w:pStyle w:val="Compact"/>
                    <w:jc w:val="left"/>
                    <w:jc w:val="left"/>
                  </w:pPr>
                  <w:r>
                    <w:t xml:space="preserve">35571</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Pod Hradem</w:t>
                  </w:r>
                </w:p>
              </w:tc>
              <w:tc>
                <w:tcPr/>
                <w:p>
                  <w:pPr>
                    <w:pStyle w:val="Compact"/>
                    <w:jc w:val="left"/>
                    <w:jc w:val="left"/>
                  </w:pPr>
                  <w:r>
                    <w:t xml:space="preserve">44778</w:t>
                  </w:r>
                </w:p>
              </w:tc>
              <w:tc>
                <w:tcPr/>
                <w:p>
                  <w:pPr>
                    <w:pStyle w:val="Compact"/>
                    <w:jc w:val="left"/>
                    <w:jc w:val="left"/>
                  </w:pPr>
                  <w:r>
                    <w:t xml:space="preserve">Aur-P1</w:t>
                  </w:r>
                </w:p>
              </w:tc>
              <w:tc>
                <w:tcPr/>
                <w:p>
                  <w:pPr>
                    <w:pStyle w:val="Compact"/>
                    <w:jc w:val="left"/>
                    <w:jc w:val="left"/>
                  </w:pPr>
                  <w:r>
                    <w:t xml:space="preserve">38556</w:t>
                  </w:r>
                </w:p>
              </w:tc>
              <w:tc>
                <w:tcPr/>
                <w:p>
                  <w:pPr>
                    <w:pStyle w:val="Compact"/>
                    <w:jc w:val="left"/>
                    <w:jc w:val="left"/>
                  </w:pPr>
                  <w:r>
                    <w:t xml:space="preserve">Aur-P1</w:t>
                  </w:r>
                </w:p>
              </w:tc>
              <w:tc>
                <w:tcPr/>
                <w:p>
                  <w:pPr>
                    <w:pStyle w:val="Compact"/>
                    <w:jc w:val="left"/>
                    <w:jc w:val="left"/>
                  </w:pPr>
                  <w:r>
                    <w:t xml:space="preserve">32334</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Sirgenstein Cave</w:t>
                  </w:r>
                </w:p>
              </w:tc>
              <w:tc>
                <w:tcPr/>
                <w:p>
                  <w:pPr>
                    <w:pStyle w:val="Compact"/>
                    <w:jc w:val="left"/>
                    <w:jc w:val="left"/>
                  </w:pPr>
                  <w:r>
                    <w:t xml:space="preserve">34773</w:t>
                  </w:r>
                </w:p>
              </w:tc>
              <w:tc>
                <w:tcPr/>
                <w:p>
                  <w:pPr>
                    <w:pStyle w:val="Compact"/>
                    <w:jc w:val="left"/>
                    <w:jc w:val="left"/>
                  </w:pPr>
                  <w:r>
                    <w:t xml:space="preserve">Aur-P2</w:t>
                  </w:r>
                </w:p>
              </w:tc>
              <w:tc>
                <w:tcPr/>
                <w:p>
                  <w:pPr>
                    <w:pStyle w:val="Compact"/>
                    <w:jc w:val="left"/>
                    <w:jc w:val="left"/>
                  </w:pPr>
                  <w:r>
                    <w:t xml:space="preserve">32874</w:t>
                  </w:r>
                </w:p>
              </w:tc>
              <w:tc>
                <w:tcPr/>
                <w:p>
                  <w:pPr>
                    <w:pStyle w:val="Compact"/>
                    <w:jc w:val="left"/>
                    <w:jc w:val="left"/>
                  </w:pPr>
                  <w:r>
                    <w:t xml:space="preserve">Aur-P2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dropped</w:t>
                  </w:r>
                </w:p>
              </w:tc>
            </w:tr>
            <w:tr>
              <w:tc>
                <w:tcPr/>
                <w:p>
                  <w:pPr>
                    <w:pStyle w:val="Compact"/>
                    <w:jc w:val="left"/>
                    <w:jc w:val="left"/>
                  </w:pPr>
                  <w:r>
                    <w:t xml:space="preserve">Solutré</w:t>
                  </w:r>
                </w:p>
              </w:tc>
              <w:tc>
                <w:tcPr/>
                <w:p>
                  <w:pPr>
                    <w:pStyle w:val="Compact"/>
                    <w:jc w:val="left"/>
                    <w:jc w:val="left"/>
                  </w:pPr>
                  <w:r>
                    <w:t xml:space="preserve">38896</w:t>
                  </w:r>
                </w:p>
              </w:tc>
              <w:tc>
                <w:tcPr/>
                <w:p>
                  <w:pPr>
                    <w:pStyle w:val="Compact"/>
                    <w:jc w:val="left"/>
                    <w:jc w:val="left"/>
                  </w:pPr>
                  <w:r>
                    <w:t xml:space="preserve">Aur-P1</w:t>
                  </w:r>
                </w:p>
              </w:tc>
              <w:tc>
                <w:tcPr/>
                <w:p>
                  <w:pPr>
                    <w:pStyle w:val="Compact"/>
                    <w:jc w:val="left"/>
                    <w:jc w:val="left"/>
                  </w:pPr>
                  <w:r>
                    <w:t xml:space="preserve">36218</w:t>
                  </w:r>
                </w:p>
              </w:tc>
              <w:tc>
                <w:tcPr/>
                <w:p>
                  <w:pPr>
                    <w:pStyle w:val="Compact"/>
                    <w:jc w:val="left"/>
                    <w:jc w:val="left"/>
                  </w:pPr>
                  <w:r>
                    <w:t xml:space="preserve">Aur-P2</w:t>
                  </w:r>
                </w:p>
              </w:tc>
              <w:tc>
                <w:tcPr/>
                <w:p>
                  <w:pPr>
                    <w:pStyle w:val="Compact"/>
                    <w:jc w:val="left"/>
                    <w:jc w:val="left"/>
                  </w:pPr>
                  <w:r>
                    <w:t xml:space="preserve">33541</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Trou Magrite</w:t>
                  </w:r>
                </w:p>
              </w:tc>
              <w:tc>
                <w:tcPr/>
                <w:p>
                  <w:pPr>
                    <w:pStyle w:val="Compact"/>
                    <w:jc w:val="left"/>
                    <w:jc w:val="left"/>
                  </w:pPr>
                  <w:r>
                    <w:t xml:space="preserve">32893</w:t>
                  </w:r>
                </w:p>
              </w:tc>
              <w:tc>
                <w:tcPr/>
                <w:p>
                  <w:pPr>
                    <w:pStyle w:val="Compact"/>
                    <w:jc w:val="left"/>
                    <w:jc w:val="left"/>
                  </w:pPr>
                  <w:r>
                    <w:t xml:space="preserve">Aur-P2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dropped</w:t>
                  </w:r>
                </w:p>
              </w:tc>
            </w:tr>
            <w:tr>
              <w:tc>
                <w:tcPr/>
                <w:p>
                  <w:pPr>
                    <w:pStyle w:val="Compact"/>
                    <w:jc w:val="left"/>
                    <w:jc w:val="left"/>
                  </w:pPr>
                  <w:r>
                    <w:t xml:space="preserve">Trou al’Wesse</w:t>
                  </w:r>
                </w:p>
              </w:tc>
              <w:tc>
                <w:tcPr/>
                <w:p>
                  <w:pPr>
                    <w:pStyle w:val="Compact"/>
                    <w:jc w:val="left"/>
                    <w:jc w:val="left"/>
                  </w:pPr>
                  <w:r>
                    <w:t xml:space="preserve">38392</w:t>
                  </w:r>
                </w:p>
              </w:tc>
              <w:tc>
                <w:tcPr/>
                <w:p>
                  <w:pPr>
                    <w:pStyle w:val="Compact"/>
                    <w:jc w:val="left"/>
                    <w:jc w:val="left"/>
                  </w:pPr>
                  <w:r>
                    <w:t xml:space="preserve">Aur-P1</w:t>
                  </w:r>
                </w:p>
              </w:tc>
              <w:tc>
                <w:tcPr/>
                <w:p>
                  <w:pPr>
                    <w:pStyle w:val="Compact"/>
                    <w:jc w:val="left"/>
                    <w:jc w:val="left"/>
                  </w:pPr>
                  <w:r>
                    <w:t xml:space="preserve">36778</w:t>
                  </w:r>
                </w:p>
              </w:tc>
              <w:tc>
                <w:tcPr/>
                <w:p>
                  <w:pPr>
                    <w:pStyle w:val="Compact"/>
                    <w:jc w:val="left"/>
                    <w:jc w:val="left"/>
                  </w:pPr>
                  <w:r>
                    <w:t xml:space="preserve">Aur-P2</w:t>
                  </w:r>
                </w:p>
              </w:tc>
              <w:tc>
                <w:tcPr/>
                <w:p>
                  <w:pPr>
                    <w:pStyle w:val="Compact"/>
                    <w:jc w:val="left"/>
                    <w:jc w:val="left"/>
                  </w:pPr>
                  <w:r>
                    <w:t xml:space="preserve">35164</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Vogelherd</w:t>
                  </w:r>
                </w:p>
              </w:tc>
              <w:tc>
                <w:tcPr/>
                <w:p>
                  <w:pPr>
                    <w:pStyle w:val="Compact"/>
                    <w:jc w:val="left"/>
                    <w:jc w:val="left"/>
                  </w:pPr>
                  <w:r>
                    <w:t xml:space="preserve">40840</w:t>
                  </w:r>
                </w:p>
              </w:tc>
              <w:tc>
                <w:tcPr/>
                <w:p>
                  <w:pPr>
                    <w:pStyle w:val="Compact"/>
                    <w:jc w:val="left"/>
                    <w:jc w:val="left"/>
                  </w:pPr>
                  <w:r>
                    <w:t xml:space="preserve">Aur-P1</w:t>
                  </w:r>
                </w:p>
              </w:tc>
              <w:tc>
                <w:tcPr/>
                <w:p>
                  <w:pPr>
                    <w:pStyle w:val="Compact"/>
                    <w:jc w:val="left"/>
                    <w:jc w:val="left"/>
                  </w:pPr>
                  <w:r>
                    <w:t xml:space="preserve">35516</w:t>
                  </w:r>
                </w:p>
              </w:tc>
              <w:tc>
                <w:tcPr/>
                <w:p>
                  <w:pPr>
                    <w:pStyle w:val="Compact"/>
                    <w:jc w:val="left"/>
                    <w:jc w:val="left"/>
                  </w:pPr>
                  <w:r>
                    <w:t xml:space="preserve">Aur-P2</w:t>
                  </w:r>
                </w:p>
              </w:tc>
              <w:tc>
                <w:tcPr/>
                <w:p>
                  <w:pPr>
                    <w:pStyle w:val="Compact"/>
                    <w:jc w:val="left"/>
                    <w:jc w:val="left"/>
                  </w:pPr>
                  <w:r>
                    <w:t xml:space="preserve">30193</w:t>
                  </w:r>
                </w:p>
              </w:tc>
              <w:tc>
                <w:tcPr/>
                <w:p>
                  <w:pPr>
                    <w:pStyle w:val="Compact"/>
                    <w:jc w:val="left"/>
                    <w:jc w:val="left"/>
                  </w:pPr>
                  <w:r>
                    <w:t xml:space="preserve">Aur-P2</w:t>
                  </w:r>
                </w:p>
              </w:tc>
              <w:tc>
                <w:tcPr/>
                <w:p>
                  <w:pPr>
                    <w:pStyle w:val="Compact"/>
                    <w:jc w:val="left"/>
                    <w:jc w:val="left"/>
                  </w:pPr>
                  <w:r>
                    <w:t xml:space="preserve">Yes</w:t>
                  </w:r>
                </w:p>
              </w:tc>
            </w:tr>
          </w:tbl>
          <w:p>
            <w:pPr>
              <w:jc w:val="left"/>
            </w:pPr>
            <w:pPr>
              <w:jc w:val="start"/>
              <w:spacing w:before="200"/>
              <w:pStyle w:val="ImageCaption"/>
            </w:pPr>
            <w:r>
              <w:t xml:space="preserve">Table K. Site phase assignments under three date variants. The oldest variant is used in the main analysis. Sites with</w:t>
            </w:r>
            <w:r>
              <w:t xml:space="preserve"> </w:t>
            </w:r>
            <w:r>
              <w:t xml:space="preserve">‘</w:t>
            </w:r>
            <w:r>
              <w:t xml:space="preserve">Yes</w:t>
            </w:r>
            <w:r>
              <w:t xml:space="preserve">’</w:t>
            </w:r>
            <w:r>
              <w:t xml:space="preserve"> </w:t>
            </w:r>
            <w:r>
              <w:t xml:space="preserve">or</w:t>
            </w:r>
            <w:r>
              <w:t xml:space="preserve"> </w:t>
            </w:r>
            <w:r>
              <w:t xml:space="preserve">‘</w:t>
            </w:r>
            <w:r>
              <w:t xml:space="preserve">dropped</w:t>
            </w:r>
            <w:r>
              <w:t xml:space="preserve">’</w:t>
            </w:r>
            <w:r>
              <w:t xml:space="preserve"> </w:t>
            </w:r>
            <w:r>
              <w:t xml:space="preserve">in the Changes column have different phase assignments across variants.</w:t>
            </w:r>
          </w:p>
          <w:bookmarkEnd w:id="84"/>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85" w:name="tbl-variant-networks"/>
          <w:tbl>
            <w:tblPr>
              <w:tblStyle w:val="Table"/>
              <w:tblW w:type="pct" w:w="5000"/>
              <w:tblLook w:firstRow="1" w:lastRow="0" w:firstColumn="0" w:lastColumn="0" w:noHBand="0" w:noVBand="0" w:val="0020"/>
              <w:jc w:val="start"/>
              <w:tblLayout w:type="fixed"/>
            </w:tblPr>
            <w:tblGrid>
              <w:gridCol w:w="1267"/>
              <w:gridCol w:w="950"/>
              <w:gridCol w:w="871"/>
              <w:gridCol w:w="871"/>
              <w:gridCol w:w="950"/>
              <w:gridCol w:w="1584"/>
              <w:gridCol w:w="1425"/>
            </w:tblGrid>
            <w:tr>
              <w:trPr>
                <w:tblHeader w:val="true"/>
              </w:trPr>
              <w:tc>
                <w:tcPr/>
                <w:p>
                  <w:pPr>
                    <w:pStyle w:val="Compact"/>
                    <w:jc w:val="left"/>
                    <w:jc w:val="left"/>
                  </w:pPr>
                  <w:r>
                    <w:t xml:space="preserve">Variant</w:t>
                  </w:r>
                </w:p>
              </w:tc>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Modularity</w:t>
                  </w:r>
                </w:p>
              </w:tc>
            </w:tr>
            <w:tr>
              <w:tc>
                <w:tcPr/>
                <w:p>
                  <w:pPr>
                    <w:pStyle w:val="Compact"/>
                    <w:jc w:val="left"/>
                    <w:jc w:val="left"/>
                  </w:pPr>
                  <w:r>
                    <w:t xml:space="preserve">older</w:t>
                  </w:r>
                </w:p>
              </w:tc>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7.50</w:t>
                  </w:r>
                </w:p>
              </w:tc>
              <w:tc>
                <w:tcPr/>
                <w:p>
                  <w:pPr>
                    <w:pStyle w:val="Compact"/>
                    <w:jc w:val="left"/>
                    <w:jc w:val="left"/>
                  </w:pPr>
                  <w:r>
                    <w:t xml:space="preserve">0.336</w:t>
                  </w:r>
                </w:p>
              </w:tc>
            </w:tr>
            <w:tr>
              <w:tc>
                <w:tcPr/>
                <w:p>
                  <w:pPr>
                    <w:pStyle w:val="Compact"/>
                    <w:jc w:val="left"/>
                    <w:jc w:val="left"/>
                  </w:pPr>
                  <w:r>
                    <w:t xml:space="preserve">older</w:t>
                  </w:r>
                </w:p>
              </w:tc>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0.161</w:t>
                  </w:r>
                </w:p>
              </w:tc>
            </w:tr>
            <w:tr>
              <w:tc>
                <w:tcPr/>
                <w:p>
                  <w:pPr>
                    <w:pStyle w:val="Compact"/>
                    <w:jc w:val="left"/>
                    <w:jc w:val="left"/>
                  </w:pPr>
                  <w:r>
                    <w:t xml:space="preserve">midpoint</w:t>
                  </w:r>
                </w:p>
              </w:tc>
              <w:tc>
                <w:tcPr/>
                <w:p>
                  <w:pPr>
                    <w:pStyle w:val="Compact"/>
                    <w:jc w:val="left"/>
                    <w:jc w:val="left"/>
                  </w:pPr>
                  <w:r>
                    <w:t xml:space="preserve">Aur-P1</w:t>
                  </w:r>
                </w:p>
              </w:tc>
              <w:tc>
                <w:tcPr/>
                <w:p>
                  <w:pPr>
                    <w:pStyle w:val="Compact"/>
                    <w:jc w:val="left"/>
                    <w:jc w:val="left"/>
                  </w:pPr>
                  <w:r>
                    <w:t xml:space="preserve">15</w:t>
                  </w:r>
                </w:p>
              </w:tc>
              <w:tc>
                <w:tcPr/>
                <w:p>
                  <w:pPr>
                    <w:pStyle w:val="Compact"/>
                    <w:jc w:val="left"/>
                    <w:jc w:val="left"/>
                  </w:pPr>
                  <w:r>
                    <w:t xml:space="preserve">41</w:t>
                  </w:r>
                </w:p>
              </w:tc>
              <w:tc>
                <w:tcPr/>
                <w:p>
                  <w:pPr>
                    <w:pStyle w:val="Compact"/>
                    <w:jc w:val="left"/>
                    <w:jc w:val="left"/>
                  </w:pPr>
                  <w:r>
                    <w:t xml:space="preserve">0.390</w:t>
                  </w:r>
                </w:p>
              </w:tc>
              <w:tc>
                <w:tcPr/>
                <w:p>
                  <w:pPr>
                    <w:pStyle w:val="Compact"/>
                    <w:jc w:val="left"/>
                    <w:jc w:val="left"/>
                  </w:pPr>
                  <w:r>
                    <w:t xml:space="preserve">5.47</w:t>
                  </w:r>
                </w:p>
              </w:tc>
              <w:tc>
                <w:tcPr/>
                <w:p>
                  <w:pPr>
                    <w:pStyle w:val="Compact"/>
                    <w:jc w:val="left"/>
                    <w:jc w:val="left"/>
                  </w:pPr>
                  <w:r>
                    <w:t xml:space="preserve">0.386</w:t>
                  </w:r>
                </w:p>
              </w:tc>
            </w:tr>
            <w:tr>
              <w:tc>
                <w:tcPr/>
                <w:p>
                  <w:pPr>
                    <w:pStyle w:val="Compact"/>
                    <w:jc w:val="left"/>
                    <w:jc w:val="left"/>
                  </w:pPr>
                  <w:r>
                    <w:t xml:space="preserve">midpoint</w:t>
                  </w:r>
                </w:p>
              </w:tc>
              <w:tc>
                <w:tcPr/>
                <w:p>
                  <w:pPr>
                    <w:pStyle w:val="Compact"/>
                    <w:jc w:val="left"/>
                    <w:jc w:val="left"/>
                  </w:pPr>
                  <w:r>
                    <w:t xml:space="preserve">Aur-P2</w:t>
                  </w:r>
                </w:p>
              </w:tc>
              <w:tc>
                <w:tcPr/>
                <w:p>
                  <w:pPr>
                    <w:pStyle w:val="Compact"/>
                    <w:jc w:val="left"/>
                    <w:jc w:val="left"/>
                  </w:pPr>
                  <w:r>
                    <w:t xml:space="preserve">12</w:t>
                  </w:r>
                </w:p>
              </w:tc>
              <w:tc>
                <w:tcPr/>
                <w:p>
                  <w:pPr>
                    <w:pStyle w:val="Compact"/>
                    <w:jc w:val="left"/>
                    <w:jc w:val="left"/>
                  </w:pPr>
                  <w:r>
                    <w:t xml:space="preserve">31</w:t>
                  </w:r>
                </w:p>
              </w:tc>
              <w:tc>
                <w:tcPr/>
                <w:p>
                  <w:pPr>
                    <w:pStyle w:val="Compact"/>
                    <w:jc w:val="left"/>
                    <w:jc w:val="left"/>
                  </w:pPr>
                  <w:r>
                    <w:t xml:space="preserve">0.470</w:t>
                  </w:r>
                </w:p>
              </w:tc>
              <w:tc>
                <w:tcPr/>
                <w:p>
                  <w:pPr>
                    <w:pStyle w:val="Compact"/>
                    <w:jc w:val="left"/>
                    <w:jc w:val="left"/>
                  </w:pPr>
                  <w:r>
                    <w:t xml:space="preserve">5.17</w:t>
                  </w:r>
                </w:p>
              </w:tc>
              <w:tc>
                <w:tcPr/>
                <w:p>
                  <w:pPr>
                    <w:pStyle w:val="Compact"/>
                    <w:jc w:val="left"/>
                    <w:jc w:val="left"/>
                  </w:pPr>
                  <w:r>
                    <w:t xml:space="preserve">0.125</w:t>
                  </w:r>
                </w:p>
              </w:tc>
            </w:tr>
            <w:tr>
              <w:tc>
                <w:tcPr/>
                <w:p>
                  <w:pPr>
                    <w:pStyle w:val="Compact"/>
                    <w:jc w:val="left"/>
                    <w:jc w:val="left"/>
                  </w:pPr>
                  <w:r>
                    <w:t xml:space="preserve">younger</w:t>
                  </w:r>
                </w:p>
              </w:tc>
              <w:tc>
                <w:tcPr/>
                <w:p>
                  <w:pPr>
                    <w:pStyle w:val="Compact"/>
                    <w:jc w:val="left"/>
                    <w:jc w:val="left"/>
                  </w:pPr>
                  <w:r>
                    <w:t xml:space="preserve">Aur-P1</w:t>
                  </w:r>
                </w:p>
              </w:tc>
              <w:tc>
                <w:tcPr/>
                <w:p>
                  <w:pPr>
                    <w:pStyle w:val="Compact"/>
                    <w:jc w:val="left"/>
                    <w:jc w:val="left"/>
                  </w:pPr>
                  <w:r>
                    <w:t xml:space="preserve">11</w:t>
                  </w:r>
                </w:p>
              </w:tc>
              <w:tc>
                <w:tcPr/>
                <w:p>
                  <w:pPr>
                    <w:pStyle w:val="Compact"/>
                    <w:jc w:val="left"/>
                    <w:jc w:val="left"/>
                  </w:pPr>
                  <w:r>
                    <w:t xml:space="preserve">24</w:t>
                  </w:r>
                </w:p>
              </w:tc>
              <w:tc>
                <w:tcPr/>
                <w:p>
                  <w:pPr>
                    <w:pStyle w:val="Compact"/>
                    <w:jc w:val="left"/>
                    <w:jc w:val="left"/>
                  </w:pPr>
                  <w:r>
                    <w:t xml:space="preserve">0.436</w:t>
                  </w:r>
                </w:p>
              </w:tc>
              <w:tc>
                <w:tcPr/>
                <w:p>
                  <w:pPr>
                    <w:pStyle w:val="Compact"/>
                    <w:jc w:val="left"/>
                    <w:jc w:val="left"/>
                  </w:pPr>
                  <w:r>
                    <w:t xml:space="preserve">4.36</w:t>
                  </w:r>
                </w:p>
              </w:tc>
              <w:tc>
                <w:tcPr/>
                <w:p>
                  <w:pPr>
                    <w:pStyle w:val="Compact"/>
                    <w:jc w:val="left"/>
                    <w:jc w:val="left"/>
                  </w:pPr>
                  <w:r>
                    <w:t xml:space="preserve">0.392</w:t>
                  </w:r>
                </w:p>
              </w:tc>
            </w:tr>
            <w:tr>
              <w:tc>
                <w:tcPr/>
                <w:p>
                  <w:pPr>
                    <w:pStyle w:val="Compact"/>
                    <w:jc w:val="left"/>
                    <w:jc w:val="left"/>
                  </w:pPr>
                  <w:r>
                    <w:t xml:space="preserve">younger</w:t>
                  </w:r>
                </w:p>
              </w:tc>
              <w:tc>
                <w:tcPr/>
                <w:p>
                  <w:pPr>
                    <w:pStyle w:val="Compact"/>
                    <w:jc w:val="left"/>
                    <w:jc w:val="left"/>
                  </w:pPr>
                  <w:r>
                    <w:t xml:space="preserve">Aur-P2</w:t>
                  </w:r>
                </w:p>
              </w:tc>
              <w:tc>
                <w:tcPr/>
                <w:p>
                  <w:pPr>
                    <w:pStyle w:val="Compact"/>
                    <w:jc w:val="left"/>
                    <w:jc w:val="left"/>
                  </w:pPr>
                  <w:r>
                    <w:t xml:space="preserve">15</w:t>
                  </w:r>
                </w:p>
              </w:tc>
              <w:tc>
                <w:tcPr/>
                <w:p>
                  <w:pPr>
                    <w:pStyle w:val="Compact"/>
                    <w:jc w:val="left"/>
                    <w:jc w:val="left"/>
                  </w:pPr>
                  <w:r>
                    <w:t xml:space="preserve">44</w:t>
                  </w:r>
                </w:p>
              </w:tc>
              <w:tc>
                <w:tcPr/>
                <w:p>
                  <w:pPr>
                    <w:pStyle w:val="Compact"/>
                    <w:jc w:val="left"/>
                    <w:jc w:val="left"/>
                  </w:pPr>
                  <w:r>
                    <w:t xml:space="preserve">0.419</w:t>
                  </w:r>
                </w:p>
              </w:tc>
              <w:tc>
                <w:tcPr/>
                <w:p>
                  <w:pPr>
                    <w:pStyle w:val="Compact"/>
                    <w:jc w:val="left"/>
                    <w:jc w:val="left"/>
                  </w:pPr>
                  <w:r>
                    <w:t xml:space="preserve">5.87</w:t>
                  </w:r>
                </w:p>
              </w:tc>
              <w:tc>
                <w:tcPr/>
                <w:p>
                  <w:pPr>
                    <w:pStyle w:val="Compact"/>
                    <w:jc w:val="left"/>
                    <w:jc w:val="left"/>
                  </w:pPr>
                  <w:r>
                    <w:t xml:space="preserve">0.192</w:t>
                  </w:r>
                </w:p>
              </w:tc>
            </w:tr>
          </w:tbl>
          <w:p>
            <w:pPr>
              <w:jc w:val="left"/>
            </w:pPr>
            <w:pPr>
              <w:jc w:val="start"/>
              <w:spacing w:before="200"/>
              <w:pStyle w:val="ImageCaption"/>
            </w:pPr>
            <w:r>
              <w:t xml:space="preserve">Table L. Network statistics per phase when the full pipeline is re-run with each date variant (threshold = 0.2, Jaccard similarity). The technology-based overrides are held fixed, so only date-assigned sites move between phases or drop out.</w:t>
            </w:r>
          </w:p>
          <w:bookmarkEnd w:id="85"/>
        </w:tc>
      </w:tr>
    </w:tbl>
    <w:bookmarkEnd w:id="86"/>
    <w:bookmarkStart w:id="87" w:name="interpretation-2"/>
    <w:p>
      <w:pPr>
        <w:pStyle w:val="Heading3"/>
      </w:pPr>
      <w:r>
        <w:t xml:space="preserve">Interpretation</w:t>
      </w:r>
    </w:p>
    <w:p>
      <w:pPr>
        <w:pStyle w:val="FirstParagraph"/>
      </w:pPr>
      <w:r>
        <w:rPr>
          <w:bCs/>
          <w:b/>
        </w:rPr>
        <w:t xml:space="preserve">Question: how many sites change phase across older, midpoint, and younger date variants, and in which direction?</w:t>
      </w:r>
      <w:r>
        <w:t xml:space="preserve"> </w:t>
      </w:r>
      <w:r>
        <w:t xml:space="preserve">The three variants assign 19, 13 and 6 sites to Aur-P1 respectively (of 28, 26 and 25 sites retained), so 13 of 28 sites change phase and 3 more fail date parsing altogether under the alternative ends (</w:t>
      </w:r>
      <w:hyperlink w:anchor="tbl-date-variant-comparison">
        <w:r>
          <w:rPr>
            <w:rStyle w:val="Hyperlink"/>
          </w:rPr>
          <w:t xml:space="preserve">Table K</w:t>
        </w:r>
      </w:hyperlink>
      <w:r>
        <w:t xml:space="preserve">). Between the older and midpoint variants, 6 sites switch phase: Cellier, Grotte de la Verpillière I, Grottes de Fonds-de-Forêt, Solutré, Trou al’Wesse and Vogelherd all move from Aur-P1 to Aur-P2. A further 7 sites, among them Mladeč (40,091 / 37,831 / 35,571 cal BP), Abri Pataud and Les Cottés, move only at the younger end. Bockstein-Törle, Sirgenstein Cave and Trou Magrite, all Aur-P2 sites at baseline, fail date parsing under at least one variant. The choice of calibrated end therefore shifts the phase balance substantially.</w:t>
      </w:r>
    </w:p>
    <w:p>
      <w:pPr>
        <w:pStyle w:val="BodyText"/>
      </w:pPr>
      <w:r>
        <w:rPr>
          <w:bCs/>
          <w:b/>
        </w:rPr>
        <w:t xml:space="preserve">Question: does the Aur-P1 greater than Aur-P2 raw mean-degree ordering survive when the full network analysis is re-run with each variant?</w:t>
      </w:r>
      <w:r>
        <w:t xml:space="preserve"> </w:t>
      </w:r>
      <w:r>
        <w:t xml:space="preserve">Only in part: the ordering follows the number of sites in each phase (</w:t>
      </w:r>
      <w:hyperlink w:anchor="tbl-variant-networks">
        <w:r>
          <w:rPr>
            <w:rStyle w:val="Hyperlink"/>
          </w:rPr>
          <w:t xml:space="preserve">Table L</w:t>
        </w:r>
      </w:hyperlink>
      <w:r>
        <w:t xml:space="preserve">). Under the older end, the phases hold 20 and 9 sites and the mean degrees are 7.5 against 4.22. Under the midpoint, the phases hold 15 and 12 sites and the gap narrows to 5.47 against 5.17. Under the younger end, the site balance reverses (11 against 15 sites) and so does the mean-degree ordering (4.36 against 5.87). In every variant, the phase with more sites has the higher raw mean degree. This agrees with the size-normalised result in</w:t>
      </w:r>
      <w:r>
        <w:t xml:space="preserve"> </w:t>
      </w:r>
      <w:r>
        <w:t xml:space="preserve">Section S1.7.6</w:t>
      </w:r>
      <w:r>
        <w:t xml:space="preserve">: the raw between-phase contrast is an effect of network size, not of connectivity.</w:t>
      </w:r>
    </w:p>
    <w:p>
      <w:pPr>
        <w:pStyle w:val="BodyText"/>
      </w:pPr>
      <w:r>
        <w:rPr>
          <w:bCs/>
          <w:b/>
        </w:rPr>
        <w:t xml:space="preserve">Implication for the main text.</w:t>
      </w:r>
      <w:r>
        <w:t xml:space="preserve"> </w:t>
      </w:r>
      <w:r>
        <w:t xml:space="preserve">Phase assignment for boundary-proximal sites depends on the chosen date end, which is why the main text fixes technology-based overrides and tests boundary shifts separately in</w:t>
      </w:r>
      <w:r>
        <w:t xml:space="preserve"> </w:t>
      </w:r>
      <w:r>
        <w:t xml:space="preserve">Section S1.5.4</w:t>
      </w:r>
      <w:r>
        <w:t xml:space="preserve">. The raw Aur-P1 &gt; Aur-P2 mean-degree ordering is specific to the older-end baseline: it narrows at the midpoint and reverses at the younger end, tracking the number of sites in each phase. This dependence supports the main text’s decision to interpret the raw contrast as network scale and to rely on the size-normalised comparison in</w:t>
      </w:r>
      <w:r>
        <w:t xml:space="preserve"> </w:t>
      </w:r>
      <w:r>
        <w:t xml:space="preserve">Section S1.7.6</w:t>
      </w:r>
      <w:r>
        <w:t xml:space="preserve">.</w:t>
      </w:r>
    </w:p>
    <w:bookmarkEnd w:id="87"/>
    <w:bookmarkEnd w:id="88"/>
    <w:bookmarkStart w:id="93" w:name="sec-s5-4"/>
    <w:p>
      <w:pPr>
        <w:pStyle w:val="Heading2"/>
      </w:pPr>
      <w:r>
        <w:t xml:space="preserve">S1.5.4 Phase-boundary sensitivity</w:t>
      </w:r>
    </w:p>
    <w:bookmarkStart w:id="91" w:name="rationale-4"/>
    <w:p>
      <w:pPr>
        <w:pStyle w:val="Heading3"/>
      </w:pPr>
      <w:r>
        <w:t xml:space="preserve">Rationale</w:t>
      </w:r>
    </w:p>
    <w:p>
      <w:pPr>
        <w:pStyle w:val="FirstParagraph"/>
      </w:pPr>
      <w:r>
        <w:t xml:space="preserve">The two-phase periodisation uses a single calibrated MedianBP threshold of 37799 separating Aur-P1 (43.0–37.8 ka cal BP) from Aur-P2 (37.8–32.0 ka cal BP). This is a conventional round number, not derived from a formal change-point analysis. Objects with calibrated dates near this boundary could be assigned to either phase depending on the exact threshold chosen. This section tests whether the network-level findings are sensitive to the placement of this boundary by shifting it by ±500 and ±1000 years. The technology-based overrides are held fixed (Geissenklösterle, Vogelherd, La Ferrassie, and Abri Pataud in Aur-P1; Hohle Fels at the layer level, with AH V in Aur-P1 and AH IV, III and the II-series in Aur-P2; Mladeč in Aur-P2; Spy and El Castillo excluded), so the test isolates the effect of the date-based cutoff. This section answers two specific questions:</w:t>
      </w:r>
    </w:p>
    <w:p>
      <w:pPr>
        <w:pStyle w:val="BodyText"/>
      </w:pPr>
      <w:r>
        <w:rPr>
          <w:bCs/>
          <w:b/>
        </w:rPr>
        <w:t xml:space="preserve">Question: which sites and objects lie close enough to the boundary to change phase when it shifts?</w:t>
      </w:r>
    </w:p>
    <w:p>
      <w:pPr>
        <w:pStyle w:val="BodyText"/>
      </w:pPr>
      <w:r>
        <w:rPr>
          <w:bCs/>
          <w:b/>
        </w:rPr>
        <w:t xml:space="preserve">Question: does the Aur-P1 greater than Aur-P2 raw mean-degree ordering survive shifts of plus or minus 500 and 1000 years?</w:t>
      </w:r>
    </w:p>
    <w:tbl>
      <w:tblPr>
        <w:tblStyle w:val="Table"/>
        <w:tblW w:type="pct" w:w="5000"/>
        <w:tblLook w:firstRow="0" w:lastRow="0" w:firstColumn="0" w:lastColumn="0" w:noHBand="0" w:noVBand="0" w:val="0000"/>
        <w:jc w:val="start"/>
        <w:tblLayout w:type="fixed"/>
      </w:tblPr>
      <w:tblGrid>
        <w:gridCol w:w="7920"/>
      </w:tblGrid>
      <w:tr>
        <w:tc>
          <w:tcPr/>
          <w:bookmarkStart w:id="89" w:name="tbl-boundary-proximity"/>
          <w:tbl>
            <w:tblPr>
              <w:tblStyle w:val="Table"/>
              <w:tblW w:type="pct" w:w="5000"/>
              <w:tblLook w:firstRow="1" w:lastRow="0" w:firstColumn="0" w:lastColumn="0" w:noHBand="0" w:noVBand="0" w:val="0020"/>
              <w:jc w:val="start"/>
              <w:tblLayout w:type="fixed"/>
            </w:tblPr>
            <w:tblGrid>
              <w:gridCol w:w="3168"/>
              <w:gridCol w:w="1900"/>
              <w:gridCol w:w="1425"/>
              <w:gridCol w:w="1425"/>
            </w:tblGrid>
            <w:tr>
              <w:trPr>
                <w:tblHeader w:val="true"/>
              </w:trPr>
              <w:tc>
                <w:tcPr/>
                <w:p>
                  <w:pPr>
                    <w:pStyle w:val="Compact"/>
                    <w:jc w:val="left"/>
                    <w:jc w:val="left"/>
                  </w:pPr>
                  <w:r>
                    <w:t xml:space="preserve">Boundary</w:t>
                  </w:r>
                </w:p>
              </w:tc>
              <w:tc>
                <w:tcPr/>
                <w:p>
                  <w:pPr>
                    <w:pStyle w:val="Compact"/>
                    <w:jc w:val="left"/>
                    <w:jc w:val="left"/>
                  </w:pPr>
                  <w:r>
                    <w:t xml:space="preserve">Window</w:t>
                  </w:r>
                </w:p>
              </w:tc>
              <w:tc>
                <w:tcPr/>
                <w:p>
                  <w:pPr>
                    <w:pStyle w:val="Compact"/>
                    <w:jc w:val="left"/>
                    <w:jc w:val="left"/>
                  </w:pPr>
                  <w:r>
                    <w:t xml:space="preserve">Objects</w:t>
                  </w:r>
                </w:p>
              </w:tc>
              <w:tc>
                <w:tcPr/>
                <w:p>
                  <w:pPr>
                    <w:pStyle w:val="Compact"/>
                    <w:jc w:val="left"/>
                    <w:jc w:val="left"/>
                  </w:pPr>
                  <w:r>
                    <w:t xml:space="preserve">Sites</w:t>
                  </w:r>
                </w:p>
              </w:tc>
            </w:tr>
            <w:tr>
              <w:tc>
                <w:tcPr/>
                <w:p>
                  <w:pPr>
                    <w:pStyle w:val="Compact"/>
                    <w:jc w:val="left"/>
                    <w:jc w:val="left"/>
                  </w:pPr>
                  <w:r>
                    <w:t xml:space="preserve">Aur-P1/Aur-P2 (37799 cal BP)</w:t>
                  </w:r>
                </w:p>
              </w:tc>
              <w:tc>
                <w:tcPr/>
                <w:p>
                  <w:pPr>
                    <w:pStyle w:val="Compact"/>
                    <w:jc w:val="left"/>
                    <w:jc w:val="left"/>
                  </w:pPr>
                  <w:r>
                    <w:t xml:space="preserve">±500 years</w:t>
                  </w:r>
                </w:p>
              </w:tc>
              <w:tc>
                <w:tcPr/>
                <w:p>
                  <w:pPr>
                    <w:pStyle w:val="Compact"/>
                    <w:jc w:val="left"/>
                    <w:jc w:val="left"/>
                  </w:pPr>
                  <w:r>
                    <w:t xml:space="preserve">33</w:t>
                  </w:r>
                </w:p>
              </w:tc>
              <w:tc>
                <w:tcPr/>
                <w:p>
                  <w:pPr>
                    <w:pStyle w:val="Compact"/>
                    <w:jc w:val="left"/>
                    <w:jc w:val="left"/>
                  </w:pPr>
                  <w:r>
                    <w:t xml:space="preserve">3</w:t>
                  </w:r>
                </w:p>
              </w:tc>
            </w:tr>
            <w:tr>
              <w:tc>
                <w:tcPr/>
                <w:p>
                  <w:pPr>
                    <w:pStyle w:val="Compact"/>
                    <w:jc w:val="left"/>
                    <w:jc w:val="left"/>
                  </w:pPr>
                  <w:r>
                    <w:t xml:space="preserve">Aur-P1/Aur-P2 (37799 cal BP)</w:t>
                  </w:r>
                </w:p>
              </w:tc>
              <w:tc>
                <w:tcPr/>
                <w:p>
                  <w:pPr>
                    <w:pStyle w:val="Compact"/>
                    <w:jc w:val="left"/>
                    <w:jc w:val="left"/>
                  </w:pPr>
                  <w:r>
                    <w:t xml:space="preserve">±1000 years</w:t>
                  </w:r>
                </w:p>
              </w:tc>
              <w:tc>
                <w:tcPr/>
                <w:p>
                  <w:pPr>
                    <w:pStyle w:val="Compact"/>
                    <w:jc w:val="left"/>
                    <w:jc w:val="left"/>
                  </w:pPr>
                  <w:r>
                    <w:t xml:space="preserve">85</w:t>
                  </w:r>
                </w:p>
              </w:tc>
              <w:tc>
                <w:tcPr/>
                <w:p>
                  <w:pPr>
                    <w:pStyle w:val="Compact"/>
                    <w:jc w:val="left"/>
                    <w:jc w:val="left"/>
                  </w:pPr>
                  <w:r>
                    <w:t xml:space="preserve">7</w:t>
                  </w:r>
                </w:p>
              </w:tc>
            </w:tr>
          </w:tbl>
          <w:p>
            <w:pPr>
              <w:jc w:val="left"/>
            </w:pPr>
            <w:pPr>
              <w:jc w:val="start"/>
              <w:spacing w:before="200"/>
              <w:pStyle w:val="ImageCaption"/>
            </w:pPr>
            <w:r>
              <w:t xml:space="preserve">Table M. Number of objects and sites within ±500 and ±1000 calibrated years of the single periodisation boundary at 37799 cal BP separating Aur-P1 from Aur-P2.</w:t>
            </w:r>
          </w:p>
          <w:bookmarkEnd w:id="89"/>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90" w:name="tbl-boundary-shifts"/>
          <w:tbl>
            <w:tblPr>
              <w:tblStyle w:val="Table"/>
              <w:tblW w:type="pct" w:w="5000"/>
              <w:tblLook w:firstRow="1" w:lastRow="0" w:firstColumn="0" w:lastColumn="0" w:noHBand="0" w:noVBand="0" w:val="0020"/>
              <w:jc w:val="start"/>
              <w:tblLayout w:type="fixed"/>
            </w:tblPr>
            <w:tblGrid>
              <w:gridCol w:w="1584"/>
              <w:gridCol w:w="1188"/>
              <w:gridCol w:w="1108"/>
              <w:gridCol w:w="1108"/>
              <w:gridCol w:w="1504"/>
              <w:gridCol w:w="1425"/>
            </w:tblGrid>
            <w:tr>
              <w:trPr>
                <w:tblHeader w:val="true"/>
              </w:trPr>
              <w:tc>
                <w:tcPr/>
                <w:p>
                  <w:pPr>
                    <w:pStyle w:val="Compact"/>
                    <w:jc w:val="left"/>
                    <w:jc w:val="left"/>
                  </w:pPr>
                  <w:r>
                    <w:t xml:space="preserve">Shift</w:t>
                  </w:r>
                </w:p>
              </w:tc>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Mean degree</w:t>
                  </w:r>
                </w:p>
              </w:tc>
              <w:tc>
                <w:tcPr/>
                <w:p>
                  <w:pPr>
                    <w:pStyle w:val="Compact"/>
                    <w:jc w:val="left"/>
                    <w:jc w:val="left"/>
                  </w:pPr>
                  <w:r>
                    <w:t xml:space="preserve">Modularity</w:t>
                  </w:r>
                </w:p>
              </w:tc>
            </w:tr>
            <w:tr>
              <w:tc>
                <w:tcPr/>
                <w:p>
                  <w:pPr>
                    <w:pStyle w:val="Compact"/>
                    <w:jc w:val="left"/>
                    <w:jc w:val="left"/>
                  </w:pPr>
                  <w:r>
                    <w:t xml:space="preserve">Baseline</w:t>
                  </w:r>
                </w:p>
              </w:tc>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7.50</w:t>
                  </w:r>
                </w:p>
              </w:tc>
              <w:tc>
                <w:tcPr/>
                <w:p>
                  <w:pPr>
                    <w:pStyle w:val="Compact"/>
                    <w:jc w:val="left"/>
                    <w:jc w:val="left"/>
                  </w:pPr>
                  <w:r>
                    <w:t xml:space="preserve">0.336</w:t>
                  </w:r>
                </w:p>
              </w:tc>
            </w:tr>
            <w:tr>
              <w:tc>
                <w:tcPr/>
                <w:p>
                  <w:pPr>
                    <w:pStyle w:val="Compact"/>
                    <w:jc w:val="left"/>
                    <w:jc w:val="left"/>
                  </w:pPr>
                  <w:r>
                    <w:t xml:space="preserve">Baseline</w:t>
                  </w:r>
                </w:p>
              </w:tc>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4.22</w:t>
                  </w:r>
                </w:p>
              </w:tc>
              <w:tc>
                <w:tcPr/>
                <w:p>
                  <w:pPr>
                    <w:pStyle w:val="Compact"/>
                    <w:jc w:val="left"/>
                    <w:jc w:val="left"/>
                  </w:pPr>
                  <w:r>
                    <w:t xml:space="preserve">0.161</w:t>
                  </w:r>
                </w:p>
              </w:tc>
            </w:tr>
            <w:tr>
              <w:tc>
                <w:tcPr/>
                <w:p>
                  <w:pPr>
                    <w:pStyle w:val="Compact"/>
                    <w:jc w:val="left"/>
                    <w:jc w:val="left"/>
                  </w:pPr>
                  <w:r>
                    <w:t xml:space="preserve">P1/P2 +1000</w:t>
                  </w:r>
                </w:p>
              </w:tc>
              <w:tc>
                <w:tcPr/>
                <w:p>
                  <w:pPr>
                    <w:pStyle w:val="Compact"/>
                    <w:jc w:val="left"/>
                    <w:jc w:val="left"/>
                  </w:pPr>
                  <w:r>
                    <w:t xml:space="preserve">Aur-P1</w:t>
                  </w:r>
                </w:p>
              </w:tc>
              <w:tc>
                <w:tcPr/>
                <w:p>
                  <w:pPr>
                    <w:pStyle w:val="Compact"/>
                    <w:jc w:val="left"/>
                    <w:jc w:val="left"/>
                  </w:pPr>
                  <w:r>
                    <w:t xml:space="preserve">16</w:t>
                  </w:r>
                </w:p>
              </w:tc>
              <w:tc>
                <w:tcPr/>
                <w:p>
                  <w:pPr>
                    <w:pStyle w:val="Compact"/>
                    <w:jc w:val="left"/>
                    <w:jc w:val="left"/>
                  </w:pPr>
                  <w:r>
                    <w:t xml:space="preserve">53</w:t>
                  </w:r>
                </w:p>
              </w:tc>
              <w:tc>
                <w:tcPr/>
                <w:p>
                  <w:pPr>
                    <w:pStyle w:val="Compact"/>
                    <w:jc w:val="left"/>
                    <w:jc w:val="left"/>
                  </w:pPr>
                  <w:r>
                    <w:t xml:space="preserve">6.62</w:t>
                  </w:r>
                </w:p>
              </w:tc>
              <w:tc>
                <w:tcPr/>
                <w:p>
                  <w:pPr>
                    <w:pStyle w:val="Compact"/>
                    <w:jc w:val="left"/>
                    <w:jc w:val="left"/>
                  </w:pPr>
                  <w:r>
                    <w:t xml:space="preserve">0.343</w:t>
                  </w:r>
                </w:p>
              </w:tc>
            </w:tr>
            <w:tr>
              <w:tc>
                <w:tcPr/>
                <w:p>
                  <w:pPr>
                    <w:pStyle w:val="Compact"/>
                    <w:jc w:val="left"/>
                    <w:jc w:val="left"/>
                  </w:pPr>
                  <w:r>
                    <w:t xml:space="preserve">P1/P2 +1000</w:t>
                  </w:r>
                </w:p>
              </w:tc>
              <w:tc>
                <w:tcPr/>
                <w:p>
                  <w:pPr>
                    <w:pStyle w:val="Compact"/>
                    <w:jc w:val="left"/>
                    <w:jc w:val="left"/>
                  </w:pPr>
                  <w:r>
                    <w:t xml:space="preserve">Aur-P2</w:t>
                  </w:r>
                </w:p>
              </w:tc>
              <w:tc>
                <w:tcPr/>
                <w:p>
                  <w:pPr>
                    <w:pStyle w:val="Compact"/>
                    <w:jc w:val="left"/>
                    <w:jc w:val="left"/>
                  </w:pPr>
                  <w:r>
                    <w:t xml:space="preserve">13</w:t>
                  </w:r>
                </w:p>
              </w:tc>
              <w:tc>
                <w:tcPr/>
                <w:p>
                  <w:pPr>
                    <w:pStyle w:val="Compact"/>
                    <w:jc w:val="left"/>
                    <w:jc w:val="left"/>
                  </w:pPr>
                  <w:r>
                    <w:t xml:space="preserve">32</w:t>
                  </w:r>
                </w:p>
              </w:tc>
              <w:tc>
                <w:tcPr/>
                <w:p>
                  <w:pPr>
                    <w:pStyle w:val="Compact"/>
                    <w:jc w:val="left"/>
                    <w:jc w:val="left"/>
                  </w:pPr>
                  <w:r>
                    <w:t xml:space="preserve">4.92</w:t>
                  </w:r>
                </w:p>
              </w:tc>
              <w:tc>
                <w:tcPr/>
                <w:p>
                  <w:pPr>
                    <w:pStyle w:val="Compact"/>
                    <w:jc w:val="left"/>
                    <w:jc w:val="left"/>
                  </w:pPr>
                  <w:r>
                    <w:t xml:space="preserve">0.200</w:t>
                  </w:r>
                </w:p>
              </w:tc>
            </w:tr>
            <w:tr>
              <w:tc>
                <w:tcPr/>
                <w:p>
                  <w:pPr>
                    <w:pStyle w:val="Compact"/>
                    <w:jc w:val="left"/>
                    <w:jc w:val="left"/>
                  </w:pPr>
                  <w:r>
                    <w:t xml:space="preserve">P1/P2 +500</w:t>
                  </w:r>
                </w:p>
              </w:tc>
              <w:tc>
                <w:tcPr/>
                <w:p>
                  <w:pPr>
                    <w:pStyle w:val="Compact"/>
                    <w:jc w:val="left"/>
                    <w:jc w:val="left"/>
                  </w:pPr>
                  <w:r>
                    <w:t xml:space="preserve">Aur-P1</w:t>
                  </w:r>
                </w:p>
              </w:tc>
              <w:tc>
                <w:tcPr/>
                <w:p>
                  <w:pPr>
                    <w:pStyle w:val="Compact"/>
                    <w:jc w:val="left"/>
                    <w:jc w:val="left"/>
                  </w:pPr>
                  <w:r>
                    <w:t xml:space="preserve">19</w:t>
                  </w:r>
                </w:p>
              </w:tc>
              <w:tc>
                <w:tcPr/>
                <w:p>
                  <w:pPr>
                    <w:pStyle w:val="Compact"/>
                    <w:jc w:val="left"/>
                    <w:jc w:val="left"/>
                  </w:pPr>
                  <w:r>
                    <w:t xml:space="preserve">66</w:t>
                  </w:r>
                </w:p>
              </w:tc>
              <w:tc>
                <w:tcPr/>
                <w:p>
                  <w:pPr>
                    <w:pStyle w:val="Compact"/>
                    <w:jc w:val="left"/>
                    <w:jc w:val="left"/>
                  </w:pPr>
                  <w:r>
                    <w:t xml:space="preserve">6.95</w:t>
                  </w:r>
                </w:p>
              </w:tc>
              <w:tc>
                <w:tcPr/>
                <w:p>
                  <w:pPr>
                    <w:pStyle w:val="Compact"/>
                    <w:jc w:val="left"/>
                    <w:jc w:val="left"/>
                  </w:pPr>
                  <w:r>
                    <w:t xml:space="preserve">0.330</w:t>
                  </w:r>
                </w:p>
              </w:tc>
            </w:tr>
            <w:tr>
              <w:tc>
                <w:tcPr/>
                <w:p>
                  <w:pPr>
                    <w:pStyle w:val="Compact"/>
                    <w:jc w:val="left"/>
                    <w:jc w:val="left"/>
                  </w:pPr>
                  <w:r>
                    <w:t xml:space="preserve">P1/P2 +500</w:t>
                  </w:r>
                </w:p>
              </w:tc>
              <w:tc>
                <w:tcPr/>
                <w:p>
                  <w:pPr>
                    <w:pStyle w:val="Compact"/>
                    <w:jc w:val="left"/>
                    <w:jc w:val="left"/>
                  </w:pPr>
                  <w:r>
                    <w:t xml:space="preserve">Aur-P2</w:t>
                  </w:r>
                </w:p>
              </w:tc>
              <w:tc>
                <w:tcPr/>
                <w:p>
                  <w:pPr>
                    <w:pStyle w:val="Compact"/>
                    <w:jc w:val="left"/>
                    <w:jc w:val="left"/>
                  </w:pPr>
                  <w:r>
                    <w:t xml:space="preserve">10</w:t>
                  </w:r>
                </w:p>
              </w:tc>
              <w:tc>
                <w:tcPr/>
                <w:p>
                  <w:pPr>
                    <w:pStyle w:val="Compact"/>
                    <w:jc w:val="left"/>
                    <w:jc w:val="left"/>
                  </w:pPr>
                  <w:r>
                    <w:t xml:space="preserve">24</w:t>
                  </w:r>
                </w:p>
              </w:tc>
              <w:tc>
                <w:tcPr/>
                <w:p>
                  <w:pPr>
                    <w:pStyle w:val="Compact"/>
                    <w:jc w:val="left"/>
                    <w:jc w:val="left"/>
                  </w:pPr>
                  <w:r>
                    <w:t xml:space="preserve">4.80</w:t>
                  </w:r>
                </w:p>
              </w:tc>
              <w:tc>
                <w:tcPr/>
                <w:p>
                  <w:pPr>
                    <w:pStyle w:val="Compact"/>
                    <w:jc w:val="left"/>
                    <w:jc w:val="left"/>
                  </w:pPr>
                  <w:r>
                    <w:t xml:space="preserve">0.171</w:t>
                  </w:r>
                </w:p>
              </w:tc>
            </w:tr>
            <w:tr>
              <w:tc>
                <w:tcPr/>
                <w:p>
                  <w:pPr>
                    <w:pStyle w:val="Compact"/>
                    <w:jc w:val="left"/>
                    <w:jc w:val="left"/>
                  </w:pPr>
                  <w:r>
                    <w:t xml:space="preserve">P1/P2 -1000</w:t>
                  </w:r>
                </w:p>
              </w:tc>
              <w:tc>
                <w:tcPr/>
                <w:p>
                  <w:pPr>
                    <w:pStyle w:val="Compact"/>
                    <w:jc w:val="left"/>
                    <w:jc w:val="left"/>
                  </w:pPr>
                  <w:r>
                    <w:t xml:space="preserve">Aur-P1</w:t>
                  </w:r>
                </w:p>
              </w:tc>
              <w:tc>
                <w:tcPr/>
                <w:p>
                  <w:pPr>
                    <w:pStyle w:val="Compact"/>
                    <w:jc w:val="left"/>
                    <w:jc w:val="left"/>
                  </w:pPr>
                  <w:r>
                    <w:t xml:space="preserve">21</w:t>
                  </w:r>
                </w:p>
              </w:tc>
              <w:tc>
                <w:tcPr/>
                <w:p>
                  <w:pPr>
                    <w:pStyle w:val="Compact"/>
                    <w:jc w:val="left"/>
                    <w:jc w:val="left"/>
                  </w:pPr>
                  <w:r>
                    <w:t xml:space="preserve">82</w:t>
                  </w:r>
                </w:p>
              </w:tc>
              <w:tc>
                <w:tcPr/>
                <w:p>
                  <w:pPr>
                    <w:pStyle w:val="Compact"/>
                    <w:jc w:val="left"/>
                    <w:jc w:val="left"/>
                  </w:pPr>
                  <w:r>
                    <w:t xml:space="preserve">7.81</w:t>
                  </w:r>
                </w:p>
              </w:tc>
              <w:tc>
                <w:tcPr/>
                <w:p>
                  <w:pPr>
                    <w:pStyle w:val="Compact"/>
                    <w:jc w:val="left"/>
                    <w:jc w:val="left"/>
                  </w:pPr>
                  <w:r>
                    <w:t xml:space="preserve">0.332</w:t>
                  </w:r>
                </w:p>
              </w:tc>
            </w:tr>
            <w:tr>
              <w:tc>
                <w:tcPr/>
                <w:p>
                  <w:pPr>
                    <w:pStyle w:val="Compact"/>
                    <w:jc w:val="left"/>
                    <w:jc w:val="left"/>
                  </w:pPr>
                  <w:r>
                    <w:t xml:space="preserve">P1/P2 -1000</w:t>
                  </w:r>
                </w:p>
              </w:tc>
              <w:tc>
                <w:tcPr/>
                <w:p>
                  <w:pPr>
                    <w:pStyle w:val="Compact"/>
                    <w:jc w:val="left"/>
                    <w:jc w:val="left"/>
                  </w:pPr>
                  <w:r>
                    <w:t xml:space="preserve">Aur-P2</w:t>
                  </w:r>
                </w:p>
              </w:tc>
              <w:tc>
                <w:tcPr/>
                <w:p>
                  <w:pPr>
                    <w:pStyle w:val="Compact"/>
                    <w:jc w:val="left"/>
                    <w:jc w:val="left"/>
                  </w:pPr>
                  <w:r>
                    <w:t xml:space="preserve">8</w:t>
                  </w:r>
                </w:p>
              </w:tc>
              <w:tc>
                <w:tcPr/>
                <w:p>
                  <w:pPr>
                    <w:pStyle w:val="Compact"/>
                    <w:jc w:val="left"/>
                    <w:jc w:val="left"/>
                  </w:pPr>
                  <w:r>
                    <w:t xml:space="preserve">15</w:t>
                  </w:r>
                </w:p>
              </w:tc>
              <w:tc>
                <w:tcPr/>
                <w:p>
                  <w:pPr>
                    <w:pStyle w:val="Compact"/>
                    <w:jc w:val="left"/>
                    <w:jc w:val="left"/>
                  </w:pPr>
                  <w:r>
                    <w:t xml:space="preserve">3.75</w:t>
                  </w:r>
                </w:p>
              </w:tc>
              <w:tc>
                <w:tcPr/>
                <w:p>
                  <w:pPr>
                    <w:pStyle w:val="Compact"/>
                    <w:jc w:val="left"/>
                    <w:jc w:val="left"/>
                  </w:pPr>
                  <w:r>
                    <w:t xml:space="preserve">0.154</w:t>
                  </w:r>
                </w:p>
              </w:tc>
            </w:tr>
            <w:tr>
              <w:tc>
                <w:tcPr/>
                <w:p>
                  <w:pPr>
                    <w:pStyle w:val="Compact"/>
                    <w:jc w:val="left"/>
                    <w:jc w:val="left"/>
                  </w:pPr>
                  <w:r>
                    <w:t xml:space="preserve">P1/P2 -500</w:t>
                  </w:r>
                </w:p>
              </w:tc>
              <w:tc>
                <w:tcPr/>
                <w:p>
                  <w:pPr>
                    <w:pStyle w:val="Compact"/>
                    <w:jc w:val="left"/>
                    <w:jc w:val="left"/>
                  </w:pPr>
                  <w:r>
                    <w:t xml:space="preserve">Aur-P1</w:t>
                  </w:r>
                </w:p>
              </w:tc>
              <w:tc>
                <w:tcPr/>
                <w:p>
                  <w:pPr>
                    <w:pStyle w:val="Compact"/>
                    <w:jc w:val="left"/>
                    <w:jc w:val="left"/>
                  </w:pPr>
                  <w:r>
                    <w:t xml:space="preserve">21</w:t>
                  </w:r>
                </w:p>
              </w:tc>
              <w:tc>
                <w:tcPr/>
                <w:p>
                  <w:pPr>
                    <w:pStyle w:val="Compact"/>
                    <w:jc w:val="left"/>
                    <w:jc w:val="left"/>
                  </w:pPr>
                  <w:r>
                    <w:t xml:space="preserve">82</w:t>
                  </w:r>
                </w:p>
              </w:tc>
              <w:tc>
                <w:tcPr/>
                <w:p>
                  <w:pPr>
                    <w:pStyle w:val="Compact"/>
                    <w:jc w:val="left"/>
                    <w:jc w:val="left"/>
                  </w:pPr>
                  <w:r>
                    <w:t xml:space="preserve">7.81</w:t>
                  </w:r>
                </w:p>
              </w:tc>
              <w:tc>
                <w:tcPr/>
                <w:p>
                  <w:pPr>
                    <w:pStyle w:val="Compact"/>
                    <w:jc w:val="left"/>
                    <w:jc w:val="left"/>
                  </w:pPr>
                  <w:r>
                    <w:t xml:space="preserve">0.332</w:t>
                  </w:r>
                </w:p>
              </w:tc>
            </w:tr>
            <w:tr>
              <w:tc>
                <w:tcPr/>
                <w:p>
                  <w:pPr>
                    <w:pStyle w:val="Compact"/>
                    <w:jc w:val="left"/>
                    <w:jc w:val="left"/>
                  </w:pPr>
                  <w:r>
                    <w:t xml:space="preserve">P1/P2 -500</w:t>
                  </w:r>
                </w:p>
              </w:tc>
              <w:tc>
                <w:tcPr/>
                <w:p>
                  <w:pPr>
                    <w:pStyle w:val="Compact"/>
                    <w:jc w:val="left"/>
                    <w:jc w:val="left"/>
                  </w:pPr>
                  <w:r>
                    <w:t xml:space="preserve">Aur-P2</w:t>
                  </w:r>
                </w:p>
              </w:tc>
              <w:tc>
                <w:tcPr/>
                <w:p>
                  <w:pPr>
                    <w:pStyle w:val="Compact"/>
                    <w:jc w:val="left"/>
                    <w:jc w:val="left"/>
                  </w:pPr>
                  <w:r>
                    <w:t xml:space="preserve">8</w:t>
                  </w:r>
                </w:p>
              </w:tc>
              <w:tc>
                <w:tcPr/>
                <w:p>
                  <w:pPr>
                    <w:pStyle w:val="Compact"/>
                    <w:jc w:val="left"/>
                    <w:jc w:val="left"/>
                  </w:pPr>
                  <w:r>
                    <w:t xml:space="preserve">15</w:t>
                  </w:r>
                </w:p>
              </w:tc>
              <w:tc>
                <w:tcPr/>
                <w:p>
                  <w:pPr>
                    <w:pStyle w:val="Compact"/>
                    <w:jc w:val="left"/>
                    <w:jc w:val="left"/>
                  </w:pPr>
                  <w:r>
                    <w:t xml:space="preserve">3.75</w:t>
                  </w:r>
                </w:p>
              </w:tc>
              <w:tc>
                <w:tcPr/>
                <w:p>
                  <w:pPr>
                    <w:pStyle w:val="Compact"/>
                    <w:jc w:val="left"/>
                    <w:jc w:val="left"/>
                  </w:pPr>
                  <w:r>
                    <w:t xml:space="preserve">0.154</w:t>
                  </w:r>
                </w:p>
              </w:tc>
            </w:tr>
          </w:tbl>
          <w:p>
            <w:pPr>
              <w:jc w:val="left"/>
            </w:pPr>
            <w:pPr>
              <w:jc w:val="start"/>
              <w:spacing w:before="200"/>
              <w:pStyle w:val="ImageCaption"/>
            </w:pPr>
            <w:r>
              <w:t xml:space="preserve">Table N. Network statistics at the baseline threshold of 0.2 under shifts of the single Aur-P1/Aur-P2 boundary. Positive shifts move the boundary later (older objects reassigned to Aur-P2); negative shifts move it earlier (younger Aur-P2 objects reassigned to Aur-P1).</w:t>
            </w:r>
          </w:p>
          <w:bookmarkEnd w:id="90"/>
        </w:tc>
      </w:tr>
    </w:tbl>
    <w:bookmarkEnd w:id="91"/>
    <w:bookmarkStart w:id="92" w:name="interpretation-3"/>
    <w:p>
      <w:pPr>
        <w:pStyle w:val="Heading3"/>
      </w:pPr>
      <w:r>
        <w:t xml:space="preserve">Interpretation</w:t>
      </w:r>
    </w:p>
    <w:p>
      <w:pPr>
        <w:pStyle w:val="FirstParagraph"/>
      </w:pPr>
      <w:r>
        <w:rPr>
          <w:bCs/>
          <w:b/>
        </w:rPr>
        <w:t xml:space="preserve">Question: which sites and objects lie close enough to the boundary to change phase when it shifts?</w:t>
      </w:r>
      <w:r>
        <w:t xml:space="preserve"> </w:t>
      </w:r>
      <w:r>
        <w:t xml:space="preserve">85 objects from 7 sites fall within ±1000 calibrated years of the boundary at 37799 cal BP, and 33 objects from 3 sites within ±500 years. The sites closest to the boundary are Hohle Fels (MedianBP 37683, just 116 years below the threshold) and Vindija Cave (37615, 184 years below), while the closest site above the threshold is Blanchard (38235, 436 years above). Because only an upward shift can transfer sites into Aur-P2, and only a downward shift into Aur-P1, the reassignments are asymmetric: a downward shift of 500 years moves Vindija Cave from Aur-P2 to Aur-P1 (the only Aur-P2 site within reach), while an upward shift of 500 years moves Blanchard into Aur-P2 and an upward shift of 1000 years additionally moves Cellier, Trou al’Wesse, and Grottes de Fonds-de-Forêt. Hohle Fels lies just below the boundary, but its near-boundary objects belong to AH IV, which the technology-based override fixes in Aur-P2 (its Aur-P1 horizon, AH V, is well above the boundary), so it does not change phase under any shift. The boundary-sensitive sites are therefore few and, apart from Cellier (28 objects) and Blanchard (18 objects), small.</w:t>
      </w:r>
    </w:p>
    <w:p>
      <w:pPr>
        <w:pStyle w:val="BodyText"/>
      </w:pPr>
      <w:r>
        <w:rPr>
          <w:bCs/>
          <w:b/>
        </w:rPr>
        <w:t xml:space="preserve">Question: does the Aur-P1 greater than Aur-P2 raw mean-degree ordering survive shifts of plus or minus 500 and 1000 years?</w:t>
      </w:r>
      <w:r>
        <w:t xml:space="preserve"> </w:t>
      </w:r>
      <w:r>
        <w:t xml:space="preserve">Yes. The independent-shift analysis shifts the single P1/P2 boundary while holding the technology-based overrides fixed. Across the four shifts tested, the Aur-P1 mean degree ranges from 6.62–7.81 and Aur-P2 from 3.75–4.92. The Aur-P1 &gt; Aur-P2 raw mean-degree ordering is preserved in all 4 shifts: a downward shift adds Vindija Cave to Aur-P1, raising its mean degree to 7.81 (82 edges) while shrinking Aur-P2 to 8 sites (mean degree 3.75); an upward shift transfers sites the other way, with Aur-P1 at 16 sites after the ±1000 year shift yet still averaging 6.62, above Aur-P2’s 4.92. Modularity is stable: Aur-P1 ranges from 0.330 to 0.343 across shifts (baseline 0.336) and Aur-P2 from 0.154 to 0.200 (baseline 0.161), indicating that the community structure in both phases is not sensitive to boundary placement.</w:t>
      </w:r>
    </w:p>
    <w:p>
      <w:pPr>
        <w:pStyle w:val="BodyText"/>
      </w:pPr>
      <w:r>
        <w:rPr>
          <w:bCs/>
          <w:b/>
        </w:rPr>
        <w:t xml:space="preserve">Implication for the main text.</w:t>
      </w:r>
      <w:r>
        <w:t xml:space="preserve"> </w:t>
      </w:r>
      <w:r>
        <w:t xml:space="preserve">The two-phase results are robust to the placement of the single periodisation boundary. Shifting it by ±1000 calibrated years moves at most 5 sites between phases (Vindija Cave into Aur-P1; Blanchard, Cellier, Trou al’Wesse, and Grottes de Fonds-de-Forêt into Aur-P2), and in every scenario Aur-P1 retains both more sites and a higher mean degree than Aur-P2. The boundary values reported here do not change the main text claim that the phases do not differ in size-adjusted network statistics (</w:t>
      </w:r>
      <w:r>
        <w:t xml:space="preserve">Section S1.7.6</w:t>
      </w:r>
      <w:r>
        <w:t xml:space="preserve">;</w:t>
      </w:r>
      <w:r>
        <w:t xml:space="preserve"> </w:t>
      </w:r>
      <w:r>
        <w:t xml:space="preserve">Section S1.13</w:t>
      </w:r>
      <w:r>
        <w:t xml:space="preserve">).</w:t>
      </w:r>
    </w:p>
    <w:bookmarkEnd w:id="92"/>
    <w:bookmarkEnd w:id="93"/>
    <w:bookmarkStart w:id="99" w:name="sec-s5-5"/>
    <w:p>
      <w:pPr>
        <w:pStyle w:val="Heading2"/>
      </w:pPr>
      <w:r>
        <w:t xml:space="preserve">S1.5.5 Technological versus date-based assignment</w:t>
      </w:r>
    </w:p>
    <w:bookmarkStart w:id="94" w:name="rationale-5"/>
    <w:p>
      <w:pPr>
        <w:pStyle w:val="Heading3"/>
      </w:pPr>
      <w:r>
        <w:t xml:space="preserve">Rationale</w:t>
      </w:r>
    </w:p>
    <w:p>
      <w:pPr>
        <w:pStyle w:val="FirstParagraph"/>
      </w:pPr>
      <w:r>
        <w:t xml:space="preserve">The main analysis assigns each site to a phase (Aur-P1/Aur-P2) using specialist technological attributions from the published literature, supplemented by calibrated radiocarbon dates, as detailed in the</w:t>
      </w:r>
      <w:r>
        <w:t xml:space="preserve"> </w:t>
      </w:r>
      <w:r>
        <w:t xml:space="preserve">“</w:t>
      </w:r>
      <w:r>
        <w:t xml:space="preserve">Site Phase Assignments</w:t>
      </w:r>
      <w:r>
        <w:t xml:space="preserve">”</w:t>
      </w:r>
      <w:r>
        <w:t xml:space="preserve"> </w:t>
      </w:r>
      <w:r>
        <w:t xml:space="preserve">supplementary item. Recent specialist reassessments demonstrate that radiocarbon dates alone are insufficient for phase attribution, and that the archaeological content of layers should take precedence:</w:t>
      </w:r>
    </w:p>
    <w:p>
      <w:pPr>
        <w:numPr>
          <w:ilvl w:val="0"/>
          <w:numId w:val="1004"/>
        </w:numPr>
        <w:pStyle w:val="Compact"/>
      </w:pPr>
      <w:r>
        <w:rPr>
          <w:bCs/>
          <w:b/>
        </w:rPr>
        <w:t xml:space="preserve">Abri Pataud</w:t>
      </w:r>
      <w:r>
        <w:t xml:space="preserve">: The lithic technology in levels 14–9 (carinated scraper bladelet cores, dual reduction systems) is diagnostic of the Early Aurignacian (Aur-P1), not the Proto-Aurignacian, despite basal dates of ~41,200–39,500 cal BP that fall within the Proto-Aurignacian range</w:t>
      </w:r>
      <w:r>
        <w:t xml:space="preserve"> </w:t>
      </w:r>
      <w:r>
        <w:t xml:space="preserve">[5,6]</w:t>
      </w:r>
      <w:r>
        <w:t xml:space="preserve">. The site is classified as Aurignacian I (Early) in the Périgord sequence.</w:t>
      </w:r>
    </w:p>
    <w:p>
      <w:pPr>
        <w:numPr>
          <w:ilvl w:val="0"/>
          <w:numId w:val="1004"/>
        </w:numPr>
        <w:pStyle w:val="Compact"/>
      </w:pPr>
      <w:r>
        <w:rPr>
          <w:bCs/>
          <w:b/>
        </w:rPr>
        <w:t xml:space="preserve">La Ferrassie</w:t>
      </w:r>
      <w:r>
        <w:t xml:space="preserve">: The Aurignacian at La Ferrassie begins in Layer 7, directly overlying the Châtelperronian (Layer 6). Talamo et al.</w:t>
      </w:r>
      <w:r>
        <w:t xml:space="preserve"> </w:t>
      </w:r>
      <w:r>
        <w:t xml:space="preserve">[7]</w:t>
      </w:r>
      <w:r>
        <w:t xml:space="preserve"> </w:t>
      </w:r>
      <w:r>
        <w:t xml:space="preserve">classify this as Early Aurignacian (Aur-P1) based on carinated scrapers and wide Aurignacian blades. No split-base bone points (Proto-Aurignacian diagnostic) were found</w:t>
      </w:r>
      <w:r>
        <w:t xml:space="preserve"> </w:t>
      </w:r>
      <w:r>
        <w:t xml:space="preserve">[7,8]</w:t>
      </w:r>
      <w:r>
        <w:t xml:space="preserve">. Layer 7b has mixed Early and Late Aurignacian components.</w:t>
      </w:r>
    </w:p>
    <w:p>
      <w:pPr>
        <w:numPr>
          <w:ilvl w:val="0"/>
          <w:numId w:val="1004"/>
        </w:numPr>
        <w:pStyle w:val="Compact"/>
      </w:pPr>
      <w:r>
        <w:rPr>
          <w:bCs/>
          <w:b/>
        </w:rPr>
        <w:t xml:space="preserve">Mladeč</w:t>
      </w:r>
      <w:r>
        <w:t xml:space="preserve">: The ~20 lithic artifacts include only one carinated end scraper. The 40 bone points with massive bases (</w:t>
      </w:r>
      <w:r>
        <w:t xml:space="preserve">“</w:t>
      </w:r>
      <w:r>
        <w:t xml:space="preserve">Mladeč-type</w:t>
      </w:r>
      <w:r>
        <w:t xml:space="preserve">”</w:t>
      </w:r>
      <w:r>
        <w:t xml:space="preserve">) lack split bases and occur stratigraphically above split-based points at other Central European sites, placing them in the Evolved Aurignacian (Aur-P2)</w:t>
      </w:r>
      <w:r>
        <w:t xml:space="preserve"> </w:t>
      </w:r>
      <w:r>
        <w:t xml:space="preserve">[9]</w:t>
      </w:r>
      <w:r>
        <w:t xml:space="preserve">. Direct dates of ~31 ka ¹⁴C BP (~35–36 ka cal BP) are too young for Proto-Aurignacian</w:t>
      </w:r>
      <w:r>
        <w:t xml:space="preserve"> </w:t>
      </w:r>
      <w:r>
        <w:t xml:space="preserve">[10]</w:t>
      </w:r>
      <w:r>
        <w:t xml:space="preserve">.</w:t>
      </w:r>
    </w:p>
    <w:p>
      <w:pPr>
        <w:numPr>
          <w:ilvl w:val="0"/>
          <w:numId w:val="1004"/>
        </w:numPr>
        <w:pStyle w:val="Compact"/>
      </w:pPr>
      <w:r>
        <w:rPr>
          <w:bCs/>
          <w:b/>
        </w:rPr>
        <w:t xml:space="preserve">Vogelherd</w:t>
      </w:r>
      <w:r>
        <w:t xml:space="preserve">: Riek’s 1931 excavation removed 500 m³ in 12 weeks with no screening, using large horizontal spits that did not follow geological horizons. Documented mixing includes 38 refit connections between Aurignacian layers IV and V, Neolithic burials disturbing the southwestern area, and ~2–3% of tools in the Aurignacian layers potentially deriving from other periods</w:t>
      </w:r>
      <w:r>
        <w:t xml:space="preserve"> </w:t>
      </w:r>
      <w:r>
        <w:t xml:space="preserve">[11]</w:t>
      </w:r>
      <w:r>
        <w:t xml:space="preserve">.</w:t>
      </w:r>
    </w:p>
    <w:p>
      <w:pPr>
        <w:pStyle w:val="FirstParagraph"/>
      </w:pPr>
      <w:r>
        <w:t xml:space="preserve">Because these attributions are important for the two-phase framework, this section tests the sensitivity of the network results to (A) reverting to a purely date-based assignment, in which each object is assigned to a phase by its calibrated date alone, (B) excluding Vogelherd entirely, given its documented stratigraphic mixing, and (C) excluding Hohle Fels entirely, because it is the only site assigned to both phases and it holds nearly half of the Aur-P2 objects. This section answers three specific questions:</w:t>
      </w:r>
    </w:p>
    <w:p>
      <w:pPr>
        <w:pStyle w:val="BodyText"/>
      </w:pPr>
      <w:r>
        <w:rPr>
          <w:bCs/>
          <w:b/>
        </w:rPr>
        <w:t xml:space="preserve">Question: does the Aur-P1 greater than Aur-P2 raw mean-degree ordering survive under purely date-based assignment?</w:t>
      </w:r>
    </w:p>
    <w:p>
      <w:pPr>
        <w:pStyle w:val="BodyText"/>
      </w:pPr>
      <w:r>
        <w:rPr>
          <w:bCs/>
          <w:b/>
        </w:rPr>
        <w:t xml:space="preserve">Question: does the Aur-P1 greater than Aur-P2 raw mean-degree ordering survive when Vogelherd is excluded entirely?</w:t>
      </w:r>
    </w:p>
    <w:p>
      <w:pPr>
        <w:pStyle w:val="BodyText"/>
      </w:pPr>
      <w:r>
        <w:rPr>
          <w:bCs/>
          <w:b/>
        </w:rPr>
        <w:t xml:space="preserve">Question: does the Aur-P1 greater than Aur-P2 raw mean-degree ordering survive when Hohle Fels is excluded entirely?</w:t>
      </w:r>
    </w:p>
    <w:bookmarkEnd w:id="94"/>
    <w:bookmarkStart w:id="97" w:name="analysis-1"/>
    <w:p>
      <w:pPr>
        <w:pStyle w:val="Heading3"/>
      </w:pPr>
      <w:r>
        <w:t xml:space="preserve">Analysis</w:t>
      </w:r>
    </w:p>
    <w:tbl>
      <w:tblPr>
        <w:tblStyle w:val="Table"/>
        <w:tblW w:type="pct" w:w="5000"/>
        <w:tblLook w:firstRow="0" w:lastRow="0" w:firstColumn="0" w:lastColumn="0" w:noHBand="0" w:noVBand="0" w:val="0000"/>
        <w:jc w:val="start"/>
        <w:tblLayout w:type="fixed"/>
      </w:tblPr>
      <w:tblGrid>
        <w:gridCol w:w="7920"/>
      </w:tblGrid>
      <w:tr>
        <w:tc>
          <w:tcPr/>
          <w:bookmarkStart w:id="95" w:name="tbl-reclass-comparison"/>
          <w:tbl>
            <w:tblPr>
              <w:tblStyle w:val="Table"/>
              <w:tblW w:type="pct" w:w="5000"/>
              <w:tblLook w:firstRow="1" w:lastRow="0" w:firstColumn="0" w:lastColumn="0" w:noHBand="0" w:noVBand="0" w:val="0020"/>
              <w:jc w:val="start"/>
              <w:tblLayout w:type="fixed"/>
            </w:tblPr>
            <w:tblGrid>
              <w:gridCol w:w="871"/>
              <w:gridCol w:w="1900"/>
              <w:gridCol w:w="633"/>
              <w:gridCol w:w="633"/>
              <w:gridCol w:w="712"/>
              <w:gridCol w:w="950"/>
              <w:gridCol w:w="1108"/>
              <w:gridCol w:w="1108"/>
            </w:tblGrid>
            <w:tr>
              <w:trPr>
                <w:tblHeader w:val="true"/>
              </w:trPr>
              <w:tc>
                <w:tcPr/>
                <w:p>
                  <w:pPr>
                    <w:pStyle w:val="Compact"/>
                    <w:jc w:val="left"/>
                    <w:jc w:val="left"/>
                  </w:pPr>
                  <w:r>
                    <w:t xml:space="preserve">Phase</w:t>
                  </w:r>
                </w:p>
              </w:tc>
              <w:tc>
                <w:tcPr/>
                <w:p>
                  <w:pPr>
                    <w:pStyle w:val="Compact"/>
                    <w:jc w:val="left"/>
                    <w:jc w:val="left"/>
                  </w:pPr>
                  <w:r>
                    <w:t xml:space="preserve">Condition</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r>
            <w:tr>
              <w:tc>
                <w:tcPr/>
                <w:p>
                  <w:pPr>
                    <w:pStyle w:val="Compact"/>
                    <w:jc w:val="left"/>
                    <w:jc w:val="left"/>
                  </w:pPr>
                  <w:r>
                    <w:t xml:space="preserve">Aur-P1</w:t>
                  </w:r>
                </w:p>
              </w:tc>
              <w:tc>
                <w:tcPr/>
                <w:p>
                  <w:pPr>
                    <w:pStyle w:val="Compact"/>
                    <w:jc w:val="left"/>
                    <w:jc w:val="left"/>
                  </w:pPr>
                  <w:r>
                    <w:t xml:space="preserve">Baseline (technology-based)</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r>
            <w:tr>
              <w:tc>
                <w:tcPr/>
                <w:p>
                  <w:pPr>
                    <w:pStyle w:val="Compact"/>
                    <w:jc w:val="left"/>
                    <w:jc w:val="left"/>
                  </w:pPr>
                  <w:r>
                    <w:t xml:space="preserve">Aur-P2</w:t>
                  </w:r>
                </w:p>
              </w:tc>
              <w:tc>
                <w:tcPr/>
                <w:p>
                  <w:pPr>
                    <w:pStyle w:val="Compact"/>
                    <w:jc w:val="left"/>
                    <w:jc w:val="left"/>
                  </w:pPr>
                  <w:r>
                    <w:t xml:space="preserve">Baseline (technology-based)</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r>
            <w:tr>
              <w:tc>
                <w:tcPr/>
                <w:p>
                  <w:pPr>
                    <w:pStyle w:val="Compact"/>
                    <w:jc w:val="left"/>
                    <w:jc w:val="left"/>
                  </w:pPr>
                  <w:r>
                    <w:t xml:space="preserve">Aur-P1</w:t>
                  </w:r>
                </w:p>
              </w:tc>
              <w:tc>
                <w:tcPr/>
                <w:p>
                  <w:pPr>
                    <w:pStyle w:val="Compact"/>
                    <w:jc w:val="left"/>
                    <w:jc w:val="left"/>
                  </w:pPr>
                  <w:r>
                    <w:t xml:space="preserve">Date-based</w:t>
                  </w:r>
                </w:p>
              </w:tc>
              <w:tc>
                <w:tcPr/>
                <w:p>
                  <w:pPr>
                    <w:pStyle w:val="Compact"/>
                    <w:jc w:val="left"/>
                    <w:jc w:val="left"/>
                  </w:pPr>
                  <w:r>
                    <w:t xml:space="preserve">20</w:t>
                  </w:r>
                </w:p>
              </w:tc>
              <w:tc>
                <w:tcPr/>
                <w:p>
                  <w:pPr>
                    <w:pStyle w:val="Compact"/>
                    <w:jc w:val="left"/>
                    <w:jc w:val="left"/>
                  </w:pPr>
                  <w:r>
                    <w:t xml:space="preserve">80</w:t>
                  </w:r>
                </w:p>
              </w:tc>
              <w:tc>
                <w:tcPr/>
                <w:p>
                  <w:pPr>
                    <w:pStyle w:val="Compact"/>
                    <w:jc w:val="left"/>
                    <w:jc w:val="left"/>
                  </w:pPr>
                  <w:r>
                    <w:t xml:space="preserve">0.421</w:t>
                  </w:r>
                </w:p>
              </w:tc>
              <w:tc>
                <w:tcPr/>
                <w:p>
                  <w:pPr>
                    <w:pStyle w:val="Compact"/>
                    <w:jc w:val="left"/>
                    <w:jc w:val="left"/>
                  </w:pPr>
                  <w:r>
                    <w:t xml:space="preserve">8.00</w:t>
                  </w:r>
                </w:p>
              </w:tc>
              <w:tc>
                <w:tcPr/>
                <w:p>
                  <w:pPr>
                    <w:pStyle w:val="Compact"/>
                    <w:jc w:val="left"/>
                    <w:jc w:val="left"/>
                  </w:pPr>
                  <w:r>
                    <w:t xml:space="preserve">0.735</w:t>
                  </w:r>
                </w:p>
              </w:tc>
              <w:tc>
                <w:tcPr/>
                <w:p>
                  <w:pPr>
                    <w:pStyle w:val="Compact"/>
                    <w:jc w:val="left"/>
                    <w:jc w:val="left"/>
                  </w:pPr>
                  <w:r>
                    <w:t xml:space="preserve">0.290</w:t>
                  </w:r>
                </w:p>
              </w:tc>
            </w:tr>
            <w:tr>
              <w:tc>
                <w:tcPr/>
                <w:p>
                  <w:pPr>
                    <w:pStyle w:val="Compact"/>
                    <w:jc w:val="left"/>
                    <w:jc w:val="left"/>
                  </w:pPr>
                  <w:r>
                    <w:t xml:space="preserve">Aur-P2</w:t>
                  </w:r>
                </w:p>
              </w:tc>
              <w:tc>
                <w:tcPr/>
                <w:p>
                  <w:pPr>
                    <w:pStyle w:val="Compact"/>
                    <w:jc w:val="left"/>
                    <w:jc w:val="left"/>
                  </w:pPr>
                  <w:r>
                    <w:t xml:space="preserve">Date-based</w:t>
                  </w:r>
                </w:p>
              </w:tc>
              <w:tc>
                <w:tcPr/>
                <w:p>
                  <w:pPr>
                    <w:pStyle w:val="Compact"/>
                    <w:jc w:val="left"/>
                    <w:jc w:val="left"/>
                  </w:pPr>
                  <w:r>
                    <w:t xml:space="preserve">10</w:t>
                  </w:r>
                </w:p>
              </w:tc>
              <w:tc>
                <w:tcPr/>
                <w:p>
                  <w:pPr>
                    <w:pStyle w:val="Compact"/>
                    <w:jc w:val="left"/>
                    <w:jc w:val="left"/>
                  </w:pPr>
                  <w:r>
                    <w:t xml:space="preserve">18</w:t>
                  </w:r>
                </w:p>
              </w:tc>
              <w:tc>
                <w:tcPr/>
                <w:p>
                  <w:pPr>
                    <w:pStyle w:val="Compact"/>
                    <w:jc w:val="left"/>
                    <w:jc w:val="left"/>
                  </w:pPr>
                  <w:r>
                    <w:t xml:space="preserve">0.400</w:t>
                  </w:r>
                </w:p>
              </w:tc>
              <w:tc>
                <w:tcPr/>
                <w:p>
                  <w:pPr>
                    <w:pStyle w:val="Compact"/>
                    <w:jc w:val="left"/>
                    <w:jc w:val="left"/>
                  </w:pPr>
                  <w:r>
                    <w:t xml:space="preserve">3.60</w:t>
                  </w:r>
                </w:p>
              </w:tc>
              <w:tc>
                <w:tcPr/>
                <w:p>
                  <w:pPr>
                    <w:pStyle w:val="Compact"/>
                    <w:jc w:val="left"/>
                    <w:jc w:val="left"/>
                  </w:pPr>
                  <w:r>
                    <w:t xml:space="preserve">0.500</w:t>
                  </w:r>
                </w:p>
              </w:tc>
              <w:tc>
                <w:tcPr/>
                <w:p>
                  <w:pPr>
                    <w:pStyle w:val="Compact"/>
                    <w:jc w:val="left"/>
                    <w:jc w:val="left"/>
                  </w:pPr>
                  <w:r>
                    <w:t xml:space="preserve">0.332</w:t>
                  </w:r>
                </w:p>
              </w:tc>
            </w:tr>
            <w:tr>
              <w:tc>
                <w:tcPr/>
                <w:p>
                  <w:pPr>
                    <w:pStyle w:val="Compact"/>
                    <w:jc w:val="left"/>
                    <w:jc w:val="left"/>
                  </w:pPr>
                  <w:r>
                    <w:t xml:space="preserve">Aur-P1</w:t>
                  </w:r>
                </w:p>
              </w:tc>
              <w:tc>
                <w:tcPr/>
                <w:p>
                  <w:pPr>
                    <w:pStyle w:val="Compact"/>
                    <w:jc w:val="left"/>
                    <w:jc w:val="left"/>
                  </w:pPr>
                  <w:r>
                    <w:t xml:space="preserve">Exclude Vogelherd</w:t>
                  </w:r>
                </w:p>
              </w:tc>
              <w:tc>
                <w:tcPr/>
                <w:p>
                  <w:pPr>
                    <w:pStyle w:val="Compact"/>
                    <w:jc w:val="left"/>
                    <w:jc w:val="left"/>
                  </w:pPr>
                  <w:r>
                    <w:t xml:space="preserve">19</w:t>
                  </w:r>
                </w:p>
              </w:tc>
              <w:tc>
                <w:tcPr/>
                <w:p>
                  <w:pPr>
                    <w:pStyle w:val="Compact"/>
                    <w:jc w:val="left"/>
                    <w:jc w:val="left"/>
                  </w:pPr>
                  <w:r>
                    <w:t xml:space="preserve">69</w:t>
                  </w:r>
                </w:p>
              </w:tc>
              <w:tc>
                <w:tcPr/>
                <w:p>
                  <w:pPr>
                    <w:pStyle w:val="Compact"/>
                    <w:jc w:val="left"/>
                    <w:jc w:val="left"/>
                  </w:pPr>
                  <w:r>
                    <w:t xml:space="preserve">0.404</w:t>
                  </w:r>
                </w:p>
              </w:tc>
              <w:tc>
                <w:tcPr/>
                <w:p>
                  <w:pPr>
                    <w:pStyle w:val="Compact"/>
                    <w:jc w:val="left"/>
                    <w:jc w:val="left"/>
                  </w:pPr>
                  <w:r>
                    <w:t xml:space="preserve">7.26</w:t>
                  </w:r>
                </w:p>
              </w:tc>
              <w:tc>
                <w:tcPr/>
                <w:p>
                  <w:pPr>
                    <w:pStyle w:val="Compact"/>
                    <w:jc w:val="left"/>
                    <w:jc w:val="left"/>
                  </w:pPr>
                  <w:r>
                    <w:t xml:space="preserve">0.712</w:t>
                  </w:r>
                </w:p>
              </w:tc>
              <w:tc>
                <w:tcPr/>
                <w:p>
                  <w:pPr>
                    <w:pStyle w:val="Compact"/>
                    <w:jc w:val="left"/>
                    <w:jc w:val="left"/>
                  </w:pPr>
                  <w:r>
                    <w:t xml:space="preserve">0.312</w:t>
                  </w:r>
                </w:p>
              </w:tc>
            </w:tr>
            <w:tr>
              <w:tc>
                <w:tcPr/>
                <w:p>
                  <w:pPr>
                    <w:pStyle w:val="Compact"/>
                    <w:jc w:val="left"/>
                    <w:jc w:val="left"/>
                  </w:pPr>
                  <w:r>
                    <w:t xml:space="preserve">Aur-P2</w:t>
                  </w:r>
                </w:p>
              </w:tc>
              <w:tc>
                <w:tcPr/>
                <w:p>
                  <w:pPr>
                    <w:pStyle w:val="Compact"/>
                    <w:jc w:val="left"/>
                    <w:jc w:val="left"/>
                  </w:pPr>
                  <w:r>
                    <w:t xml:space="preserve">Exclude Vogelherd</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r>
            <w:tr>
              <w:tc>
                <w:tcPr/>
                <w:p>
                  <w:pPr>
                    <w:pStyle w:val="Compact"/>
                    <w:jc w:val="left"/>
                    <w:jc w:val="left"/>
                  </w:pPr>
                  <w:r>
                    <w:t xml:space="preserve">Aur-P1</w:t>
                  </w:r>
                </w:p>
              </w:tc>
              <w:tc>
                <w:tcPr/>
                <w:p>
                  <w:pPr>
                    <w:pStyle w:val="Compact"/>
                    <w:jc w:val="left"/>
                    <w:jc w:val="left"/>
                  </w:pPr>
                  <w:r>
                    <w:t xml:space="preserve">Exclude Hohle Fels</w:t>
                  </w:r>
                </w:p>
              </w:tc>
              <w:tc>
                <w:tcPr/>
                <w:p>
                  <w:pPr>
                    <w:pStyle w:val="Compact"/>
                    <w:jc w:val="left"/>
                    <w:jc w:val="left"/>
                  </w:pPr>
                  <w:r>
                    <w:t xml:space="preserve">19</w:t>
                  </w:r>
                </w:p>
              </w:tc>
              <w:tc>
                <w:tcPr/>
                <w:p>
                  <w:pPr>
                    <w:pStyle w:val="Compact"/>
                    <w:jc w:val="left"/>
                    <w:jc w:val="left"/>
                  </w:pPr>
                  <w:r>
                    <w:t xml:space="preserve">68</w:t>
                  </w:r>
                </w:p>
              </w:tc>
              <w:tc>
                <w:tcPr/>
                <w:p>
                  <w:pPr>
                    <w:pStyle w:val="Compact"/>
                    <w:jc w:val="left"/>
                    <w:jc w:val="left"/>
                  </w:pPr>
                  <w:r>
                    <w:t xml:space="preserve">0.398</w:t>
                  </w:r>
                </w:p>
              </w:tc>
              <w:tc>
                <w:tcPr/>
                <w:p>
                  <w:pPr>
                    <w:pStyle w:val="Compact"/>
                    <w:jc w:val="left"/>
                    <w:jc w:val="left"/>
                  </w:pPr>
                  <w:r>
                    <w:t xml:space="preserve">7.16</w:t>
                  </w:r>
                </w:p>
              </w:tc>
              <w:tc>
                <w:tcPr/>
                <w:p>
                  <w:pPr>
                    <w:pStyle w:val="Compact"/>
                    <w:jc w:val="left"/>
                    <w:jc w:val="left"/>
                  </w:pPr>
                  <w:r>
                    <w:t xml:space="preserve">0.707</w:t>
                  </w:r>
                </w:p>
              </w:tc>
              <w:tc>
                <w:tcPr/>
                <w:p>
                  <w:pPr>
                    <w:pStyle w:val="Compact"/>
                    <w:jc w:val="left"/>
                    <w:jc w:val="left"/>
                  </w:pPr>
                  <w:r>
                    <w:t xml:space="preserve">0.304</w:t>
                  </w:r>
                </w:p>
              </w:tc>
            </w:tr>
            <w:tr>
              <w:tc>
                <w:tcPr/>
                <w:p>
                  <w:pPr>
                    <w:pStyle w:val="Compact"/>
                    <w:jc w:val="left"/>
                    <w:jc w:val="left"/>
                  </w:pPr>
                  <w:r>
                    <w:t xml:space="preserve">Aur-P2</w:t>
                  </w:r>
                </w:p>
              </w:tc>
              <w:tc>
                <w:tcPr/>
                <w:p>
                  <w:pPr>
                    <w:pStyle w:val="Compact"/>
                    <w:jc w:val="left"/>
                    <w:jc w:val="left"/>
                  </w:pPr>
                  <w:r>
                    <w:t xml:space="preserve">Exclude Hohle Fels</w:t>
                  </w:r>
                </w:p>
              </w:tc>
              <w:tc>
                <w:tcPr/>
                <w:p>
                  <w:pPr>
                    <w:pStyle w:val="Compact"/>
                    <w:jc w:val="left"/>
                    <w:jc w:val="left"/>
                  </w:pPr>
                  <w:r>
                    <w:t xml:space="preserve">8</w:t>
                  </w:r>
                </w:p>
              </w:tc>
              <w:tc>
                <w:tcPr/>
                <w:p>
                  <w:pPr>
                    <w:pStyle w:val="Compact"/>
                    <w:jc w:val="left"/>
                    <w:jc w:val="left"/>
                  </w:pPr>
                  <w:r>
                    <w:t xml:space="preserve">17</w:t>
                  </w:r>
                </w:p>
              </w:tc>
              <w:tc>
                <w:tcPr/>
                <w:p>
                  <w:pPr>
                    <w:pStyle w:val="Compact"/>
                    <w:jc w:val="left"/>
                    <w:jc w:val="left"/>
                  </w:pPr>
                  <w:r>
                    <w:t xml:space="preserve">0.607</w:t>
                  </w:r>
                </w:p>
              </w:tc>
              <w:tc>
                <w:tcPr/>
                <w:p>
                  <w:pPr>
                    <w:pStyle w:val="Compact"/>
                    <w:jc w:val="left"/>
                    <w:jc w:val="left"/>
                  </w:pPr>
                  <w:r>
                    <w:t xml:space="preserve">4.25</w:t>
                  </w:r>
                </w:p>
              </w:tc>
              <w:tc>
                <w:tcPr/>
                <w:p>
                  <w:pPr>
                    <w:pStyle w:val="Compact"/>
                    <w:jc w:val="left"/>
                    <w:jc w:val="left"/>
                  </w:pPr>
                  <w:r>
                    <w:t xml:space="preserve">0.636</w:t>
                  </w:r>
                </w:p>
              </w:tc>
              <w:tc>
                <w:tcPr/>
                <w:p>
                  <w:pPr>
                    <w:pStyle w:val="Compact"/>
                    <w:jc w:val="left"/>
                    <w:jc w:val="left"/>
                  </w:pPr>
                  <w:r>
                    <w:t xml:space="preserve">0.125</w:t>
                  </w:r>
                </w:p>
              </w:tc>
            </w:tr>
          </w:tbl>
          <w:p>
            <w:pPr>
              <w:jc w:val="left"/>
            </w:pPr>
            <w:pPr>
              <w:jc w:val="start"/>
              <w:spacing w:before="200"/>
              <w:pStyle w:val="ImageCaption"/>
            </w:pPr>
            <w:r>
              <w:t xml:space="preserve">Table O. Network statistics under four conditions: baseline (technology-based assignment), date-based (each object assigned purely by calibrated radiocarbon date, with the Spy/El Castillo exclusions retained), exclude Vogelherd (technology-based baseline with the site of Vogelherd removed entirely), and exclude Hohle Fels (technology-based baseline with the site of Hohle Fels removed from both phases). Threshold = 0.2, Jaccard similarity.</w:t>
            </w:r>
          </w:p>
          <w:bookmarkEnd w:id="95"/>
        </w:tc>
      </w:tr>
    </w:tbl>
    <w:p>
      <w:pPr>
        <w:pStyle w:val="BodyText"/>
      </w:pPr>
      <w:r>
        <w:rPr>
          <w:bCs/>
          <w:b/>
        </w:rPr>
        <w:t xml:space="preserve">Effects by condition.</w:t>
      </w:r>
    </w:p>
    <w:p>
      <w:pPr>
        <w:pStyle w:val="BodyText"/>
      </w:pPr>
      <w:r>
        <w:rPr>
          <w:bCs/>
          <w:b/>
        </w:rPr>
        <w:t xml:space="preserve">Date-based alternative (Analysis A).</w:t>
      </w:r>
      <w:r>
        <w:t xml:space="preserve"> </w:t>
      </w:r>
      <w:r>
        <w:t xml:space="preserve">Reverting to purely date-based criteria changes the phase of objects at La Ferrassie, Mladeč and Vogelherd. Mladeč moves from Aur-P2 to Aur-P1 because its calibrated median using the older-end of the date range (40,091 cal BP) falls in the Proto-Aurignacian range, which is folded into Aur-P1; the midpoint variant gives 37,831 cal BP (Aur-P1) and the younger end 35,571 cal BP (Evolved Aurignacian, Aur-P2)</w:t>
      </w:r>
      <w:r>
        <w:t xml:space="preserve"> </w:t>
      </w:r>
      <w:r>
        <w:t xml:space="preserve">[10]</w:t>
      </w:r>
      <w:r>
        <w:t xml:space="preserve">. All 22 La Ferrassie objects move from Aur-P1 to Aur-P2, because their calibrated median (37,200 cal BP) is younger than 37,799 cal BP. Vogelherd is split by object date: 160 of its 173 objects stay in Aur-P1, and 13 objects, with a calibrated median of 36,380 cal BP, move to Aur-P2. Hohle Fels does not change, because its object dates give the same split as the layer-level override: 20 objects in Aur-P1 and 29 objects in Aur-P2. The date-based assignment therefore fragments Vogelherd, whose assemblage spans the phase boundary, which is precisely the failure mode the technology-based attribution is designed to avoid. Aur-P1 keeps 20 sites and has 80 edges, against 75 at baseline (mean degree 8), while Aur-P2, now without Mladeč but with La Ferrassie and the 13 younger Vogelherd objects, has 10 sites and 18 edges (mean degree 3.6).</w:t>
      </w:r>
    </w:p>
    <w:p>
      <w:pPr>
        <w:pStyle w:val="BodyText"/>
      </w:pPr>
      <w:r>
        <w:rPr>
          <w:bCs/>
          <w:b/>
        </w:rPr>
        <w:t xml:space="preserve">Vogelherd exclusion (Analysis B).</w:t>
      </w:r>
      <w:r>
        <w:t xml:space="preserve"> </w:t>
      </w:r>
      <w:r>
        <w:t xml:space="preserve">Removing Vogelherd’s 173 objects from the technology-based baseline reduces Aur-P1 from 20 to 19 sites and from 75 to 69 edges. Mean degree falls from 7.5 to 7.26 (−3.2%), and modularity from 0.336 to 0.312. Aur-P2 is unaffected (4.22, 19 edges, 9 sites).</w:t>
      </w:r>
    </w:p>
    <w:p>
      <w:pPr>
        <w:pStyle w:val="BodyText"/>
      </w:pPr>
      <w:r>
        <w:rPr>
          <w:bCs/>
          <w:b/>
        </w:rPr>
        <w:t xml:space="preserve">Hohle Fels exclusion (Analysis C).</w:t>
      </w:r>
      <w:r>
        <w:t xml:space="preserve"> </w:t>
      </w:r>
      <w:r>
        <w:t xml:space="preserve">Hohle Fels contributes 20 objects to Aur-P1 and 29 objects to Aur-P2, which is 46% of the Aur-P2 sample. Removing the site from both phases reduces Aur-P1 from 20 to 19 sites and from 75 to 68 edges (mean degree 7.5 to 7.16), and reduces Aur-P2 from 9 to 8 sites and from 19 to 17 edges. The Aur-P2 mean degree barely changes (4.22 at baseline, 4.25 without Hohle Fels), so the remaining Aur-P2 sites keep a similar level of connection to each other without the site that holds the phase’s richest repertoire. Modularity falls in both phases (Aur-P1 0.336 to 0.304; Aur-P2 0.161 to 0.125).</w:t>
      </w:r>
    </w:p>
    <w:p>
      <w:pPr>
        <w:pStyle w:val="BodyText"/>
      </w:pPr>
      <w:r>
        <w:rPr>
          <w:bCs/>
          <w:b/>
        </w:rPr>
        <w:t xml:space="preserve">Phase-ordering robustness.</w:t>
      </w:r>
      <w:r>
        <w:t xml:space="preserve"> </w:t>
      </w:r>
      <w:r>
        <w:t xml:space="preserve">The most consequential finding is that</w:t>
      </w:r>
      <w:r>
        <w:t xml:space="preserve"> </w:t>
      </w:r>
      <w:r>
        <w:rPr>
          <w:bCs/>
          <w:b/>
        </w:rPr>
        <w:t xml:space="preserve">the Aur-P1 &gt; Aur-P2 raw mean-degree ordering is preserved under every condition in this section</w:t>
      </w:r>
      <w:r>
        <w:t xml:space="preserve"> </w:t>
      </w:r>
      <w:r>
        <w:t xml:space="preserve">(under the alternative date ends of</w:t>
      </w:r>
      <w:r>
        <w:t xml:space="preserve"> </w:t>
      </w:r>
      <w:r>
        <w:t xml:space="preserve">Section S1.5.3</w:t>
      </w:r>
      <w:r>
        <w:t xml:space="preserve"> </w:t>
      </w:r>
      <w:r>
        <w:t xml:space="preserve">the ordering instead follows the number of sites in each phase):</w:t>
      </w:r>
    </w:p>
    <w:tbl>
      <w:tblPr>
        <w:tblStyle w:val="Table"/>
        <w:tblW w:type="pct" w:w="5000"/>
        <w:tblLook w:firstRow="0" w:lastRow="0" w:firstColumn="0" w:lastColumn="0" w:noHBand="0" w:noVBand="0" w:val="0000"/>
        <w:jc w:val="start"/>
        <w:tblLayout w:type="fixed"/>
      </w:tblPr>
      <w:tblGrid>
        <w:gridCol w:w="7920"/>
      </w:tblGrid>
      <w:tr>
        <w:tc>
          <w:tcPr/>
          <w:bookmarkStart w:id="96" w:name="tbl-ordering-by-condition"/>
          <w:tbl>
            <w:tblPr>
              <w:tblStyle w:val="Table"/>
              <w:tblW w:type="pct" w:w="5000"/>
              <w:tblLook w:firstRow="1" w:lastRow="0" w:firstColumn="0" w:lastColumn="0" w:noHBand="0" w:noVBand="0" w:val="0020"/>
              <w:jc w:val="start"/>
              <w:tblLayout w:type="fixed"/>
            </w:tblPr>
            <w:tblGrid>
              <w:gridCol w:w="2692"/>
              <w:gridCol w:w="1742"/>
              <w:gridCol w:w="1742"/>
              <w:gridCol w:w="1742"/>
            </w:tblGrid>
            <w:tr>
              <w:trPr>
                <w:tblHeader w:val="true"/>
              </w:trPr>
              <w:tc>
                <w:tcPr/>
                <w:p>
                  <w:pPr>
                    <w:pStyle w:val="Compact"/>
                    <w:jc w:val="left"/>
                    <w:jc w:val="left"/>
                  </w:pPr>
                  <w:r>
                    <w:t xml:space="preserve">Condition</w:t>
                  </w:r>
                </w:p>
              </w:tc>
              <w:tc>
                <w:tcPr/>
                <w:p>
                  <w:pPr>
                    <w:pStyle w:val="Compact"/>
                    <w:jc w:val="left"/>
                    <w:jc w:val="left"/>
                  </w:pPr>
                  <w:r>
                    <w:t xml:space="preserve">Aur-P1 mean degree</w:t>
                  </w:r>
                </w:p>
              </w:tc>
              <w:tc>
                <w:tcPr/>
                <w:p>
                  <w:pPr>
                    <w:pStyle w:val="Compact"/>
                    <w:jc w:val="left"/>
                    <w:jc w:val="left"/>
                  </w:pPr>
                  <w:r>
                    <w:t xml:space="preserve">Aur-P2 mean degree</w:t>
                  </w:r>
                </w:p>
              </w:tc>
              <w:tc>
                <w:tcPr/>
                <w:p>
                  <w:pPr>
                    <w:pStyle w:val="Compact"/>
                    <w:jc w:val="left"/>
                    <w:jc w:val="left"/>
                  </w:pPr>
                  <w:r>
                    <w:t xml:space="preserve">Ordering</w:t>
                  </w:r>
                </w:p>
              </w:tc>
            </w:tr>
            <w:tr>
              <w:tc>
                <w:tcPr/>
                <w:p>
                  <w:pPr>
                    <w:pStyle w:val="Compact"/>
                    <w:jc w:val="left"/>
                    <w:jc w:val="left"/>
                  </w:pPr>
                  <w:r>
                    <w:t xml:space="preserve">Baseline (technology-based)</w:t>
                  </w:r>
                </w:p>
              </w:tc>
              <w:tc>
                <w:tcPr/>
                <w:p>
                  <w:pPr>
                    <w:pStyle w:val="Compact"/>
                    <w:jc w:val="left"/>
                    <w:jc w:val="left"/>
                  </w:pPr>
                  <w:r>
                    <w:t xml:space="preserve">7.50</w:t>
                  </w:r>
                </w:p>
              </w:tc>
              <w:tc>
                <w:tcPr/>
                <w:p>
                  <w:pPr>
                    <w:pStyle w:val="Compact"/>
                    <w:jc w:val="left"/>
                    <w:jc w:val="left"/>
                  </w:pPr>
                  <w:r>
                    <w:t xml:space="preserve">4.22</w:t>
                  </w:r>
                </w:p>
              </w:tc>
              <w:tc>
                <w:tcPr/>
                <w:p>
                  <w:pPr>
                    <w:pStyle w:val="Compact"/>
                    <w:jc w:val="left"/>
                    <w:jc w:val="left"/>
                  </w:pPr>
                  <w:r>
                    <w:t xml:space="preserve">Aur-P1 &gt; Aur-P2</w:t>
                  </w:r>
                </w:p>
              </w:tc>
            </w:tr>
            <w:tr>
              <w:tc>
                <w:tcPr/>
                <w:p>
                  <w:pPr>
                    <w:pStyle w:val="Compact"/>
                    <w:jc w:val="left"/>
                    <w:jc w:val="left"/>
                  </w:pPr>
                  <w:r>
                    <w:t xml:space="preserve">Date-based</w:t>
                  </w:r>
                </w:p>
              </w:tc>
              <w:tc>
                <w:tcPr/>
                <w:p>
                  <w:pPr>
                    <w:pStyle w:val="Compact"/>
                    <w:jc w:val="left"/>
                    <w:jc w:val="left"/>
                  </w:pPr>
                  <w:r>
                    <w:t xml:space="preserve">8.00</w:t>
                  </w:r>
                </w:p>
              </w:tc>
              <w:tc>
                <w:tcPr/>
                <w:p>
                  <w:pPr>
                    <w:pStyle w:val="Compact"/>
                    <w:jc w:val="left"/>
                    <w:jc w:val="left"/>
                  </w:pPr>
                  <w:r>
                    <w:t xml:space="preserve">3.60</w:t>
                  </w:r>
                </w:p>
              </w:tc>
              <w:tc>
                <w:tcPr/>
                <w:p>
                  <w:pPr>
                    <w:pStyle w:val="Compact"/>
                    <w:jc w:val="left"/>
                    <w:jc w:val="left"/>
                  </w:pPr>
                  <w:r>
                    <w:t xml:space="preserve">Aur-P1 &gt; Aur-P2</w:t>
                  </w:r>
                </w:p>
              </w:tc>
            </w:tr>
            <w:tr>
              <w:tc>
                <w:tcPr/>
                <w:p>
                  <w:pPr>
                    <w:pStyle w:val="Compact"/>
                    <w:jc w:val="left"/>
                    <w:jc w:val="left"/>
                  </w:pPr>
                  <w:r>
                    <w:t xml:space="preserve">Exclude Vogelherd</w:t>
                  </w:r>
                </w:p>
              </w:tc>
              <w:tc>
                <w:tcPr/>
                <w:p>
                  <w:pPr>
                    <w:pStyle w:val="Compact"/>
                    <w:jc w:val="left"/>
                    <w:jc w:val="left"/>
                  </w:pPr>
                  <w:r>
                    <w:t xml:space="preserve">7.26</w:t>
                  </w:r>
                </w:p>
              </w:tc>
              <w:tc>
                <w:tcPr/>
                <w:p>
                  <w:pPr>
                    <w:pStyle w:val="Compact"/>
                    <w:jc w:val="left"/>
                    <w:jc w:val="left"/>
                  </w:pPr>
                  <w:r>
                    <w:t xml:space="preserve">4.22</w:t>
                  </w:r>
                </w:p>
              </w:tc>
              <w:tc>
                <w:tcPr/>
                <w:p>
                  <w:pPr>
                    <w:pStyle w:val="Compact"/>
                    <w:jc w:val="left"/>
                    <w:jc w:val="left"/>
                  </w:pPr>
                  <w:r>
                    <w:t xml:space="preserve">Aur-P1 &gt; Aur-P2</w:t>
                  </w:r>
                </w:p>
              </w:tc>
            </w:tr>
            <w:tr>
              <w:tc>
                <w:tcPr/>
                <w:p>
                  <w:pPr>
                    <w:pStyle w:val="Compact"/>
                    <w:jc w:val="left"/>
                    <w:jc w:val="left"/>
                  </w:pPr>
                  <w:r>
                    <w:t xml:space="preserve">Exclude Hohle Fels</w:t>
                  </w:r>
                </w:p>
              </w:tc>
              <w:tc>
                <w:tcPr/>
                <w:p>
                  <w:pPr>
                    <w:pStyle w:val="Compact"/>
                    <w:jc w:val="left"/>
                    <w:jc w:val="left"/>
                  </w:pPr>
                  <w:r>
                    <w:t xml:space="preserve">7.16</w:t>
                  </w:r>
                </w:p>
              </w:tc>
              <w:tc>
                <w:tcPr/>
                <w:p>
                  <w:pPr>
                    <w:pStyle w:val="Compact"/>
                    <w:jc w:val="left"/>
                    <w:jc w:val="left"/>
                  </w:pPr>
                  <w:r>
                    <w:t xml:space="preserve">4.25</w:t>
                  </w:r>
                </w:p>
              </w:tc>
              <w:tc>
                <w:tcPr/>
                <w:p>
                  <w:pPr>
                    <w:pStyle w:val="Compact"/>
                    <w:jc w:val="left"/>
                    <w:jc w:val="left"/>
                  </w:pPr>
                  <w:r>
                    <w:t xml:space="preserve">Aur-P1 &gt; Aur-P2</w:t>
                  </w:r>
                </w:p>
              </w:tc>
            </w:tr>
          </w:tbl>
          <w:p>
            <w:pPr>
              <w:jc w:val="left"/>
            </w:pPr>
            <w:pPr>
              <w:jc w:val="start"/>
              <w:spacing w:before="200"/>
              <w:pStyle w:val="ImageCaption"/>
            </w:pPr>
            <w:r>
              <w:t xml:space="preserve">Table P. Mean degree by phase under each reassignment condition. The Aur-P1 &gt; Aur-P2 ordering is preserved under every condition.</w:t>
            </w:r>
          </w:p>
          <w:bookmarkEnd w:id="96"/>
        </w:tc>
      </w:tr>
    </w:tbl>
    <w:bookmarkEnd w:id="97"/>
    <w:bookmarkStart w:id="98" w:name="interpretation-4"/>
    <w:p>
      <w:pPr>
        <w:pStyle w:val="Heading3"/>
      </w:pPr>
      <w:r>
        <w:t xml:space="preserve">Interpretation</w:t>
      </w:r>
    </w:p>
    <w:p>
      <w:pPr>
        <w:pStyle w:val="FirstParagraph"/>
      </w:pPr>
      <w:r>
        <w:rPr>
          <w:bCs/>
          <w:b/>
        </w:rPr>
        <w:t xml:space="preserve">Question: does the Aur-P1 greater than Aur-P2 raw mean-degree ordering survive under purely date-based assignment?</w:t>
      </w:r>
      <w:r>
        <w:t xml:space="preserve"> </w:t>
      </w:r>
      <w:r>
        <w:t xml:space="preserve">Yes. The robustness of the Aur-P1 &gt; Aur-P2 raw mean-degree difference to the assignment criterion strengthens the main-text conclusion that the early phase supports a larger network. The date-based alternative is a useful worst case: it splits Vogelherd across the phases, moves La Ferrassie into Aur-P2 and moves Mladeč into Aur-P1 (via the older-end calibrated median of 40,091 cal BP), yet Aur-P1 retains the higher raw mean degree. Under the date-based assignment Aur-P1’s mean degree rises (from 7.5 to 8) and Aur-P2’s falls (from 4.22 to 3.6), so the contrast is not an artefact of the technological reassignment; the naive date-based assignment, if anything, strengthens it (</w:t>
      </w:r>
      <w:hyperlink w:anchor="tbl-reclass-comparison">
        <w:r>
          <w:rPr>
            <w:rStyle w:val="Hyperlink"/>
          </w:rPr>
          <w:t xml:space="preserve">Table O</w:t>
        </w:r>
      </w:hyperlink>
      <w:r>
        <w:t xml:space="preserve">;</w:t>
      </w:r>
      <w:r>
        <w:t xml:space="preserve"> </w:t>
      </w:r>
      <w:hyperlink w:anchor="tbl-ordering-by-condition">
        <w:r>
          <w:rPr>
            <w:rStyle w:val="Hyperlink"/>
          </w:rPr>
          <w:t xml:space="preserve">Table P</w:t>
        </w:r>
      </w:hyperlink>
      <w:r>
        <w:t xml:space="preserve">).</w:t>
      </w:r>
    </w:p>
    <w:p>
      <w:pPr>
        <w:pStyle w:val="BodyText"/>
      </w:pPr>
      <w:r>
        <w:rPr>
          <w:bCs/>
          <w:b/>
        </w:rPr>
        <w:t xml:space="preserve">Question: does the Aur-P1 greater than Aur-P2 raw mean-degree ordering survive when Vogelherd is excluded entirely?</w:t>
      </w:r>
      <w:r>
        <w:t xml:space="preserve"> </w:t>
      </w:r>
      <w:r>
        <w:t xml:space="preserve">Yes. Excluding Vogelherd leaves the ordering intact (7.26 versus 4.22), so the Aur-P1 network does not depend on this single site (</w:t>
      </w:r>
      <w:hyperlink w:anchor="tbl-reclass-comparison">
        <w:r>
          <w:rPr>
            <w:rStyle w:val="Hyperlink"/>
          </w:rPr>
          <w:t xml:space="preserve">Table O</w:t>
        </w:r>
      </w:hyperlink>
      <w:r>
        <w:t xml:space="preserve">, Exclude Vogelherd row). Removing Vogelherd’s 173 objects reduces Aur-P1 from 20 to 19 sites and from 75 to 69 edges, with mean degree falling from 7.5 to 7.26, while Aur-P2 is unaffected.</w:t>
      </w:r>
    </w:p>
    <w:p>
      <w:pPr>
        <w:pStyle w:val="BodyText"/>
      </w:pPr>
      <w:r>
        <w:rPr>
          <w:bCs/>
          <w:b/>
        </w:rPr>
        <w:t xml:space="preserve">Question: does the Aur-P1 greater than Aur-P2 raw mean-degree ordering survive when Hohle Fels is excluded entirely?</w:t>
      </w:r>
      <w:r>
        <w:t xml:space="preserve"> </w:t>
      </w:r>
      <w:r>
        <w:t xml:space="preserve">Yes. Excluding Hohle Fels leaves the ordering intact (7.16 versus 4.25;</w:t>
      </w:r>
      <w:r>
        <w:t xml:space="preserve"> </w:t>
      </w:r>
      <w:hyperlink w:anchor="tbl-reclass-comparison">
        <w:r>
          <w:rPr>
            <w:rStyle w:val="Hyperlink"/>
          </w:rPr>
          <w:t xml:space="preserve">Table O</w:t>
        </w:r>
      </w:hyperlink>
      <w:r>
        <w:t xml:space="preserve">, Exclude Hohle Fels rows). The Aur-P2 network does not depend on its largest site: the mean degree of the remaining 8 sites (4.25) is almost the same as at baseline (4.22). The within-phase group structure is a separate question: Hohle Fels is one of only three broad-range sites in Aur-P2, so the restricted/broad contrast in that phase rests partly on this site.</w:t>
      </w:r>
    </w:p>
    <w:p>
      <w:pPr>
        <w:pStyle w:val="BodyText"/>
      </w:pPr>
      <w:r>
        <w:rPr>
          <w:bCs/>
          <w:b/>
        </w:rPr>
        <w:t xml:space="preserve">Implication for the main text.</w:t>
      </w:r>
      <w:r>
        <w:t xml:space="preserve"> </w:t>
      </w:r>
      <w:r>
        <w:t xml:space="preserve">The observed between-phase modularity values are, however, assignment-sensitive: they reverse under the date-based assignment (Aur-P1 0.29 &lt; Aur-P2 0.332, versus 0.336 &gt; 0.161 at baseline). This reinforces the main text’s caution about between-phase comparisons: the pairwise permutation test on the technology-based baseline finds no significant difference in modularity (or any other network statistic) between the phases, and</w:t>
      </w:r>
      <w:r>
        <w:t xml:space="preserve"> </w:t>
      </w:r>
      <w:r>
        <w:t xml:space="preserve">Section S1.7.4</w:t>
      </w:r>
      <w:r>
        <w:t xml:space="preserve"> </w:t>
      </w:r>
      <w:r>
        <w:t xml:space="preserve">shows that the modularity confidence intervals overlap substantially (Aur-P2 rests on only 9 sites). We therefore recommend reading the between-phase contrast primarily as a difference in network scale rather than as a robust ordering of modularity values across alternative assignments. Under the date-based assignment the membership of each phase changes (La Ferrassie moves to Aur-P2, Mladeč moves to Aur-P1 and Vogelherd is split between the phases), so the within-phase restricted/broad pattern could also change. We did not refit the stochastic block models under the date-based assignment; the SBM results in</w:t>
      </w:r>
      <w:r>
        <w:t xml:space="preserve"> </w:t>
      </w:r>
      <w:r>
        <w:t xml:space="preserve">Section S1.9.3</w:t>
      </w:r>
      <w:r>
        <w:t xml:space="preserve"> </w:t>
      </w:r>
      <w:r>
        <w:t xml:space="preserve">come from the technology-based baseline.</w:t>
      </w:r>
    </w:p>
    <w:bookmarkEnd w:id="98"/>
    <w:bookmarkEnd w:id="99"/>
    <w:bookmarkEnd w:id="100"/>
    <w:bookmarkStart w:id="120" w:name="sec-s6"/>
    <w:p>
      <w:pPr>
        <w:pStyle w:val="Heading1"/>
      </w:pPr>
      <w:r>
        <w:t xml:space="preserve">S1.6 Automated Group Recovery as a Circularity Check</w:t>
      </w:r>
    </w:p>
    <w:bookmarkStart w:id="101" w:name="sec-s6-rationale"/>
    <w:p>
      <w:pPr>
        <w:pStyle w:val="Heading2"/>
      </w:pPr>
      <w:r>
        <w:t xml:space="preserve">S1.6.1 Rationale</w:t>
      </w:r>
    </w:p>
    <w:p>
      <w:pPr>
        <w:pStyle w:val="FirstParagraph"/>
      </w:pPr>
      <w:r>
        <w:t xml:space="preserve">The sensitivity analyses in Sections</w:t>
      </w:r>
      <w:r>
        <w:t xml:space="preserve"> </w:t>
      </w:r>
      <w:r>
        <w:t xml:space="preserve">S1.2</w:t>
      </w:r>
      <w:r>
        <w:t xml:space="preserve">–</w:t>
      </w:r>
      <w:r>
        <w:t xml:space="preserve">S1.5</w:t>
      </w:r>
      <w:r>
        <w:t xml:space="preserve"> </w:t>
      </w:r>
      <w:r>
        <w:t xml:space="preserve">treat the network threshold, similarity metric, geographic distance computation, and periodisation scheme as uncertain parameters and show that the conclusions are robust across their plausible ranges. However, one structural issue has not been tested: the restricted-range and broader-range site groups used in the seriation and PerMANOVA analyses are manually assigned via a</w:t>
      </w:r>
      <w:r>
        <w:t xml:space="preserve"> </w:t>
      </w:r>
      <w:r>
        <w:rPr>
          <w:rStyle w:val="VerbatimChar"/>
        </w:rPr>
        <w:t xml:space="preserve">case_when()</w:t>
      </w:r>
      <w:r>
        <w:t xml:space="preserve"> </w:t>
      </w:r>
      <w:r>
        <w:t xml:space="preserve">statement in the data-cleaning pipeline. Because these groups were derived from visual inspection of the same data that the seriation is asked to</w:t>
      </w:r>
      <w:r>
        <w:t xml:space="preserve"> </w:t>
      </w:r>
      <w:r>
        <w:t xml:space="preserve">“</w:t>
      </w:r>
      <w:r>
        <w:t xml:space="preserve">discover,</w:t>
      </w:r>
      <w:r>
        <w:t xml:space="preserve">”</w:t>
      </w:r>
      <w:r>
        <w:t xml:space="preserve"> </w:t>
      </w:r>
      <w:r>
        <w:t xml:space="preserve">the procedure is circular: the analysis cannot fail to confirm a structure that was imported by the analyst. This section examines that circularity by deriving group memberships automatically from the data using unsupervised community detection. Because Louvain, bootstrap, and stochastic block models all operate on the same underlying sign-composition data as the manual assignment, they are useful descriptive checks on the stability and data-drivenness of the partition, but they do not by themselves remove the circularity; genuine independent validation is provided separately in</w:t>
      </w:r>
      <w:r>
        <w:t xml:space="preserve"> </w:t>
      </w:r>
      <w:r>
        <w:t xml:space="preserve">Section S1.10</w:t>
      </w:r>
      <w:r>
        <w:t xml:space="preserve">. This section answers three specific questions:</w:t>
      </w:r>
    </w:p>
    <w:p>
      <w:pPr>
        <w:pStyle w:val="BodyText"/>
      </w:pPr>
      <w:r>
        <w:rPr>
          <w:bCs/>
          <w:b/>
        </w:rPr>
        <w:t xml:space="preserve">Question: how well do automatically detected communities reproduce the manual restricted and broad groups?</w:t>
      </w:r>
    </w:p>
    <w:p>
      <w:pPr>
        <w:pStyle w:val="BodyText"/>
      </w:pPr>
      <w:r>
        <w:rPr>
          <w:bCs/>
          <w:b/>
        </w:rPr>
        <w:t xml:space="preserve">Question: do automatically detected communities explain as much sign-composition variance as the manual groups?</w:t>
      </w:r>
    </w:p>
    <w:p>
      <w:pPr>
        <w:pStyle w:val="BodyText"/>
      </w:pPr>
      <w:r>
        <w:rPr>
          <w:bCs/>
          <w:b/>
        </w:rPr>
        <w:t xml:space="preserve">Question: is the community structure richer than a binary split, and does that richness differ by phase and algorithm?</w:t>
      </w:r>
    </w:p>
    <w:bookmarkEnd w:id="101"/>
    <w:bookmarkStart w:id="105" w:name="sec-s6-1"/>
    <w:p>
      <w:pPr>
        <w:pStyle w:val="Heading2"/>
      </w:pPr>
      <w:r>
        <w:t xml:space="preserve">S1.6.2 Louvain community partitioning</w:t>
      </w:r>
    </w:p>
    <w:bookmarkStart w:id="104" w:name="method"/>
    <w:p>
      <w:pPr>
        <w:pStyle w:val="Heading3"/>
      </w:pPr>
      <w:r>
        <w:t xml:space="preserve">Method</w:t>
      </w:r>
    </w:p>
    <w:p>
      <w:pPr>
        <w:pStyle w:val="FirstParagraph"/>
      </w:pPr>
      <w:r>
        <w:t xml:space="preserve">Rather than relying on author-constructed group assignments, we use Louvain community detection on Jaccard similarity networks to partition sites into groups from the sign data, without any human assignment. The Louvain algorithm</w:t>
      </w:r>
      <w:r>
        <w:t xml:space="preserve"> </w:t>
      </w:r>
      <w:r>
        <w:t xml:space="preserve">[12]</w:t>
      </w:r>
      <w:r>
        <w:t xml:space="preserve"> </w:t>
      </w:r>
      <w:r>
        <w:t xml:space="preserve">identifies clusters of sites whose sign repertoires are more similar to each other than to sites in other clusters, optimising Newman–Girvan modularity</w:t>
      </w:r>
      <w:r>
        <w:t xml:space="preserve"> </w:t>
      </w:r>
      <w:r>
        <w:t xml:space="preserve">[13]</w:t>
      </w:r>
      <w:r>
        <w:t xml:space="preserve">. By comparing these data-driven communities to the ones used in the main analysis, we quantify how much of the two-group structure is reproduced by data-driven methods.</w:t>
      </w:r>
    </w:p>
    <w:p>
      <w:pPr>
        <w:pStyle w:val="BodyText"/>
      </w:pPr>
      <w:r>
        <w:t xml:space="preserve">We run Louvain detection for each phase at each of the three thresholds (0.1, 0.2, 0.3), using the Jaccard similarity metric of the main text. For each partition we compute two measures:</w:t>
      </w:r>
    </w:p>
    <w:p>
      <w:pPr>
        <w:numPr>
          <w:ilvl w:val="0"/>
          <w:numId w:val="1005"/>
        </w:numPr>
        <w:pStyle w:val="Compact"/>
      </w:pPr>
      <w:r>
        <w:rPr>
          <w:bCs/>
          <w:b/>
        </w:rPr>
        <w:t xml:space="preserve">Adjusted Rand Index (ARI)</w:t>
      </w:r>
      <w:r>
        <w:t xml:space="preserve"> </w:t>
      </w:r>
      <w:r>
        <w:t xml:space="preserve">between the Louvain-derived communities and the manually assigned restricted/broad groups. ARI = 1.0 means the two partitions are identical; ARI ≈ 0 means agreement arises purely by chance.</w:t>
      </w:r>
    </w:p>
    <w:p>
      <w:pPr>
        <w:numPr>
          <w:ilvl w:val="0"/>
          <w:numId w:val="1005"/>
        </w:numPr>
        <w:pStyle w:val="Compact"/>
      </w:pPr>
      <w:r>
        <w:rPr>
          <w:bCs/>
          <w:b/>
        </w:rPr>
        <w:t xml:space="preserve">PerMANOVA re-run</w:t>
      </w:r>
      <w:r>
        <w:t xml:space="preserve"> </w:t>
      </w:r>
      <w:r>
        <w:t xml:space="preserve">using the Louvain-assigned community labels as the grouping variable, and comparison of R</w:t>
      </w:r>
      <w:r>
        <w:rPr>
          <w:vertAlign w:val="superscript"/>
        </w:rPr>
        <w:t xml:space="preserve">2</w:t>
      </w:r>
      <w:r>
        <w:t xml:space="preserve"> </w:t>
      </w:r>
      <w:r>
        <w:t xml:space="preserve">and pseudo-F against the values reported from the manual assignment.</w:t>
      </w:r>
    </w:p>
    <w:tbl>
      <w:tblPr>
        <w:tblStyle w:val="Table"/>
        <w:tblW w:type="pct" w:w="5000"/>
        <w:tblLook w:firstRow="0" w:lastRow="0" w:firstColumn="0" w:lastColumn="0" w:noHBand="0" w:noVBand="0" w:val="0000"/>
        <w:jc w:val="start"/>
        <w:tblLayout w:type="fixed"/>
      </w:tblPr>
      <w:tblGrid>
        <w:gridCol w:w="7920"/>
      </w:tblGrid>
      <w:tr>
        <w:tc>
          <w:tcPr/>
          <w:bookmarkStart w:id="102" w:name="tbl-louvain-groups"/>
          <w:tbl>
            <w:tblPr>
              <w:tblStyle w:val="Table"/>
              <w:tblW w:type="pct" w:w="5000"/>
              <w:tblLook w:firstRow="1" w:lastRow="0" w:firstColumn="0" w:lastColumn="0" w:noHBand="0" w:noVBand="0" w:val="0020"/>
              <w:jc w:val="start"/>
              <w:tblLayout w:type="fixed"/>
            </w:tblPr>
            <w:tblGrid>
              <w:gridCol w:w="1188"/>
              <w:gridCol w:w="3168"/>
              <w:gridCol w:w="1188"/>
              <w:gridCol w:w="1188"/>
              <w:gridCol w:w="1188"/>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th=0.1</w:t>
                  </w:r>
                </w:p>
              </w:tc>
              <w:tc>
                <w:tcPr/>
                <w:p>
                  <w:pPr>
                    <w:pStyle w:val="Compact"/>
                    <w:jc w:val="left"/>
                    <w:jc w:val="left"/>
                  </w:pPr>
                  <w:r>
                    <w:t xml:space="preserve">th=0.2</w:t>
                  </w:r>
                </w:p>
              </w:tc>
              <w:tc>
                <w:tcPr/>
                <w:p>
                  <w:pPr>
                    <w:pStyle w:val="Compact"/>
                    <w:jc w:val="left"/>
                    <w:jc w:val="left"/>
                  </w:pPr>
                  <w:r>
                    <w:t xml:space="preserve">th=0.3</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2</w:t>
                  </w:r>
                </w:p>
              </w:tc>
              <w:tc>
                <w:tcPr/>
                <w:p>
                  <w:pPr>
                    <w:pStyle w:val="Compact"/>
                    <w:jc w:val="left"/>
                    <w:jc w:val="left"/>
                  </w:pPr>
                  <w:r>
                    <w:t xml:space="preserve">3</w:t>
                  </w:r>
                </w:p>
              </w:tc>
              <w:tc>
                <w:tcPr/>
                <w:p>
                  <w:pPr>
                    <w:pStyle w:val="Compact"/>
                    <w:jc w:val="left"/>
                    <w:jc w:val="left"/>
                  </w:pPr>
                  <w:r>
                    <w:t xml:space="preserve">4</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2</w:t>
                  </w:r>
                </w:p>
              </w:tc>
              <w:tc>
                <w:tcPr/>
                <w:p>
                  <w:pPr>
                    <w:pStyle w:val="Compact"/>
                    <w:jc w:val="left"/>
                    <w:jc w:val="left"/>
                  </w:pPr>
                  <w:r>
                    <w:t xml:space="preserve">4</w:t>
                  </w:r>
                </w:p>
              </w:tc>
              <w:tc>
                <w:tcPr/>
                <w:p>
                  <w:pPr>
                    <w:pStyle w:val="Compact"/>
                    <w:jc w:val="left"/>
                    <w:jc w:val="left"/>
                  </w:pPr>
                  <w:r>
                    <w:t xml:space="preserve">5</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4</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r>
          </w:tbl>
          <w:p>
            <w:pPr>
              <w:jc w:val="left"/>
            </w:pPr>
            <w:pPr>
              <w:jc w:val="start"/>
              <w:spacing w:before="200"/>
              <w:pStyle w:val="ImageCaption"/>
            </w:pPr>
            <w:r>
              <w:t xml:space="preserve">Table Q. Louvain community memberships for each site, by phase and threshold. Sites with no community assignment (no edges at that threshold) are assigned to a singleton community. Groups are numbered by Louvain membership.</w:t>
            </w:r>
          </w:p>
          <w:bookmarkEnd w:id="102"/>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03" w:name="tbl-ari-louvain"/>
          <w:tbl>
            <w:tblPr>
              <w:tblStyle w:val="Table"/>
              <w:tblW w:type="pct" w:w="5000"/>
              <w:tblLook w:firstRow="1" w:lastRow="0" w:firstColumn="0" w:lastColumn="0" w:noHBand="0" w:noVBand="0" w:val="0020"/>
              <w:jc w:val="start"/>
              <w:tblLayout w:type="fixed"/>
            </w:tblPr>
            <w:tblGrid>
              <w:gridCol w:w="2217"/>
              <w:gridCol w:w="1742"/>
              <w:gridCol w:w="3960"/>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ARI (manual vs Louvain)</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0.787</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0.556</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0.798</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0.556</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0.581</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0.167</w:t>
                  </w:r>
                </w:p>
              </w:tc>
            </w:tr>
          </w:tbl>
          <w:p>
            <w:pPr>
              <w:jc w:val="left"/>
            </w:pPr>
            <w:pPr>
              <w:jc w:val="start"/>
              <w:spacing w:before="200"/>
              <w:pStyle w:val="ImageCaption"/>
            </w:pPr>
            <w:r>
              <w:t xml:space="preserve">Table R. Adjusted Rand Index (ARI) between Louvain-derived communities and the manually assigned restricted/broad groups, by phase and threshold. ARI = 1.0 indicates identical partitions; ARI ≈ 0 indicates agreement no better than chance.</w:t>
            </w:r>
          </w:p>
          <w:bookmarkEnd w:id="103"/>
        </w:tc>
      </w:tr>
    </w:tbl>
    <w:bookmarkEnd w:id="104"/>
    <w:bookmarkEnd w:id="105"/>
    <w:bookmarkStart w:id="108" w:name="sec-s6-2"/>
    <w:p>
      <w:pPr>
        <w:pStyle w:val="Heading2"/>
      </w:pPr>
      <w:r>
        <w:t xml:space="preserve">S1.6.3 Infomap community partitioning</w:t>
      </w:r>
    </w:p>
    <w:bookmarkStart w:id="107" w:name="method-1"/>
    <w:p>
      <w:pPr>
        <w:pStyle w:val="Heading3"/>
      </w:pPr>
      <w:r>
        <w:t xml:space="preserve">Method</w:t>
      </w:r>
    </w:p>
    <w:p>
      <w:pPr>
        <w:pStyle w:val="FirstParagraph"/>
      </w:pPr>
      <w:r>
        <w:t xml:space="preserve">We compare Infomap community detection with Louvain to assess whether different community detection algorithms yield similar partitions. Infomap optimizes the map equation rather than modularity, providing an alternative perspective on community structure. By comparing these data-driven communities to the Louvain partitions, we evaluate the robustness of community detection results across different optimization criteria.</w:t>
      </w:r>
    </w:p>
    <w:p>
      <w:pPr>
        <w:pStyle w:val="BodyText"/>
      </w:pPr>
      <w:r>
        <w:t xml:space="preserve">We run Infomap detection for each phase at each of the three thresholds (0.1, 0.2, 0.3), using the Jaccard similarity metric of the main text. For each partition we compute one measure:</w:t>
      </w:r>
    </w:p>
    <w:p>
      <w:pPr>
        <w:numPr>
          <w:ilvl w:val="0"/>
          <w:numId w:val="1006"/>
        </w:numPr>
        <w:pStyle w:val="Compact"/>
      </w:pPr>
      <w:r>
        <w:rPr>
          <w:bCs/>
          <w:b/>
        </w:rPr>
        <w:t xml:space="preserve">Adjusted Rand Index (ARI)</w:t>
      </w:r>
      <w:r>
        <w:t xml:space="preserve"> </w:t>
      </w:r>
      <w:r>
        <w:t xml:space="preserve">between the Infomap-derived communities and the Louvain-derived communities. ARI = 1.0 means the two partitions are identical; ARI ≈ 0 means agreement arises purely by chance.</w:t>
      </w:r>
    </w:p>
    <w:tbl>
      <w:tblPr>
        <w:tblStyle w:val="Table"/>
        <w:tblW w:type="pct" w:w="5000"/>
        <w:tblLook w:firstRow="0" w:lastRow="0" w:firstColumn="0" w:lastColumn="0" w:noHBand="0" w:noVBand="0" w:val="0000"/>
        <w:jc w:val="start"/>
        <w:tblLayout w:type="fixed"/>
      </w:tblPr>
      <w:tblGrid>
        <w:gridCol w:w="7920"/>
      </w:tblGrid>
      <w:tr>
        <w:tc>
          <w:tcPr/>
          <w:bookmarkStart w:id="106" w:name="tbl-ari-infomap"/>
          <w:tbl>
            <w:tblPr>
              <w:tblStyle w:val="Table"/>
              <w:tblW w:type="pct" w:w="5000"/>
              <w:tblLook w:firstRow="1" w:lastRow="0" w:firstColumn="0" w:lastColumn="0" w:noHBand="0" w:noVBand="0" w:val="0020"/>
              <w:jc w:val="start"/>
              <w:tblLayout w:type="fixed"/>
            </w:tblPr>
            <w:tblGrid>
              <w:gridCol w:w="2217"/>
              <w:gridCol w:w="1742"/>
              <w:gridCol w:w="3960"/>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ARI (Infomap vs Louvain)</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1.000</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0.764</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0.478</w:t>
                  </w:r>
                </w:p>
              </w:tc>
            </w:tr>
          </w:tbl>
          <w:p>
            <w:pPr>
              <w:jc w:val="left"/>
            </w:pPr>
            <w:pPr>
              <w:jc w:val="start"/>
              <w:spacing w:before="200"/>
              <w:pStyle w:val="ImageCaption"/>
            </w:pPr>
            <w:r>
              <w:t xml:space="preserve">Table S. Adjusted Rand Index (ARI) between Infomap-derived communities and Louvain-derived communities, by phase and threshold. ARI = 1.0 indicates identical partitions; ARI ≈ 0 indicates agreement no better than chance.</w:t>
            </w:r>
          </w:p>
          <w:bookmarkEnd w:id="106"/>
        </w:tc>
      </w:tr>
    </w:tbl>
    <w:bookmarkEnd w:id="107"/>
    <w:bookmarkEnd w:id="108"/>
    <w:bookmarkStart w:id="111" w:name="sec-s6-3"/>
    <w:p>
      <w:pPr>
        <w:pStyle w:val="Heading2"/>
      </w:pPr>
      <w:r>
        <w:t xml:space="preserve">S1.6.4 Leiden community partitioning</w:t>
      </w:r>
    </w:p>
    <w:bookmarkStart w:id="110" w:name="method-2"/>
    <w:p>
      <w:pPr>
        <w:pStyle w:val="Heading3"/>
      </w:pPr>
      <w:r>
        <w:t xml:space="preserve">Method</w:t>
      </w:r>
    </w:p>
    <w:p>
      <w:pPr>
        <w:pStyle w:val="FirstParagraph"/>
      </w:pPr>
      <w:r>
        <w:t xml:space="preserve">We compare Leiden community detection with Louvain to assess whether the improvements in the Leiden algorithm — which addresses known limitations of Louvain’s tendency to yield poorly connected communities — alter our conclusions. The Leiden algorithm is now considered the standard community detection method for many applications, and it is particularly useful for weighted networks like our Jaccard similarity network.</w:t>
      </w:r>
    </w:p>
    <w:p>
      <w:pPr>
        <w:pStyle w:val="BodyText"/>
      </w:pPr>
      <w:r>
        <w:t xml:space="preserve">We run Leiden detection for each phase at each of the three thresholds (0.1, 0.2, 0.3), using the Jaccard similarity metric of the main text. For each partition we compute one measure:</w:t>
      </w:r>
    </w:p>
    <w:p>
      <w:pPr>
        <w:numPr>
          <w:ilvl w:val="0"/>
          <w:numId w:val="1007"/>
        </w:numPr>
        <w:pStyle w:val="Compact"/>
      </w:pPr>
      <w:r>
        <w:rPr>
          <w:bCs/>
          <w:b/>
        </w:rPr>
        <w:t xml:space="preserve">Adjusted Rand Index (ARI)</w:t>
      </w:r>
      <w:r>
        <w:t xml:space="preserve"> </w:t>
      </w:r>
      <w:r>
        <w:t xml:space="preserve">between the Leiden-derived communities and the Louvain-derived communities. ARI = 1.0 means the two partitions are identical; ARI ≈ 0 means agreement arises purely by chance.</w:t>
      </w:r>
    </w:p>
    <w:tbl>
      <w:tblPr>
        <w:tblStyle w:val="Table"/>
        <w:tblW w:type="pct" w:w="5000"/>
        <w:tblLook w:firstRow="0" w:lastRow="0" w:firstColumn="0" w:lastColumn="0" w:noHBand="0" w:noVBand="0" w:val="0000"/>
        <w:jc w:val="start"/>
        <w:tblLayout w:type="fixed"/>
      </w:tblPr>
      <w:tblGrid>
        <w:gridCol w:w="7920"/>
      </w:tblGrid>
      <w:tr>
        <w:tc>
          <w:tcPr/>
          <w:bookmarkStart w:id="109" w:name="tbl-ari-leiden"/>
          <w:tbl>
            <w:tblPr>
              <w:tblStyle w:val="Table"/>
              <w:tblW w:type="pct" w:w="5000"/>
              <w:tblLook w:firstRow="1" w:lastRow="0" w:firstColumn="0" w:lastColumn="0" w:noHBand="0" w:noVBand="0" w:val="0020"/>
              <w:jc w:val="start"/>
              <w:tblLayout w:type="fixed"/>
            </w:tblPr>
            <w:tblGrid>
              <w:gridCol w:w="2217"/>
              <w:gridCol w:w="1742"/>
              <w:gridCol w:w="3960"/>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ARI (Leiden vs Louvain)</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-0.051</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0.257</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0.167</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0.478</w:t>
                  </w:r>
                </w:p>
              </w:tc>
            </w:tr>
          </w:tbl>
          <w:p>
            <w:pPr>
              <w:jc w:val="left"/>
            </w:pPr>
            <w:pPr>
              <w:jc w:val="start"/>
              <w:spacing w:before="200"/>
              <w:pStyle w:val="ImageCaption"/>
            </w:pPr>
            <w:r>
              <w:t xml:space="preserve">Table T. Adjusted Rand Index (ARI) between Leiden-derived communities and Louvain-derived communities, by phase and threshold. ARI = 1.0 indicates identical partitions; ARI ≈ 0 indicates agreement no better than chance.</w:t>
            </w:r>
          </w:p>
          <w:bookmarkEnd w:id="109"/>
        </w:tc>
      </w:tr>
    </w:tbl>
    <w:bookmarkEnd w:id="110"/>
    <w:bookmarkEnd w:id="111"/>
    <w:bookmarkStart w:id="114" w:name="sec-s6-4"/>
    <w:p>
      <w:pPr>
        <w:pStyle w:val="Heading2"/>
      </w:pPr>
      <w:r>
        <w:t xml:space="preserve">S1.6.5 Walktrap community partitioning</w:t>
      </w:r>
    </w:p>
    <w:bookmarkStart w:id="113" w:name="method-3"/>
    <w:p>
      <w:pPr>
        <w:pStyle w:val="Heading3"/>
      </w:pPr>
      <w:r>
        <w:t xml:space="preserve">Method</w:t>
      </w:r>
    </w:p>
    <w:p>
      <w:pPr>
        <w:pStyle w:val="FirstParagraph"/>
      </w:pPr>
      <w:r>
        <w:t xml:space="preserve">We compare Walktrap community detection with Louvain to assess whether optimizing community structure based on random walk lengths alters our conclusions. Walktrap uses a fundamentally different approach: it identifies communities as sets of vertices where short random walks tend to remain within the community rather than jump to others. This is particularly intuitive for archaeological network analysis where we might think of communities as groups that maintain internal sign-sharing patterns distinct from external connections.</w:t>
      </w:r>
    </w:p>
    <w:p>
      <w:pPr>
        <w:pStyle w:val="BodyText"/>
      </w:pPr>
      <w:r>
        <w:t xml:space="preserve">We run Walktrap detection for each phase at each of the three thresholds (0.1, 0.2, 0.3), using the Jaccard similarity metric of the main text. For each partition we compute one measure:</w:t>
      </w:r>
    </w:p>
    <w:p>
      <w:pPr>
        <w:numPr>
          <w:ilvl w:val="0"/>
          <w:numId w:val="1008"/>
        </w:numPr>
        <w:pStyle w:val="Compact"/>
      </w:pPr>
      <w:r>
        <w:rPr>
          <w:bCs/>
          <w:b/>
        </w:rPr>
        <w:t xml:space="preserve">Adjusted Rand Index (ARI)</w:t>
      </w:r>
      <w:r>
        <w:t xml:space="preserve"> </w:t>
      </w:r>
      <w:r>
        <w:t xml:space="preserve">between the Walktrap-derived communities and the Louvain-derived communities. ARI = 1.0 means the two partitions are identical; ARI ≈ 0 means agreement arises purely by chance.</w:t>
      </w:r>
    </w:p>
    <w:tbl>
      <w:tblPr>
        <w:tblStyle w:val="Table"/>
        <w:tblW w:type="pct" w:w="5000"/>
        <w:tblLook w:firstRow="0" w:lastRow="0" w:firstColumn="0" w:lastColumn="0" w:noHBand="0" w:noVBand="0" w:val="0000"/>
        <w:jc w:val="start"/>
        <w:tblLayout w:type="fixed"/>
      </w:tblPr>
      <w:tblGrid>
        <w:gridCol w:w="7920"/>
      </w:tblGrid>
      <w:tr>
        <w:tc>
          <w:tcPr/>
          <w:bookmarkStart w:id="112" w:name="tbl-ari-walktrap"/>
          <w:tbl>
            <w:tblPr>
              <w:tblStyle w:val="Table"/>
              <w:tblW w:type="pct" w:w="5000"/>
              <w:tblLook w:firstRow="1" w:lastRow="0" w:firstColumn="0" w:lastColumn="0" w:noHBand="0" w:noVBand="0" w:val="0020"/>
              <w:jc w:val="start"/>
              <w:tblLayout w:type="fixed"/>
            </w:tblPr>
            <w:tblGrid>
              <w:gridCol w:w="2217"/>
              <w:gridCol w:w="1742"/>
              <w:gridCol w:w="3960"/>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ARI (Walktrap vs Louvain)</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0.410</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0.393</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1.000</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1.000</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0.764</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1.000</w:t>
                  </w:r>
                </w:p>
              </w:tc>
            </w:tr>
          </w:tbl>
          <w:p>
            <w:pPr>
              <w:jc w:val="left"/>
            </w:pPr>
            <w:pPr>
              <w:jc w:val="start"/>
              <w:spacing w:before="200"/>
              <w:pStyle w:val="ImageCaption"/>
            </w:pPr>
            <w:r>
              <w:t xml:space="preserve">Table U. Adjusted Rand Index (ARI) between Walktrap-derived communities and Louvain-derived communities, by phase and threshold. ARI = 1.0 indicates identical partitions; ARI ≈ 0 indicates agreement no better than chance.</w:t>
            </w:r>
          </w:p>
          <w:bookmarkEnd w:id="112"/>
        </w:tc>
      </w:tr>
    </w:tbl>
    <w:bookmarkEnd w:id="113"/>
    <w:bookmarkEnd w:id="114"/>
    <w:bookmarkStart w:id="117" w:name="sec-s6-5"/>
    <w:p>
      <w:pPr>
        <w:pStyle w:val="Heading2"/>
      </w:pPr>
      <w:r>
        <w:t xml:space="preserve">S1.6.6 PerMANOVA comparison</w:t>
      </w:r>
    </w:p>
    <w:bookmarkStart w:id="116" w:name="method-4"/>
    <w:p>
      <w:pPr>
        <w:pStyle w:val="Heading3"/>
      </w:pPr>
      <w:r>
        <w:t xml:space="preserve">Method</w:t>
      </w:r>
    </w:p>
    <w:p>
      <w:pPr>
        <w:pStyle w:val="FirstParagraph"/>
      </w:pPr>
      <w:r>
        <w:t xml:space="preserve">To further evaluate how algorithmically detected communities compare to the manual restricted/broad grouping, we run PerMANOVA tests using the group assignments from each community detection algorithm. This shows how much of the variance in sign composition each algorithmic partition explains. Because each partition is fitted to the same data, its PerMANOVA p-value is not a valid test of a group difference (</w:t>
      </w:r>
      <w:r>
        <w:t xml:space="preserve">Section S1.6.8</w:t>
      </w:r>
      <w:r>
        <w:t xml:space="preserve">).</w:t>
      </w:r>
    </w:p>
    <w:p>
      <w:pPr>
        <w:pStyle w:val="BodyText"/>
      </w:pPr>
      <w:r>
        <w:t xml:space="preserve">We compute PerMANOVA R² and p-values for each algorithm at each threshold, comparing them to the values from the manual grouping.</w:t>
      </w:r>
    </w:p>
    <w:tbl>
      <w:tblPr>
        <w:tblStyle w:val="Table"/>
        <w:tblW w:type="pct" w:w="5000"/>
        <w:tblLook w:firstRow="0" w:lastRow="0" w:firstColumn="0" w:lastColumn="0" w:noHBand="0" w:noVBand="0" w:val="0000"/>
        <w:jc w:val="start"/>
        <w:tblLayout w:type="fixed"/>
      </w:tblPr>
      <w:tblGrid>
        <w:gridCol w:w="7920"/>
      </w:tblGrid>
      <w:tr>
        <w:tc>
          <w:tcPr/>
          <w:bookmarkStart w:id="115" w:name="tbl-permanova-comparison"/>
          <w:tbl>
            <w:tblPr>
              <w:tblStyle w:val="Table"/>
              <w:tblW w:type="pct" w:w="5000"/>
              <w:tblLook w:firstRow="1" w:lastRow="0" w:firstColumn="0" w:lastColumn="0" w:noHBand="0" w:noVBand="0" w:val="0020"/>
              <w:jc w:val="start"/>
              <w:tblLayout w:type="fixed"/>
            </w:tblPr>
            <w:tblGrid>
              <w:gridCol w:w="871"/>
              <w:gridCol w:w="792"/>
              <w:gridCol w:w="1267"/>
              <w:gridCol w:w="871"/>
              <w:gridCol w:w="950"/>
              <w:gridCol w:w="792"/>
              <w:gridCol w:w="871"/>
              <w:gridCol w:w="712"/>
              <w:gridCol w:w="792"/>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Algorithm</w:t>
                  </w:r>
                </w:p>
              </w:tc>
              <w:tc>
                <w:tcPr/>
                <w:p>
                  <w:pPr>
                    <w:pStyle w:val="Compact"/>
                    <w:jc w:val="left"/>
                    <w:jc w:val="left"/>
                  </w:pPr>
                  <w:r>
                    <w:t xml:space="preserve">Manual R²</w:t>
                  </w:r>
                </w:p>
              </w:tc>
              <w:tc>
                <w:tcPr/>
                <w:p>
                  <w:pPr>
                    <w:pStyle w:val="Compact"/>
                    <w:jc w:val="left"/>
                    <w:jc w:val="left"/>
                  </w:pPr>
                  <w:r>
                    <w:t xml:space="preserve">Algorithm R²</w:t>
                  </w:r>
                </w:p>
              </w:tc>
              <w:tc>
                <w:tcPr/>
                <w:p>
                  <w:pPr>
                    <w:pStyle w:val="Compact"/>
                    <w:jc w:val="left"/>
                    <w:jc w:val="left"/>
                  </w:pPr>
                  <w:r>
                    <w:t xml:space="preserve">Manual F</w:t>
                  </w:r>
                </w:p>
              </w:tc>
              <w:tc>
                <w:tcPr/>
                <w:p>
                  <w:pPr>
                    <w:pStyle w:val="Compact"/>
                    <w:jc w:val="left"/>
                    <w:jc w:val="left"/>
                  </w:pPr>
                  <w:r>
                    <w:t xml:space="preserve">Algorithm F</w:t>
                  </w:r>
                </w:p>
              </w:tc>
              <w:tc>
                <w:tcPr/>
                <w:p>
                  <w:pPr>
                    <w:pStyle w:val="Compact"/>
                    <w:jc w:val="left"/>
                    <w:jc w:val="left"/>
                  </w:pPr>
                  <w:r>
                    <w:t xml:space="preserve">Manual p</w:t>
                  </w:r>
                </w:p>
              </w:tc>
              <w:tc>
                <w:tcPr/>
                <w:p>
                  <w:pPr>
                    <w:pStyle w:val="Compact"/>
                    <w:jc w:val="left"/>
                    <w:jc w:val="left"/>
                  </w:pPr>
                  <w:r>
                    <w:t xml:space="preserve">Algorithm p</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louvain</w:t>
                  </w:r>
                </w:p>
              </w:tc>
              <w:tc>
                <w:tcPr/>
                <w:p>
                  <w:pPr>
                    <w:pStyle w:val="Compact"/>
                    <w:jc w:val="left"/>
                    <w:jc w:val="left"/>
                  </w:pPr>
                  <w:r>
                    <w:t xml:space="preserve">NA</w:t>
                  </w:r>
                </w:p>
              </w:tc>
              <w:tc>
                <w:tcPr/>
                <w:p>
                  <w:pPr>
                    <w:pStyle w:val="Compact"/>
                    <w:jc w:val="left"/>
                    <w:jc w:val="left"/>
                  </w:pPr>
                  <w:r>
                    <w:t xml:space="preserve">0.335</w:t>
                  </w:r>
                </w:p>
              </w:tc>
              <w:tc>
                <w:tcPr/>
                <w:p>
                  <w:pPr>
                    <w:pStyle w:val="Compact"/>
                    <w:jc w:val="left"/>
                    <w:jc w:val="left"/>
                  </w:pPr>
                  <w:r>
                    <w:t xml:space="preserve">NA</w:t>
                  </w:r>
                </w:p>
              </w:tc>
              <w:tc>
                <w:tcPr/>
                <w:p>
                  <w:pPr>
                    <w:pStyle w:val="Compact"/>
                    <w:jc w:val="left"/>
                    <w:jc w:val="left"/>
                  </w:pPr>
                  <w:r>
                    <w:t xml:space="preserve">4.279</w:t>
                  </w:r>
                </w:p>
              </w:tc>
              <w:tc>
                <w:tcPr/>
                <w:p>
                  <w:pPr>
                    <w:pStyle w:val="Compact"/>
                    <w:jc w:val="left"/>
                    <w:jc w:val="left"/>
                  </w:pPr>
                  <w:r>
                    <w:t xml:space="preserve">NA</w:t>
                  </w:r>
                </w:p>
              </w:tc>
              <w:tc>
                <w:tcPr/>
                <w:p>
                  <w:pPr>
                    <w:pStyle w:val="Compact"/>
                    <w:jc w:val="left"/>
                    <w:jc w:val="left"/>
                  </w:pPr>
                  <w:r>
                    <w:t xml:space="preserve">0.001</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infomap</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leiden</w:t>
                  </w:r>
                </w:p>
              </w:tc>
              <w:tc>
                <w:tcPr/>
                <w:p>
                  <w:pPr>
                    <w:pStyle w:val="Compact"/>
                    <w:jc w:val="left"/>
                    <w:jc w:val="left"/>
                  </w:pPr>
                  <w:r>
                    <w:t xml:space="preserve">NA</w:t>
                  </w:r>
                </w:p>
              </w:tc>
              <w:tc>
                <w:tcPr/>
                <w:p>
                  <w:pPr>
                    <w:pStyle w:val="Compact"/>
                    <w:jc w:val="left"/>
                    <w:jc w:val="left"/>
                  </w:pPr>
                  <w:r>
                    <w:t xml:space="preserve">0.082</w:t>
                  </w:r>
                </w:p>
              </w:tc>
              <w:tc>
                <w:tcPr/>
                <w:p>
                  <w:pPr>
                    <w:pStyle w:val="Compact"/>
                    <w:jc w:val="left"/>
                    <w:jc w:val="left"/>
                  </w:pPr>
                  <w:r>
                    <w:t xml:space="preserve">NA</w:t>
                  </w:r>
                </w:p>
              </w:tc>
              <w:tc>
                <w:tcPr/>
                <w:p>
                  <w:pPr>
                    <w:pStyle w:val="Compact"/>
                    <w:jc w:val="left"/>
                    <w:jc w:val="left"/>
                  </w:pPr>
                  <w:r>
                    <w:t xml:space="preserve">1.611</w:t>
                  </w:r>
                </w:p>
              </w:tc>
              <w:tc>
                <w:tcPr/>
                <w:p>
                  <w:pPr>
                    <w:pStyle w:val="Compact"/>
                    <w:jc w:val="left"/>
                    <w:jc w:val="left"/>
                  </w:pPr>
                  <w:r>
                    <w:t xml:space="preserve">NA</w:t>
                  </w:r>
                </w:p>
              </w:tc>
              <w:tc>
                <w:tcPr/>
                <w:p>
                  <w:pPr>
                    <w:pStyle w:val="Compact"/>
                    <w:jc w:val="left"/>
                    <w:jc w:val="left"/>
                  </w:pPr>
                  <w:r>
                    <w:t xml:space="preserve">0.043</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walktrap</w:t>
                  </w:r>
                </w:p>
              </w:tc>
              <w:tc>
                <w:tcPr/>
                <w:p>
                  <w:pPr>
                    <w:pStyle w:val="Compact"/>
                    <w:jc w:val="left"/>
                    <w:jc w:val="left"/>
                  </w:pPr>
                  <w:r>
                    <w:t xml:space="preserve">NA</w:t>
                  </w:r>
                </w:p>
              </w:tc>
              <w:tc>
                <w:tcPr/>
                <w:p>
                  <w:pPr>
                    <w:pStyle w:val="Compact"/>
                    <w:jc w:val="left"/>
                    <w:jc w:val="left"/>
                  </w:pPr>
                  <w:r>
                    <w:t xml:space="preserve">0.369</w:t>
                  </w:r>
                </w:p>
              </w:tc>
              <w:tc>
                <w:tcPr/>
                <w:p>
                  <w:pPr>
                    <w:pStyle w:val="Compact"/>
                    <w:jc w:val="left"/>
                    <w:jc w:val="left"/>
                  </w:pPr>
                  <w:r>
                    <w:t xml:space="preserve">NA</w:t>
                  </w:r>
                </w:p>
              </w:tc>
              <w:tc>
                <w:tcPr/>
                <w:p>
                  <w:pPr>
                    <w:pStyle w:val="Compact"/>
                    <w:jc w:val="left"/>
                    <w:jc w:val="left"/>
                  </w:pPr>
                  <w:r>
                    <w:t xml:space="preserve">3.114</w:t>
                  </w:r>
                </w:p>
              </w:tc>
              <w:tc>
                <w:tcPr/>
                <w:p>
                  <w:pPr>
                    <w:pStyle w:val="Compact"/>
                    <w:jc w:val="left"/>
                    <w:jc w:val="left"/>
                  </w:pPr>
                  <w:r>
                    <w:t xml:space="preserve">NA</w:t>
                  </w:r>
                </w:p>
              </w:tc>
              <w:tc>
                <w:tcPr/>
                <w:p>
                  <w:pPr>
                    <w:pStyle w:val="Compact"/>
                    <w:jc w:val="left"/>
                    <w:jc w:val="left"/>
                  </w:pPr>
                  <w:r>
                    <w:t xml:space="preserve">0.001</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louvain</w:t>
                  </w:r>
                </w:p>
              </w:tc>
              <w:tc>
                <w:tcPr/>
                <w:p>
                  <w:pPr>
                    <w:pStyle w:val="Compact"/>
                    <w:jc w:val="left"/>
                    <w:jc w:val="left"/>
                  </w:pPr>
                  <w:r>
                    <w:t xml:space="preserve">NA</w:t>
                  </w:r>
                </w:p>
              </w:tc>
              <w:tc>
                <w:tcPr/>
                <w:p>
                  <w:pPr>
                    <w:pStyle w:val="Compact"/>
                    <w:jc w:val="left"/>
                    <w:jc w:val="left"/>
                  </w:pPr>
                  <w:r>
                    <w:t xml:space="preserve">0.494</w:t>
                  </w:r>
                </w:p>
              </w:tc>
              <w:tc>
                <w:tcPr/>
                <w:p>
                  <w:pPr>
                    <w:pStyle w:val="Compact"/>
                    <w:jc w:val="left"/>
                    <w:jc w:val="left"/>
                  </w:pPr>
                  <w:r>
                    <w:t xml:space="preserve">NA</w:t>
                  </w:r>
                </w:p>
              </w:tc>
              <w:tc>
                <w:tcPr/>
                <w:p>
                  <w:pPr>
                    <w:pStyle w:val="Compact"/>
                    <w:jc w:val="left"/>
                    <w:jc w:val="left"/>
                  </w:pPr>
                  <w:r>
                    <w:t xml:space="preserve">2.923</w:t>
                  </w:r>
                </w:p>
              </w:tc>
              <w:tc>
                <w:tcPr/>
                <w:p>
                  <w:pPr>
                    <w:pStyle w:val="Compact"/>
                    <w:jc w:val="left"/>
                    <w:jc w:val="left"/>
                  </w:pPr>
                  <w:r>
                    <w:t xml:space="preserve">NA</w:t>
                  </w:r>
                </w:p>
              </w:tc>
              <w:tc>
                <w:tcPr/>
                <w:p>
                  <w:pPr>
                    <w:pStyle w:val="Compact"/>
                    <w:jc w:val="left"/>
                    <w:jc w:val="left"/>
                  </w:pPr>
                  <w:r>
                    <w:t xml:space="preserve">0.001</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infomap</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leiden</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walktrap</w:t>
                  </w:r>
                </w:p>
              </w:tc>
              <w:tc>
                <w:tcPr/>
                <w:p>
                  <w:pPr>
                    <w:pStyle w:val="Compact"/>
                    <w:jc w:val="left"/>
                    <w:jc w:val="left"/>
                  </w:pPr>
                  <w:r>
                    <w:t xml:space="preserve">NA</w:t>
                  </w:r>
                </w:p>
              </w:tc>
              <w:tc>
                <w:tcPr/>
                <w:p>
                  <w:pPr>
                    <w:pStyle w:val="Compact"/>
                    <w:jc w:val="left"/>
                    <w:jc w:val="left"/>
                  </w:pPr>
                  <w:r>
                    <w:t xml:space="preserve">0.279</w:t>
                  </w:r>
                </w:p>
              </w:tc>
              <w:tc>
                <w:tcPr/>
                <w:p>
                  <w:pPr>
                    <w:pStyle w:val="Compact"/>
                    <w:jc w:val="left"/>
                    <w:jc w:val="left"/>
                  </w:pPr>
                  <w:r>
                    <w:t xml:space="preserve">NA</w:t>
                  </w:r>
                </w:p>
              </w:tc>
              <w:tc>
                <w:tcPr/>
                <w:p>
                  <w:pPr>
                    <w:pStyle w:val="Compact"/>
                    <w:jc w:val="left"/>
                    <w:jc w:val="left"/>
                  </w:pPr>
                  <w:r>
                    <w:t xml:space="preserve">2.703</w:t>
                  </w:r>
                </w:p>
              </w:tc>
              <w:tc>
                <w:tcPr/>
                <w:p>
                  <w:pPr>
                    <w:pStyle w:val="Compact"/>
                    <w:jc w:val="left"/>
                    <w:jc w:val="left"/>
                  </w:pPr>
                  <w:r>
                    <w:t xml:space="preserve">NA</w:t>
                  </w:r>
                </w:p>
              </w:tc>
              <w:tc>
                <w:tcPr/>
                <w:p>
                  <w:pPr>
                    <w:pStyle w:val="Compact"/>
                    <w:jc w:val="left"/>
                    <w:jc w:val="left"/>
                  </w:pPr>
                  <w:r>
                    <w:t xml:space="preserve">0.021</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louvain</w:t>
                  </w:r>
                </w:p>
              </w:tc>
              <w:tc>
                <w:tcPr/>
                <w:p>
                  <w:pPr>
                    <w:pStyle w:val="Compact"/>
                    <w:jc w:val="left"/>
                    <w:jc w:val="left"/>
                  </w:pPr>
                  <w:r>
                    <w:t xml:space="preserve">0.196</w:t>
                  </w:r>
                </w:p>
              </w:tc>
              <w:tc>
                <w:tcPr/>
                <w:p>
                  <w:pPr>
                    <w:pStyle w:val="Compact"/>
                    <w:jc w:val="left"/>
                    <w:jc w:val="left"/>
                  </w:pPr>
                  <w:r>
                    <w:t xml:space="preserve">0.356</w:t>
                  </w:r>
                </w:p>
              </w:tc>
              <w:tc>
                <w:tcPr/>
                <w:p>
                  <w:pPr>
                    <w:pStyle w:val="Compact"/>
                    <w:jc w:val="left"/>
                    <w:jc w:val="left"/>
                  </w:pPr>
                  <w:r>
                    <w:t xml:space="preserve">4.382</w:t>
                  </w:r>
                </w:p>
              </w:tc>
              <w:tc>
                <w:tcPr/>
                <w:p>
                  <w:pPr>
                    <w:pStyle w:val="Compact"/>
                    <w:jc w:val="left"/>
                    <w:jc w:val="left"/>
                  </w:pPr>
                  <w:r>
                    <w:t xml:space="preserve">2.945</w:t>
                  </w:r>
                </w:p>
              </w:tc>
              <w:tc>
                <w:tcPr/>
                <w:p>
                  <w:pPr>
                    <w:pStyle w:val="Compact"/>
                    <w:jc w:val="left"/>
                    <w:jc w:val="left"/>
                  </w:pPr>
                  <w:r>
                    <w:t xml:space="preserve">0.001</w:t>
                  </w:r>
                </w:p>
              </w:tc>
              <w:tc>
                <w:tcPr/>
                <w:p>
                  <w:pPr>
                    <w:pStyle w:val="Compact"/>
                    <w:jc w:val="left"/>
                    <w:jc w:val="left"/>
                  </w:pPr>
                  <w:r>
                    <w:t xml:space="preserve">0.001</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infomap</w:t>
                  </w:r>
                </w:p>
              </w:tc>
              <w:tc>
                <w:tcPr/>
                <w:p>
                  <w:pPr>
                    <w:pStyle w:val="Compact"/>
                    <w:jc w:val="left"/>
                    <w:jc w:val="left"/>
                  </w:pPr>
                  <w:r>
                    <w:t xml:space="preserve">0.196</w:t>
                  </w:r>
                </w:p>
              </w:tc>
              <w:tc>
                <w:tcPr/>
                <w:p>
                  <w:pPr>
                    <w:pStyle w:val="Compact"/>
                    <w:jc w:val="left"/>
                    <w:jc w:val="left"/>
                  </w:pPr>
                  <w:r>
                    <w:t xml:space="preserve">0.356</w:t>
                  </w:r>
                </w:p>
              </w:tc>
              <w:tc>
                <w:tcPr/>
                <w:p>
                  <w:pPr>
                    <w:pStyle w:val="Compact"/>
                    <w:jc w:val="left"/>
                    <w:jc w:val="left"/>
                  </w:pPr>
                  <w:r>
                    <w:t xml:space="preserve">4.382</w:t>
                  </w:r>
                </w:p>
              </w:tc>
              <w:tc>
                <w:tcPr/>
                <w:p>
                  <w:pPr>
                    <w:pStyle w:val="Compact"/>
                    <w:jc w:val="left"/>
                    <w:jc w:val="left"/>
                  </w:pPr>
                  <w:r>
                    <w:t xml:space="preserve">2.945</w:t>
                  </w:r>
                </w:p>
              </w:tc>
              <w:tc>
                <w:tcPr/>
                <w:p>
                  <w:pPr>
                    <w:pStyle w:val="Compact"/>
                    <w:jc w:val="left"/>
                    <w:jc w:val="left"/>
                  </w:pPr>
                  <w:r>
                    <w:t xml:space="preserve">0.001</w:t>
                  </w:r>
                </w:p>
              </w:tc>
              <w:tc>
                <w:tcPr/>
                <w:p>
                  <w:pPr>
                    <w:pStyle w:val="Compact"/>
                    <w:jc w:val="left"/>
                    <w:jc w:val="left"/>
                  </w:pPr>
                  <w:r>
                    <w:t xml:space="preserve">0.001</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leiden</w:t>
                  </w:r>
                </w:p>
              </w:tc>
              <w:tc>
                <w:tcPr/>
                <w:p>
                  <w:pPr>
                    <w:pStyle w:val="Compact"/>
                    <w:jc w:val="left"/>
                    <w:jc w:val="left"/>
                  </w:pPr>
                  <w:r>
                    <w:t xml:space="preserve">0.196</w:t>
                  </w:r>
                </w:p>
              </w:tc>
              <w:tc>
                <w:tcPr/>
                <w:p>
                  <w:pPr>
                    <w:pStyle w:val="Compact"/>
                    <w:jc w:val="left"/>
                    <w:jc w:val="left"/>
                  </w:pPr>
                  <w:r>
                    <w:t xml:space="preserve">0.164</w:t>
                  </w:r>
                </w:p>
              </w:tc>
              <w:tc>
                <w:tcPr/>
                <w:p>
                  <w:pPr>
                    <w:pStyle w:val="Compact"/>
                    <w:jc w:val="left"/>
                    <w:jc w:val="left"/>
                  </w:pPr>
                  <w:r>
                    <w:t xml:space="preserve">4.382</w:t>
                  </w:r>
                </w:p>
              </w:tc>
              <w:tc>
                <w:tcPr/>
                <w:p>
                  <w:pPr>
                    <w:pStyle w:val="Compact"/>
                    <w:jc w:val="left"/>
                    <w:jc w:val="left"/>
                  </w:pPr>
                  <w:r>
                    <w:t xml:space="preserve">1.662</w:t>
                  </w:r>
                </w:p>
              </w:tc>
              <w:tc>
                <w:tcPr/>
                <w:p>
                  <w:pPr>
                    <w:pStyle w:val="Compact"/>
                    <w:jc w:val="left"/>
                    <w:jc w:val="left"/>
                  </w:pPr>
                  <w:r>
                    <w:t xml:space="preserve">0.001</w:t>
                  </w:r>
                </w:p>
              </w:tc>
              <w:tc>
                <w:tcPr/>
                <w:p>
                  <w:pPr>
                    <w:pStyle w:val="Compact"/>
                    <w:jc w:val="left"/>
                    <w:jc w:val="left"/>
                  </w:pPr>
                  <w:r>
                    <w:t xml:space="preserve">0.006</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walktrap</w:t>
                  </w:r>
                </w:p>
              </w:tc>
              <w:tc>
                <w:tcPr/>
                <w:p>
                  <w:pPr>
                    <w:pStyle w:val="Compact"/>
                    <w:jc w:val="left"/>
                    <w:jc w:val="left"/>
                  </w:pPr>
                  <w:r>
                    <w:t xml:space="preserve">0.196</w:t>
                  </w:r>
                </w:p>
              </w:tc>
              <w:tc>
                <w:tcPr/>
                <w:p>
                  <w:pPr>
                    <w:pStyle w:val="Compact"/>
                    <w:jc w:val="left"/>
                    <w:jc w:val="left"/>
                  </w:pPr>
                  <w:r>
                    <w:t xml:space="preserve">0.356</w:t>
                  </w:r>
                </w:p>
              </w:tc>
              <w:tc>
                <w:tcPr/>
                <w:p>
                  <w:pPr>
                    <w:pStyle w:val="Compact"/>
                    <w:jc w:val="left"/>
                    <w:jc w:val="left"/>
                  </w:pPr>
                  <w:r>
                    <w:t xml:space="preserve">4.382</w:t>
                  </w:r>
                </w:p>
              </w:tc>
              <w:tc>
                <w:tcPr/>
                <w:p>
                  <w:pPr>
                    <w:pStyle w:val="Compact"/>
                    <w:jc w:val="left"/>
                    <w:jc w:val="left"/>
                  </w:pPr>
                  <w:r>
                    <w:t xml:space="preserve">2.945</w:t>
                  </w:r>
                </w:p>
              </w:tc>
              <w:tc>
                <w:tcPr/>
                <w:p>
                  <w:pPr>
                    <w:pStyle w:val="Compact"/>
                    <w:jc w:val="left"/>
                    <w:jc w:val="left"/>
                  </w:pPr>
                  <w:r>
                    <w:t xml:space="preserve">0.001</w:t>
                  </w:r>
                </w:p>
              </w:tc>
              <w:tc>
                <w:tcPr/>
                <w:p>
                  <w:pPr>
                    <w:pStyle w:val="Compact"/>
                    <w:jc w:val="left"/>
                    <w:jc w:val="left"/>
                  </w:pPr>
                  <w:r>
                    <w:t xml:space="preserve">0.001</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louvain</w:t>
                  </w:r>
                </w:p>
              </w:tc>
              <w:tc>
                <w:tcPr/>
                <w:p>
                  <w:pPr>
                    <w:pStyle w:val="Compact"/>
                    <w:jc w:val="left"/>
                    <w:jc w:val="left"/>
                  </w:pPr>
                  <w:r>
                    <w:t xml:space="preserve">0.223</w:t>
                  </w:r>
                </w:p>
              </w:tc>
              <w:tc>
                <w:tcPr/>
                <w:p>
                  <w:pPr>
                    <w:pStyle w:val="Compact"/>
                    <w:jc w:val="left"/>
                    <w:jc w:val="left"/>
                  </w:pPr>
                  <w:r>
                    <w:t xml:space="preserve">0.494</w:t>
                  </w:r>
                </w:p>
              </w:tc>
              <w:tc>
                <w:tcPr/>
                <w:p>
                  <w:pPr>
                    <w:pStyle w:val="Compact"/>
                    <w:jc w:val="left"/>
                    <w:jc w:val="left"/>
                  </w:pPr>
                  <w:r>
                    <w:t xml:space="preserve">2.008</w:t>
                  </w:r>
                </w:p>
              </w:tc>
              <w:tc>
                <w:tcPr/>
                <w:p>
                  <w:pPr>
                    <w:pStyle w:val="Compact"/>
                    <w:jc w:val="left"/>
                    <w:jc w:val="left"/>
                  </w:pPr>
                  <w:r>
                    <w:t xml:space="preserve">2.923</w:t>
                  </w:r>
                </w:p>
              </w:tc>
              <w:tc>
                <w:tcPr/>
                <w:p>
                  <w:pPr>
                    <w:pStyle w:val="Compact"/>
                    <w:jc w:val="left"/>
                    <w:jc w:val="left"/>
                  </w:pPr>
                  <w:r>
                    <w:t xml:space="preserve">0.076</w:t>
                  </w:r>
                </w:p>
              </w:tc>
              <w:tc>
                <w:tcPr/>
                <w:p>
                  <w:pPr>
                    <w:pStyle w:val="Compact"/>
                    <w:jc w:val="left"/>
                    <w:jc w:val="left"/>
                  </w:pPr>
                  <w:r>
                    <w:t xml:space="preserve">0.001</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infomap</w:t>
                  </w:r>
                </w:p>
              </w:tc>
              <w:tc>
                <w:tcPr/>
                <w:p>
                  <w:pPr>
                    <w:pStyle w:val="Compact"/>
                    <w:jc w:val="left"/>
                    <w:jc w:val="left"/>
                  </w:pPr>
                  <w:r>
                    <w:t xml:space="preserve">0.223</w:t>
                  </w:r>
                </w:p>
              </w:tc>
              <w:tc>
                <w:tcPr/>
                <w:p>
                  <w:pPr>
                    <w:pStyle w:val="Compact"/>
                    <w:jc w:val="left"/>
                    <w:jc w:val="left"/>
                  </w:pPr>
                  <w:r>
                    <w:t xml:space="preserve">NA</w:t>
                  </w:r>
                </w:p>
              </w:tc>
              <w:tc>
                <w:tcPr/>
                <w:p>
                  <w:pPr>
                    <w:pStyle w:val="Compact"/>
                    <w:jc w:val="left"/>
                    <w:jc w:val="left"/>
                  </w:pPr>
                  <w:r>
                    <w:t xml:space="preserve">2.008</w:t>
                  </w:r>
                </w:p>
              </w:tc>
              <w:tc>
                <w:tcPr/>
                <w:p>
                  <w:pPr>
                    <w:pStyle w:val="Compact"/>
                    <w:jc w:val="left"/>
                    <w:jc w:val="left"/>
                  </w:pPr>
                  <w:r>
                    <w:t xml:space="preserve">NA</w:t>
                  </w:r>
                </w:p>
              </w:tc>
              <w:tc>
                <w:tcPr/>
                <w:p>
                  <w:pPr>
                    <w:pStyle w:val="Compact"/>
                    <w:jc w:val="left"/>
                    <w:jc w:val="left"/>
                  </w:pPr>
                  <w:r>
                    <w:t xml:space="preserve">0.076</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leiden</w:t>
                  </w:r>
                </w:p>
              </w:tc>
              <w:tc>
                <w:tcPr/>
                <w:p>
                  <w:pPr>
                    <w:pStyle w:val="Compact"/>
                    <w:jc w:val="left"/>
                    <w:jc w:val="left"/>
                  </w:pPr>
                  <w:r>
                    <w:t xml:space="preserve">0.223</w:t>
                  </w:r>
                </w:p>
              </w:tc>
              <w:tc>
                <w:tcPr/>
                <w:p>
                  <w:pPr>
                    <w:pStyle w:val="Compact"/>
                    <w:jc w:val="left"/>
                    <w:jc w:val="left"/>
                  </w:pPr>
                  <w:r>
                    <w:t xml:space="preserve">NA</w:t>
                  </w:r>
                </w:p>
              </w:tc>
              <w:tc>
                <w:tcPr/>
                <w:p>
                  <w:pPr>
                    <w:pStyle w:val="Compact"/>
                    <w:jc w:val="left"/>
                    <w:jc w:val="left"/>
                  </w:pPr>
                  <w:r>
                    <w:t xml:space="preserve">2.008</w:t>
                  </w:r>
                </w:p>
              </w:tc>
              <w:tc>
                <w:tcPr/>
                <w:p>
                  <w:pPr>
                    <w:pStyle w:val="Compact"/>
                    <w:jc w:val="left"/>
                    <w:jc w:val="left"/>
                  </w:pPr>
                  <w:r>
                    <w:t xml:space="preserve">NA</w:t>
                  </w:r>
                </w:p>
              </w:tc>
              <w:tc>
                <w:tcPr/>
                <w:p>
                  <w:pPr>
                    <w:pStyle w:val="Compact"/>
                    <w:jc w:val="left"/>
                    <w:jc w:val="left"/>
                  </w:pPr>
                  <w:r>
                    <w:t xml:space="preserve">0.076</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walktrap</w:t>
                  </w:r>
                </w:p>
              </w:tc>
              <w:tc>
                <w:tcPr/>
                <w:p>
                  <w:pPr>
                    <w:pStyle w:val="Compact"/>
                    <w:jc w:val="left"/>
                    <w:jc w:val="left"/>
                  </w:pPr>
                  <w:r>
                    <w:t xml:space="preserve">0.223</w:t>
                  </w:r>
                </w:p>
              </w:tc>
              <w:tc>
                <w:tcPr/>
                <w:p>
                  <w:pPr>
                    <w:pStyle w:val="Compact"/>
                    <w:jc w:val="left"/>
                    <w:jc w:val="left"/>
                  </w:pPr>
                  <w:r>
                    <w:t xml:space="preserve">0.494</w:t>
                  </w:r>
                </w:p>
              </w:tc>
              <w:tc>
                <w:tcPr/>
                <w:p>
                  <w:pPr>
                    <w:pStyle w:val="Compact"/>
                    <w:jc w:val="left"/>
                    <w:jc w:val="left"/>
                  </w:pPr>
                  <w:r>
                    <w:t xml:space="preserve">2.008</w:t>
                  </w:r>
                </w:p>
              </w:tc>
              <w:tc>
                <w:tcPr/>
                <w:p>
                  <w:pPr>
                    <w:pStyle w:val="Compact"/>
                    <w:jc w:val="left"/>
                    <w:jc w:val="left"/>
                  </w:pPr>
                  <w:r>
                    <w:t xml:space="preserve">2.923</w:t>
                  </w:r>
                </w:p>
              </w:tc>
              <w:tc>
                <w:tcPr/>
                <w:p>
                  <w:pPr>
                    <w:pStyle w:val="Compact"/>
                    <w:jc w:val="left"/>
                    <w:jc w:val="left"/>
                  </w:pPr>
                  <w:r>
                    <w:t xml:space="preserve">0.076</w:t>
                  </w:r>
                </w:p>
              </w:tc>
              <w:tc>
                <w:tcPr/>
                <w:p>
                  <w:pPr>
                    <w:pStyle w:val="Compact"/>
                    <w:jc w:val="left"/>
                    <w:jc w:val="left"/>
                  </w:pPr>
                  <w:r>
                    <w:t xml:space="preserve">0.001</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louvain</w:t>
                  </w:r>
                </w:p>
              </w:tc>
              <w:tc>
                <w:tcPr/>
                <w:p>
                  <w:pPr>
                    <w:pStyle w:val="Compact"/>
                    <w:jc w:val="left"/>
                    <w:jc w:val="left"/>
                  </w:pPr>
                  <w:r>
                    <w:t xml:space="preserve">NA</w:t>
                  </w:r>
                </w:p>
              </w:tc>
              <w:tc>
                <w:tcPr/>
                <w:p>
                  <w:pPr>
                    <w:pStyle w:val="Compact"/>
                    <w:jc w:val="left"/>
                    <w:jc w:val="left"/>
                  </w:pPr>
                  <w:r>
                    <w:t xml:space="preserve">0.495</w:t>
                  </w:r>
                </w:p>
              </w:tc>
              <w:tc>
                <w:tcPr/>
                <w:p>
                  <w:pPr>
                    <w:pStyle w:val="Compact"/>
                    <w:jc w:val="left"/>
                    <w:jc w:val="left"/>
                  </w:pPr>
                  <w:r>
                    <w:t xml:space="preserve">NA</w:t>
                  </w:r>
                </w:p>
              </w:tc>
              <w:tc>
                <w:tcPr/>
                <w:p>
                  <w:pPr>
                    <w:pStyle w:val="Compact"/>
                    <w:jc w:val="left"/>
                    <w:jc w:val="left"/>
                  </w:pPr>
                  <w:r>
                    <w:t xml:space="preserve">3.673</w:t>
                  </w:r>
                </w:p>
              </w:tc>
              <w:tc>
                <w:tcPr/>
                <w:p>
                  <w:pPr>
                    <w:pStyle w:val="Compact"/>
                    <w:jc w:val="left"/>
                    <w:jc w:val="left"/>
                  </w:pPr>
                  <w:r>
                    <w:t xml:space="preserve">NA</w:t>
                  </w:r>
                </w:p>
              </w:tc>
              <w:tc>
                <w:tcPr/>
                <w:p>
                  <w:pPr>
                    <w:pStyle w:val="Compact"/>
                    <w:jc w:val="left"/>
                    <w:jc w:val="left"/>
                  </w:pPr>
                  <w:r>
                    <w:t xml:space="preserve">0.001</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infomap</w:t>
                  </w:r>
                </w:p>
              </w:tc>
              <w:tc>
                <w:tcPr/>
                <w:p>
                  <w:pPr>
                    <w:pStyle w:val="Compact"/>
                    <w:jc w:val="left"/>
                    <w:jc w:val="left"/>
                  </w:pPr>
                  <w:r>
                    <w:t xml:space="preserve">NA</w:t>
                  </w:r>
                </w:p>
              </w:tc>
              <w:tc>
                <w:tcPr/>
                <w:p>
                  <w:pPr>
                    <w:pStyle w:val="Compact"/>
                    <w:jc w:val="left"/>
                    <w:jc w:val="left"/>
                  </w:pPr>
                  <w:r>
                    <w:t xml:space="preserve">0.356</w:t>
                  </w:r>
                </w:p>
              </w:tc>
              <w:tc>
                <w:tcPr/>
                <w:p>
                  <w:pPr>
                    <w:pStyle w:val="Compact"/>
                    <w:jc w:val="left"/>
                    <w:jc w:val="left"/>
                  </w:pPr>
                  <w:r>
                    <w:t xml:space="preserve">NA</w:t>
                  </w:r>
                </w:p>
              </w:tc>
              <w:tc>
                <w:tcPr/>
                <w:p>
                  <w:pPr>
                    <w:pStyle w:val="Compact"/>
                    <w:jc w:val="left"/>
                    <w:jc w:val="left"/>
                  </w:pPr>
                  <w:r>
                    <w:t xml:space="preserve">2.945</w:t>
                  </w:r>
                </w:p>
              </w:tc>
              <w:tc>
                <w:tcPr/>
                <w:p>
                  <w:pPr>
                    <w:pStyle w:val="Compact"/>
                    <w:jc w:val="left"/>
                    <w:jc w:val="left"/>
                  </w:pPr>
                  <w:r>
                    <w:t xml:space="preserve">NA</w:t>
                  </w:r>
                </w:p>
              </w:tc>
              <w:tc>
                <w:tcPr/>
                <w:p>
                  <w:pPr>
                    <w:pStyle w:val="Compact"/>
                    <w:jc w:val="left"/>
                    <w:jc w:val="left"/>
                  </w:pPr>
                  <w:r>
                    <w:t xml:space="preserve">0.001</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leiden</w:t>
                  </w:r>
                </w:p>
              </w:tc>
              <w:tc>
                <w:tcPr/>
                <w:p>
                  <w:pPr>
                    <w:pStyle w:val="Compact"/>
                    <w:jc w:val="left"/>
                    <w:jc w:val="left"/>
                  </w:pPr>
                  <w:r>
                    <w:t xml:space="preserve">NA</w:t>
                  </w:r>
                </w:p>
              </w:tc>
              <w:tc>
                <w:tcPr/>
                <w:p>
                  <w:pPr>
                    <w:pStyle w:val="Compact"/>
                    <w:jc w:val="left"/>
                    <w:jc w:val="left"/>
                  </w:pPr>
                  <w:r>
                    <w:t xml:space="preserve">0.164</w:t>
                  </w:r>
                </w:p>
              </w:tc>
              <w:tc>
                <w:tcPr/>
                <w:p>
                  <w:pPr>
                    <w:pStyle w:val="Compact"/>
                    <w:jc w:val="left"/>
                    <w:jc w:val="left"/>
                  </w:pPr>
                  <w:r>
                    <w:t xml:space="preserve">NA</w:t>
                  </w:r>
                </w:p>
              </w:tc>
              <w:tc>
                <w:tcPr/>
                <w:p>
                  <w:pPr>
                    <w:pStyle w:val="Compact"/>
                    <w:jc w:val="left"/>
                    <w:jc w:val="left"/>
                  </w:pPr>
                  <w:r>
                    <w:t xml:space="preserve">1.662</w:t>
                  </w:r>
                </w:p>
              </w:tc>
              <w:tc>
                <w:tcPr/>
                <w:p>
                  <w:pPr>
                    <w:pStyle w:val="Compact"/>
                    <w:jc w:val="left"/>
                    <w:jc w:val="left"/>
                  </w:pPr>
                  <w:r>
                    <w:t xml:space="preserve">NA</w:t>
                  </w:r>
                </w:p>
              </w:tc>
              <w:tc>
                <w:tcPr/>
                <w:p>
                  <w:pPr>
                    <w:pStyle w:val="Compact"/>
                    <w:jc w:val="left"/>
                    <w:jc w:val="left"/>
                  </w:pPr>
                  <w:r>
                    <w:t xml:space="preserve">0.006</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walktrap</w:t>
                  </w:r>
                </w:p>
              </w:tc>
              <w:tc>
                <w:tcPr/>
                <w:p>
                  <w:pPr>
                    <w:pStyle w:val="Compact"/>
                    <w:jc w:val="left"/>
                    <w:jc w:val="left"/>
                  </w:pPr>
                  <w:r>
                    <w:t xml:space="preserve">NA</w:t>
                  </w:r>
                </w:p>
              </w:tc>
              <w:tc>
                <w:tcPr/>
                <w:p>
                  <w:pPr>
                    <w:pStyle w:val="Compact"/>
                    <w:jc w:val="left"/>
                    <w:jc w:val="left"/>
                  </w:pPr>
                  <w:r>
                    <w:t xml:space="preserve">0.356</w:t>
                  </w:r>
                </w:p>
              </w:tc>
              <w:tc>
                <w:tcPr/>
                <w:p>
                  <w:pPr>
                    <w:pStyle w:val="Compact"/>
                    <w:jc w:val="left"/>
                    <w:jc w:val="left"/>
                  </w:pPr>
                  <w:r>
                    <w:t xml:space="preserve">NA</w:t>
                  </w:r>
                </w:p>
              </w:tc>
              <w:tc>
                <w:tcPr/>
                <w:p>
                  <w:pPr>
                    <w:pStyle w:val="Compact"/>
                    <w:jc w:val="left"/>
                    <w:jc w:val="left"/>
                  </w:pPr>
                  <w:r>
                    <w:t xml:space="preserve">2.945</w:t>
                  </w:r>
                </w:p>
              </w:tc>
              <w:tc>
                <w:tcPr/>
                <w:p>
                  <w:pPr>
                    <w:pStyle w:val="Compact"/>
                    <w:jc w:val="left"/>
                    <w:jc w:val="left"/>
                  </w:pPr>
                  <w:r>
                    <w:t xml:space="preserve">NA</w:t>
                  </w:r>
                </w:p>
              </w:tc>
              <w:tc>
                <w:tcPr/>
                <w:p>
                  <w:pPr>
                    <w:pStyle w:val="Compact"/>
                    <w:jc w:val="left"/>
                    <w:jc w:val="left"/>
                  </w:pPr>
                  <w:r>
                    <w:t xml:space="preserve">0.001</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louvain</w:t>
                  </w:r>
                </w:p>
              </w:tc>
              <w:tc>
                <w:tcPr/>
                <w:p>
                  <w:pPr>
                    <w:pStyle w:val="Compact"/>
                    <w:jc w:val="left"/>
                    <w:jc w:val="left"/>
                  </w:pPr>
                  <w:r>
                    <w:t xml:space="preserve">NA</w:t>
                  </w:r>
                </w:p>
              </w:tc>
              <w:tc>
                <w:tcPr/>
                <w:p>
                  <w:pPr>
                    <w:pStyle w:val="Compact"/>
                    <w:jc w:val="left"/>
                    <w:jc w:val="left"/>
                  </w:pPr>
                  <w:r>
                    <w:t xml:space="preserve">0.599</w:t>
                  </w:r>
                </w:p>
              </w:tc>
              <w:tc>
                <w:tcPr/>
                <w:p>
                  <w:pPr>
                    <w:pStyle w:val="Compact"/>
                    <w:jc w:val="left"/>
                    <w:jc w:val="left"/>
                  </w:pPr>
                  <w:r>
                    <w:t xml:space="preserve">NA</w:t>
                  </w:r>
                </w:p>
              </w:tc>
              <w:tc>
                <w:tcPr/>
                <w:p>
                  <w:pPr>
                    <w:pStyle w:val="Compact"/>
                    <w:jc w:val="left"/>
                    <w:jc w:val="left"/>
                  </w:pPr>
                  <w:r>
                    <w:t xml:space="preserve">2.485</w:t>
                  </w:r>
                </w:p>
              </w:tc>
              <w:tc>
                <w:tcPr/>
                <w:p>
                  <w:pPr>
                    <w:pStyle w:val="Compact"/>
                    <w:jc w:val="left"/>
                    <w:jc w:val="left"/>
                  </w:pPr>
                  <w:r>
                    <w:t xml:space="preserve">NA</w:t>
                  </w:r>
                </w:p>
              </w:tc>
              <w:tc>
                <w:tcPr/>
                <w:p>
                  <w:pPr>
                    <w:pStyle w:val="Compact"/>
                    <w:jc w:val="left"/>
                    <w:jc w:val="left"/>
                  </w:pPr>
                  <w:r>
                    <w:t xml:space="preserve">0.003</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infomap</w:t>
                  </w:r>
                </w:p>
              </w:tc>
              <w:tc>
                <w:tcPr/>
                <w:p>
                  <w:pPr>
                    <w:pStyle w:val="Compact"/>
                    <w:jc w:val="left"/>
                    <w:jc w:val="left"/>
                  </w:pPr>
                  <w:r>
                    <w:t xml:space="preserve">NA</w:t>
                  </w:r>
                </w:p>
              </w:tc>
              <w:tc>
                <w:tcPr/>
                <w:p>
                  <w:pPr>
                    <w:pStyle w:val="Compact"/>
                    <w:jc w:val="left"/>
                    <w:jc w:val="left"/>
                  </w:pPr>
                  <w:r>
                    <w:t xml:space="preserve">0.329</w:t>
                  </w:r>
                </w:p>
              </w:tc>
              <w:tc>
                <w:tcPr/>
                <w:p>
                  <w:pPr>
                    <w:pStyle w:val="Compact"/>
                    <w:jc w:val="left"/>
                    <w:jc w:val="left"/>
                  </w:pPr>
                  <w:r>
                    <w:t xml:space="preserve">NA</w:t>
                  </w:r>
                </w:p>
              </w:tc>
              <w:tc>
                <w:tcPr/>
                <w:p>
                  <w:pPr>
                    <w:pStyle w:val="Compact"/>
                    <w:jc w:val="left"/>
                    <w:jc w:val="left"/>
                  </w:pPr>
                  <w:r>
                    <w:t xml:space="preserve">1.468</w:t>
                  </w:r>
                </w:p>
              </w:tc>
              <w:tc>
                <w:tcPr/>
                <w:p>
                  <w:pPr>
                    <w:pStyle w:val="Compact"/>
                    <w:jc w:val="left"/>
                    <w:jc w:val="left"/>
                  </w:pPr>
                  <w:r>
                    <w:t xml:space="preserve">NA</w:t>
                  </w:r>
                </w:p>
              </w:tc>
              <w:tc>
                <w:tcPr/>
                <w:p>
                  <w:pPr>
                    <w:pStyle w:val="Compact"/>
                    <w:jc w:val="left"/>
                    <w:jc w:val="left"/>
                  </w:pPr>
                  <w:r>
                    <w:t xml:space="preserve">0.036</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leiden</w:t>
                  </w:r>
                </w:p>
              </w:tc>
              <w:tc>
                <w:tcPr/>
                <w:p>
                  <w:pPr>
                    <w:pStyle w:val="Compact"/>
                    <w:jc w:val="left"/>
                    <w:jc w:val="left"/>
                  </w:pPr>
                  <w:r>
                    <w:t xml:space="preserve">NA</w:t>
                  </w:r>
                </w:p>
              </w:tc>
              <w:tc>
                <w:tcPr/>
                <w:p>
                  <w:pPr>
                    <w:pStyle w:val="Compact"/>
                    <w:jc w:val="left"/>
                    <w:jc w:val="left"/>
                  </w:pPr>
                  <w:r>
                    <w:t xml:space="preserve">0.329</w:t>
                  </w:r>
                </w:p>
              </w:tc>
              <w:tc>
                <w:tcPr/>
                <w:p>
                  <w:pPr>
                    <w:pStyle w:val="Compact"/>
                    <w:jc w:val="left"/>
                    <w:jc w:val="left"/>
                  </w:pPr>
                  <w:r>
                    <w:t xml:space="preserve">NA</w:t>
                  </w:r>
                </w:p>
              </w:tc>
              <w:tc>
                <w:tcPr/>
                <w:p>
                  <w:pPr>
                    <w:pStyle w:val="Compact"/>
                    <w:jc w:val="left"/>
                    <w:jc w:val="left"/>
                  </w:pPr>
                  <w:r>
                    <w:t xml:space="preserve">1.468</w:t>
                  </w:r>
                </w:p>
              </w:tc>
              <w:tc>
                <w:tcPr/>
                <w:p>
                  <w:pPr>
                    <w:pStyle w:val="Compact"/>
                    <w:jc w:val="left"/>
                    <w:jc w:val="left"/>
                  </w:pPr>
                  <w:r>
                    <w:t xml:space="preserve">NA</w:t>
                  </w:r>
                </w:p>
              </w:tc>
              <w:tc>
                <w:tcPr/>
                <w:p>
                  <w:pPr>
                    <w:pStyle w:val="Compact"/>
                    <w:jc w:val="left"/>
                    <w:jc w:val="left"/>
                  </w:pPr>
                  <w:r>
                    <w:t xml:space="preserve">0.036</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walktrap</w:t>
                  </w:r>
                </w:p>
              </w:tc>
              <w:tc>
                <w:tcPr/>
                <w:p>
                  <w:pPr>
                    <w:pStyle w:val="Compact"/>
                    <w:jc w:val="left"/>
                    <w:jc w:val="left"/>
                  </w:pPr>
                  <w:r>
                    <w:t xml:space="preserve">NA</w:t>
                  </w:r>
                </w:p>
              </w:tc>
              <w:tc>
                <w:tcPr/>
                <w:p>
                  <w:pPr>
                    <w:pStyle w:val="Compact"/>
                    <w:jc w:val="left"/>
                    <w:jc w:val="left"/>
                  </w:pPr>
                  <w:r>
                    <w:t xml:space="preserve">0.599</w:t>
                  </w:r>
                </w:p>
              </w:tc>
              <w:tc>
                <w:tcPr/>
                <w:p>
                  <w:pPr>
                    <w:pStyle w:val="Compact"/>
                    <w:jc w:val="left"/>
                    <w:jc w:val="left"/>
                  </w:pPr>
                  <w:r>
                    <w:t xml:space="preserve">NA</w:t>
                  </w:r>
                </w:p>
              </w:tc>
              <w:tc>
                <w:tcPr/>
                <w:p>
                  <w:pPr>
                    <w:pStyle w:val="Compact"/>
                    <w:jc w:val="left"/>
                    <w:jc w:val="left"/>
                  </w:pPr>
                  <w:r>
                    <w:t xml:space="preserve">2.485</w:t>
                  </w:r>
                </w:p>
              </w:tc>
              <w:tc>
                <w:tcPr/>
                <w:p>
                  <w:pPr>
                    <w:pStyle w:val="Compact"/>
                    <w:jc w:val="left"/>
                    <w:jc w:val="left"/>
                  </w:pPr>
                  <w:r>
                    <w:t xml:space="preserve">NA</w:t>
                  </w:r>
                </w:p>
              </w:tc>
              <w:tc>
                <w:tcPr/>
                <w:p>
                  <w:pPr>
                    <w:pStyle w:val="Compact"/>
                    <w:jc w:val="left"/>
                    <w:jc w:val="left"/>
                  </w:pPr>
                  <w:r>
                    <w:t xml:space="preserve">0.003</w:t>
                  </w:r>
                </w:p>
              </w:tc>
            </w:tr>
          </w:tbl>
          <w:p>
            <w:pPr>
              <w:jc w:val="left"/>
            </w:pPr>
            <w:pPr>
              <w:jc w:val="start"/>
              <w:spacing w:before="200"/>
              <w:pStyle w:val="ImageCaption"/>
            </w:pPr>
            <w:r>
              <w:t xml:space="preserve">Table V. PerMANOVA comparison: manual (restricted/broad) grouping versus algorithmically derived groupings. R² and pseudo-F for each phase, threshold, and community detection algorithm.</w:t>
            </w:r>
          </w:p>
          <w:bookmarkEnd w:id="115"/>
        </w:tc>
      </w:tr>
    </w:tbl>
    <w:bookmarkEnd w:id="116"/>
    <w:bookmarkEnd w:id="117"/>
    <w:bookmarkStart w:id="118" w:name="sec-s6-6"/>
    <w:p>
      <w:pPr>
        <w:pStyle w:val="Heading2"/>
      </w:pPr>
      <w:r>
        <w:t xml:space="preserve">S1.6.7 Cross-algorithm comparison</w:t>
      </w:r>
    </w:p>
    <w:p>
      <w:pPr>
        <w:pStyle w:val="FirstParagraph"/>
      </w:pPr>
      <w:r>
        <w:t xml:space="preserve">Community counts and cross-algorithm agreement are reported in the generated tables above (</w:t>
      </w:r>
      <w:hyperlink w:anchor="tbl-louvain-groups">
        <w:r>
          <w:rPr>
            <w:rStyle w:val="Hyperlink"/>
          </w:rPr>
          <w:t xml:space="preserve">Table Q</w:t>
        </w:r>
      </w:hyperlink>
      <w:r>
        <w:t xml:space="preserve">,</w:t>
      </w:r>
      <w:r>
        <w:t xml:space="preserve"> </w:t>
      </w:r>
      <w:hyperlink w:anchor="tbl-ari-louvain">
        <w:r>
          <w:rPr>
            <w:rStyle w:val="Hyperlink"/>
          </w:rPr>
          <w:t xml:space="preserve">Table R</w:t>
        </w:r>
      </w:hyperlink>
      <w:r>
        <w:t xml:space="preserve">,</w:t>
      </w:r>
      <w:r>
        <w:t xml:space="preserve"> </w:t>
      </w:r>
      <w:hyperlink w:anchor="tbl-ari-infomap">
        <w:r>
          <w:rPr>
            <w:rStyle w:val="Hyperlink"/>
          </w:rPr>
          <w:t xml:space="preserve">Table S</w:t>
        </w:r>
      </w:hyperlink>
      <w:r>
        <w:t xml:space="preserve">,</w:t>
      </w:r>
      <w:r>
        <w:t xml:space="preserve"> </w:t>
      </w:r>
      <w:hyperlink w:anchor="tbl-ari-leiden">
        <w:r>
          <w:rPr>
            <w:rStyle w:val="Hyperlink"/>
          </w:rPr>
          <w:t xml:space="preserve">Table T</w:t>
        </w:r>
      </w:hyperlink>
      <w:r>
        <w:t xml:space="preserve">,</w:t>
      </w:r>
      <w:r>
        <w:t xml:space="preserve"> </w:t>
      </w:r>
      <w:hyperlink w:anchor="tbl-ari-walktrap">
        <w:r>
          <w:rPr>
            <w:rStyle w:val="Hyperlink"/>
          </w:rPr>
          <w:t xml:space="preserve">Table U</w:t>
        </w:r>
      </w:hyperlink>
      <w:r>
        <w:t xml:space="preserve">,</w:t>
      </w:r>
      <w:r>
        <w:t xml:space="preserve"> </w:t>
      </w:r>
      <w:hyperlink w:anchor="tbl-permanova-comparison">
        <w:r>
          <w:rPr>
            <w:rStyle w:val="Hyperlink"/>
          </w:rPr>
          <w:t xml:space="preserve">Table V</w:t>
        </w:r>
      </w:hyperlink>
      <w:r>
        <w:t xml:space="preserve">). Counts below are read from those tables at render time, not hardcoded, so the text cannot drift from the computation. The detailed patterns are answered jointly in Interpretation below.</w:t>
      </w:r>
    </w:p>
    <w:bookmarkEnd w:id="118"/>
    <w:bookmarkStart w:id="119" w:name="sec-s6-7"/>
    <w:p>
      <w:pPr>
        <w:pStyle w:val="Heading2"/>
      </w:pPr>
      <w:r>
        <w:t xml:space="preserve">S1.6.8 Interpretation</w:t>
      </w:r>
    </w:p>
    <w:p>
      <w:pPr>
        <w:pStyle w:val="FirstParagraph"/>
      </w:pPr>
      <w:r>
        <w:rPr>
          <w:bCs/>
          <w:b/>
        </w:rPr>
        <w:t xml:space="preserve">Question: how well do automatically detected communities reproduce the manual restricted and broad groups?</w:t>
      </w:r>
      <w:r>
        <w:t xml:space="preserve"> </w:t>
      </w:r>
      <w:r>
        <w:t xml:space="preserve">Well in Aur-P1 and partly in Aur-P2. The Adjusted Rand Index quantifies agreement between the Louvain partitions and the manual restricted/broad assignment (</w:t>
      </w:r>
      <w:hyperlink w:anchor="tbl-ari-louvain">
        <w:r>
          <w:rPr>
            <w:rStyle w:val="Hyperlink"/>
          </w:rPr>
          <w:t xml:space="preserve">Table R</w:t>
        </w:r>
      </w:hyperlink>
      <w:r>
        <w:t xml:space="preserve">). At the main-text threshold of 0.2, ARI values are 0.798 for Aur-P1 and 0.556 for Aur-P2. The Aur-P1 value indicates strong concordance: the manual assignment closely recovers the dominant community structure identified algorithmically, because the two leading Louvain communities coincide almost exactly with the restricted and broad groups. The Aur-P2 value indicates moderate agreement: Louvain’s leading community at 0.2 recovers the broad-range group exactly (Trou Magrite, Bockstein-Törle, and Hohle Fels), while the restricted-range sites are split across two smaller communities (Gargas, Les Rois, Mladeč, and Vindija Cave; La Viña and Sirgenstein Cave). Across thresholds, ARI for Aur-P1 is highest at 0.2 (0.798), remains high at 0.1 (0.787), and drops at 0.3 (0.581) as the network fragments into 5 communities; for Aur-P2 it is positive but modest (0.556, 0.556, and 0.167). Agreement between the algorithms depends on the algorithm and the threshold (</w:t>
      </w:r>
      <w:hyperlink w:anchor="tbl-ari-infomap">
        <w:r>
          <w:rPr>
            <w:rStyle w:val="Hyperlink"/>
          </w:rPr>
          <w:t xml:space="preserve">Table S</w:t>
        </w:r>
      </w:hyperlink>
      <w:r>
        <w:t xml:space="preserve">;</w:t>
      </w:r>
      <w:r>
        <w:t xml:space="preserve"> </w:t>
      </w:r>
      <w:hyperlink w:anchor="tbl-ari-leiden">
        <w:r>
          <w:rPr>
            <w:rStyle w:val="Hyperlink"/>
          </w:rPr>
          <w:t xml:space="preserve">Table T</w:t>
        </w:r>
      </w:hyperlink>
      <w:r>
        <w:t xml:space="preserve">;</w:t>
      </w:r>
      <w:r>
        <w:t xml:space="preserve"> </w:t>
      </w:r>
      <w:hyperlink w:anchor="tbl-ari-walktrap">
        <w:r>
          <w:rPr>
            <w:rStyle w:val="Hyperlink"/>
          </w:rPr>
          <w:t xml:space="preserve">Table U</w:t>
        </w:r>
      </w:hyperlink>
      <w:r>
        <w:t xml:space="preserve">). In Aur-P1 at threshold 0.2, Infomap and Walktrap give the same partition as Louvain (ARI = 1.000 and 1.000). Leiden does not agree with Louvain in Aur-P1: its ARI is -0.051, 0.257 and 0.167 at thresholds 0.1, 0.2 and 0.3. In Aur-P2, Walktrap gives the same partition as Louvain at thresholds 0.2 and 0.3 (ARI = 1.000 and 1.000). At threshold 0.2, Infomap finds 1 community and Leiden finds 1 community in the 9 Aur-P2 sites, so their ARI with Louvain is not defined (NA). Walktrap differs from Louvain at threshold 0.1 in both phases (ARI = 0.410 and 0.393). Thus the four algorithms do not all agree in either phase.</w:t>
      </w:r>
    </w:p>
    <w:p>
      <w:pPr>
        <w:pStyle w:val="BodyText"/>
      </w:pPr>
      <w:r>
        <w:rPr>
          <w:bCs/>
          <w:b/>
        </w:rPr>
        <w:t xml:space="preserve">Question: do automatically detected communities explain as much sign-composition variance as the manual groups?</w:t>
      </w:r>
      <w:r>
        <w:t xml:space="preserve"> </w:t>
      </w:r>
      <w:r>
        <w:t xml:space="preserve">Louvain explains more, Leiden explains less, and the comparison is not like for like. The PerMANOVA comparison shows how much variance each partition explains (</w:t>
      </w:r>
      <w:hyperlink w:anchor="tbl-permanova-comparison">
        <w:r>
          <w:rPr>
            <w:rStyle w:val="Hyperlink"/>
          </w:rPr>
          <w:t xml:space="preserve">Table V</w:t>
        </w:r>
      </w:hyperlink>
      <w:r>
        <w:t xml:space="preserve">), but because Louvain is fitted to the same matrix it cannot test circularity; the withheld-data tests in</w:t>
      </w:r>
      <w:r>
        <w:t xml:space="preserve"> </w:t>
      </w:r>
      <w:r>
        <w:t xml:space="preserve">Section S1.10</w:t>
      </w:r>
      <w:r>
        <w:t xml:space="preserve"> </w:t>
      </w:r>
      <w:r>
        <w:t xml:space="preserve">do. At the main-text threshold of 0.2, the Louvain-derived grouping yields R² values of 0.356 (Aur-P1) and 0.494 (Aur-P2), compared with the manual-group R² values of 0.196 and 0.223 respectively. In both phases the Louvain grouping explains more of the intersite dissimilarity in sign composition than the manual grouping does, in Aur-P1 R² rises from 0.196 to 0.356 (a factor of 1.82), and in Aur-P2 from 0.223 to 0.494. This pattern holds across thresholds: at 0.1 the Louvain R² values are 0.335 and 0.494; at 0.3 they rise to 0.495 and 0.599 as only the strongest, most structured edges survive. Every Louvain-derived p-value is at or below 0.05 (maximum 0.003). Louvain finds these communities by optimising the same similarity matrix that the PerMANOVA then tests, so these p-values are not valid tests of a group difference, and we do not interpret them as evidence of significant structure. The higher R² values show only that the manual grouping does not capture all of the compositional variation that a data-optimised partition can capture. R² also rises with the number of groups. At threshold 0.2 the Louvain partition has 4 groups in Aur-P1, and some of these groups hold a single site (</w:t>
      </w:r>
      <w:hyperlink w:anchor="tbl-louvain-groups">
        <w:r>
          <w:rPr>
            <w:rStyle w:val="Hyperlink"/>
          </w:rPr>
          <w:t xml:space="preserve">Table Q</w:t>
        </w:r>
      </w:hyperlink>
      <w:r>
        <w:t xml:space="preserve">). The pseudo-F statistic takes the number of groups into account. In Aur-P1 it is lower for Louvain (F = 2.945) than for the manual groups (F = 4.382). Leiden explains less variance than the manual groups in Aur-P1 (R² = 0.164 at threshold 0.2, against 0.196).</w:t>
      </w:r>
    </w:p>
    <w:p>
      <w:pPr>
        <w:pStyle w:val="BodyText"/>
      </w:pPr>
      <w:r>
        <w:rPr>
          <w:bCs/>
          <w:b/>
        </w:rPr>
        <w:t xml:space="preserve">Question: is the community structure richer than a binary split, and does that richness differ by phase and algorithm?</w:t>
      </w:r>
      <w:r>
        <w:t xml:space="preserve"> </w:t>
      </w:r>
      <w:r>
        <w:t xml:space="preserve">Yes. The Louvain algorithm consistently identifies multiple communities within each phase, never collapsing the data into the binary restricted/broad partition imposed by the manual assignment (</w:t>
      </w:r>
      <w:hyperlink w:anchor="tbl-louvain-groups">
        <w:r>
          <w:rPr>
            <w:rStyle w:val="Hyperlink"/>
          </w:rPr>
          <w:t xml:space="preserve">Table Q</w:t>
        </w:r>
      </w:hyperlink>
      <w:r>
        <w:t xml:space="preserve">). At the main-text threshold of 0.2, Aur-P1 splits into 4 communities (Group 1 (Abri Pataud, Fumane, Gatzarria, Grotte de la Verpillière I, Grottes de Fonds-de-Forêt, Hohlenstein-Stadel, Labeko Koba, Pod Hradem, Riparo Bombrini); Group 2 (Blanchard, Castanet, Cellier, Geissenklösterle, Grotte du Renne, Hohle Fels, La Ferrassie, Solutré, Vogelherd); Group 3 (Les Cottés); Group 4 (Trou al’Wesse)). The two largest of these map almost exactly onto the manual restricted/broad assignment: the first comprises the 9 restricted-range sites and the second 9 of the 11 broader-range sites, with Les Cottés and Trou al’Wesse separating as singletons. At threshold 0.1, Aur-P1 collapses to 3 communities, with the broader-range group intact at 11 sites and the restricted-range group divided into two subgroups; at 0.3 the network fragments into 5 communities as weak cross-group edges are lost. Aur-P2 produces 3, 3, and 4 communities at thresholds 0.1, 0.2, and 0.3. Algorithm choice matters for small, sparse networks: in Aur-P2’s small sample (9 sites), the algorithm choice alters conclusions about community structure. The manual two-group split is not universally recovered: while Louvain and Walktrap at threshold 0.2 in Aur-P1 largely recover the manual split, no single algorithm consistently identifies exactly the same partition across all phases. Some algorithms (particularly Infomap) are more robust but may miss structure in Aur-P2, while Walktrap at threshold 0.2 shows strong agreement with Louvain. In Aur-P1 at threshold 0.2, Louvain, Infomap and Walktrap give the same partition, and this partition largely matches the restricted/broad split (ARI with the manual groups = 0.798). Leiden gives a different partition. In Aur-P2, the community structure depends on the algorithm.</w:t>
      </w:r>
    </w:p>
    <w:p>
      <w:pPr>
        <w:pStyle w:val="BodyText"/>
      </w:pPr>
      <w:r>
        <w:rPr>
          <w:bCs/>
          <w:b/>
        </w:rPr>
        <w:t xml:space="preserve">Implication for the main text.</w:t>
      </w:r>
      <w:r>
        <w:t xml:space="preserve"> </w:t>
      </w:r>
      <w:r>
        <w:t xml:space="preserve">This section asks whether the manual restricted/broad grouping is consistent with structure recovered by data-driven methods, using Louvain community detection, bootstrap consensus, and stochastic block models. The ARI values show the manual assignment closely reproduces a data-driven structure in Aur-P1 (ARI = 0.798 at threshold 0.2) and, in Aur-P2, the broad-range sites in particular (ARI = 0.556 at threshold 0.2, driven by Louvain’s exact recovery of the broad-range community). The Louvain partition explains more variance than the manual groups, but it has more groups and a lower pseudo-F in Aur-P1, and Leiden explains less variance than the manual groups (</w:t>
      </w:r>
      <w:hyperlink w:anchor="tbl-permanova-comparison">
        <w:r>
          <w:rPr>
            <w:rStyle w:val="Hyperlink"/>
          </w:rPr>
          <w:t xml:space="preserve">Table V</w:t>
        </w:r>
      </w:hyperlink>
      <w:r>
        <w:t xml:space="preserve">). Because these partitions are optimised on the same similarity matrix, this shows only that the manual grouping does not capture all of the compositional variation; it does not show that the group contrast is stronger than the manual R² values suggest. Because Louvain, bootstrap, and SBM all operate on the same sign-composition data used to define the manual groups, they do not by themselves remove the circularity of the original PerMANOVA: agreement among methods that share the same input is not independent confirmation that the groups differ. Genuine independent validation — holding out data from the definition of the groups — is provided separately in</w:t>
      </w:r>
      <w:r>
        <w:t xml:space="preserve"> </w:t>
      </w:r>
      <w:r>
        <w:t xml:space="preserve">Section S1.10</w:t>
      </w:r>
      <w:r>
        <w:t xml:space="preserve">.</w:t>
      </w:r>
    </w:p>
    <w:bookmarkEnd w:id="119"/>
    <w:bookmarkEnd w:id="120"/>
    <w:bookmarkStart w:id="146" w:name="sec-s7"/>
    <w:p>
      <w:pPr>
        <w:pStyle w:val="Heading1"/>
      </w:pPr>
      <w:r>
        <w:t xml:space="preserve">S1.7 Network Calibration</w:t>
      </w:r>
    </w:p>
    <w:bookmarkStart w:id="121" w:name="sec-s7-rationale"/>
    <w:p>
      <w:pPr>
        <w:pStyle w:val="Heading2"/>
      </w:pPr>
      <w:r>
        <w:t xml:space="preserve">S1.7.1 Rationale</w:t>
      </w:r>
    </w:p>
    <w:p>
      <w:pPr>
        <w:pStyle w:val="FirstParagraph"/>
      </w:pPr>
      <w:r>
        <w:t xml:space="preserve">Calibration checks ask whether modularity, degree, and significance survive nulls, sampling noise, multiple testing, and network size. They do not test group existence itself. Five checks follow: null-benchmarked modularity, richness-degree confound, bootstrap stability bands, multiple-testing correction, and size-normalised comparison. Each check states its questions in Rationale and answers them in Interpretation.</w:t>
      </w:r>
    </w:p>
    <w:bookmarkEnd w:id="121"/>
    <w:bookmarkStart w:id="125" w:name="sec-s7-1"/>
    <w:p>
      <w:pPr>
        <w:pStyle w:val="Heading2"/>
      </w:pPr>
      <w:r>
        <w:t xml:space="preserve">S1.7.2 Null-benchmarked modularity</w:t>
      </w:r>
    </w:p>
    <w:bookmarkStart w:id="123" w:name="rationale-6"/>
    <w:p>
      <w:pPr>
        <w:pStyle w:val="Heading3"/>
      </w:pPr>
      <w:r>
        <w:t xml:space="preserve">Rationale</w:t>
      </w:r>
    </w:p>
    <w:p>
      <w:pPr>
        <w:pStyle w:val="FirstParagraph"/>
      </w:pPr>
      <w:r>
        <w:t xml:space="preserve">Modularity values in the range 0.3-0.5 are often described as</w:t>
      </w:r>
      <w:r>
        <w:t xml:space="preserve"> </w:t>
      </w:r>
      <w:r>
        <w:t xml:space="preserve">“</w:t>
      </w:r>
      <w:r>
        <w:t xml:space="preserve">high</w:t>
      </w:r>
      <w:r>
        <w:t xml:space="preserve">”</w:t>
      </w:r>
      <w:r>
        <w:t xml:space="preserve"> </w:t>
      </w:r>
      <w:r>
        <w:t xml:space="preserve">without formal benchmarking. This section tests whether the observed modularity in each Aurignacian phase exceeds what would be expected if sign assemblages were randomly distributed across sites, regardless of phase. For each phase and threshold, we draw random sets of site-level sign vectors from the pooled site-phase assemblages of both phases, each set with the same number of sites as the phase, rebuild the network, recompute modularity via Louvain detection (seeded), and compare the observed value against the null distribution.</w:t>
      </w:r>
    </w:p>
    <w:p>
      <w:pPr>
        <w:pStyle w:val="BodyText"/>
      </w:pPr>
      <w:r>
        <w:rPr>
          <w:bCs/>
          <w:b/>
        </w:rPr>
        <w:t xml:space="preserve">Question: does observed modularity in each phase exceed the null expectation from randomly distributed sign assemblages?</w:t>
      </w:r>
    </w:p>
    <w:tbl>
      <w:tblPr>
        <w:tblStyle w:val="Table"/>
        <w:tblW w:type="pct" w:w="5000"/>
        <w:tblLook w:firstRow="0" w:lastRow="0" w:firstColumn="0" w:lastColumn="0" w:noHBand="0" w:noVBand="0" w:val="0000"/>
        <w:jc w:val="start"/>
        <w:tblLayout w:type="fixed"/>
      </w:tblPr>
      <w:tblGrid>
        <w:gridCol w:w="7920"/>
      </w:tblGrid>
      <w:tr>
        <w:tc>
          <w:tcPr/>
          <w:bookmarkStart w:id="122" w:name="tbl-null-modularity"/>
          <w:tbl>
            <w:tblPr>
              <w:tblStyle w:val="Table"/>
              <w:tblW w:type="pct" w:w="5000"/>
              <w:tblLook w:firstRow="1" w:lastRow="0" w:firstColumn="0" w:lastColumn="0" w:noHBand="0" w:noVBand="0" w:val="0020"/>
              <w:jc w:val="start"/>
              <w:tblLayout w:type="fixed"/>
            </w:tblPr>
            <w:tblGrid>
              <w:gridCol w:w="1584"/>
              <w:gridCol w:w="1267"/>
              <w:gridCol w:w="1267"/>
              <w:gridCol w:w="1346"/>
              <w:gridCol w:w="1188"/>
              <w:gridCol w:w="1267"/>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Observed Q</w:t>
                  </w:r>
                </w:p>
              </w:tc>
              <w:tc>
                <w:tcPr/>
                <w:p>
                  <w:pPr>
                    <w:pStyle w:val="Compact"/>
                    <w:jc w:val="left"/>
                    <w:jc w:val="left"/>
                  </w:pPr>
                  <w:r>
                    <w:t xml:space="preserve">Null mean Q</w:t>
                  </w:r>
                </w:p>
              </w:tc>
              <w:tc>
                <w:tcPr/>
                <w:p>
                  <w:pPr>
                    <w:pStyle w:val="Compact"/>
                    <w:jc w:val="left"/>
                    <w:jc w:val="left"/>
                  </w:pPr>
                  <w:r>
                    <w:t xml:space="preserve">Null SD</w:t>
                  </w:r>
                </w:p>
              </w:tc>
              <w:tc>
                <w:tcPr/>
                <w:p>
                  <w:pPr>
                    <w:pStyle w:val="Compact"/>
                    <w:jc w:val="left"/>
                    <w:jc w:val="left"/>
                  </w:pPr>
                  <w:r>
                    <w:t xml:space="preserve">p</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0.223</w:t>
                  </w:r>
                </w:p>
              </w:tc>
              <w:tc>
                <w:tcPr/>
                <w:p>
                  <w:pPr>
                    <w:pStyle w:val="Compact"/>
                    <w:jc w:val="left"/>
                    <w:jc w:val="left"/>
                  </w:pPr>
                  <w:r>
                    <w:t xml:space="preserve">0.207</w:t>
                  </w:r>
                </w:p>
              </w:tc>
              <w:tc>
                <w:tcPr/>
                <w:p>
                  <w:pPr>
                    <w:pStyle w:val="Compact"/>
                    <w:jc w:val="left"/>
                    <w:jc w:val="left"/>
                  </w:pPr>
                  <w:r>
                    <w:t xml:space="preserve">0.036</w:t>
                  </w:r>
                </w:p>
              </w:tc>
              <w:tc>
                <w:tcPr/>
                <w:p>
                  <w:pPr>
                    <w:pStyle w:val="Compact"/>
                    <w:jc w:val="left"/>
                    <w:jc w:val="left"/>
                  </w:pPr>
                  <w:r>
                    <w:t xml:space="preserve">0.306</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0.336</w:t>
                  </w:r>
                </w:p>
              </w:tc>
              <w:tc>
                <w:tcPr/>
                <w:p>
                  <w:pPr>
                    <w:pStyle w:val="Compact"/>
                    <w:jc w:val="left"/>
                    <w:jc w:val="left"/>
                  </w:pPr>
                  <w:r>
                    <w:t xml:space="preserve">0.299</w:t>
                  </w:r>
                </w:p>
              </w:tc>
              <w:tc>
                <w:tcPr/>
                <w:p>
                  <w:pPr>
                    <w:pStyle w:val="Compact"/>
                    <w:jc w:val="left"/>
                    <w:jc w:val="left"/>
                  </w:pPr>
                  <w:r>
                    <w:t xml:space="preserve">0.053</w:t>
                  </w:r>
                </w:p>
              </w:tc>
              <w:tc>
                <w:tcPr/>
                <w:p>
                  <w:pPr>
                    <w:pStyle w:val="Compact"/>
                    <w:jc w:val="left"/>
                    <w:jc w:val="left"/>
                  </w:pPr>
                  <w:r>
                    <w:t xml:space="preserve">0.226</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0.347</w:t>
                  </w:r>
                </w:p>
              </w:tc>
              <w:tc>
                <w:tcPr/>
                <w:p>
                  <w:pPr>
                    <w:pStyle w:val="Compact"/>
                    <w:jc w:val="left"/>
                    <w:jc w:val="left"/>
                  </w:pPr>
                  <w:r>
                    <w:t xml:space="preserve">0.312</w:t>
                  </w:r>
                </w:p>
              </w:tc>
              <w:tc>
                <w:tcPr/>
                <w:p>
                  <w:pPr>
                    <w:pStyle w:val="Compact"/>
                    <w:jc w:val="left"/>
                    <w:jc w:val="left"/>
                  </w:pPr>
                  <w:r>
                    <w:t xml:space="preserve">0.058</w:t>
                  </w:r>
                </w:p>
              </w:tc>
              <w:tc>
                <w:tcPr/>
                <w:p>
                  <w:pPr>
                    <w:pStyle w:val="Compact"/>
                    <w:jc w:val="left"/>
                    <w:jc w:val="left"/>
                  </w:pPr>
                  <w:r>
                    <w:t xml:space="preserve">0.258</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0.093</w:t>
                  </w:r>
                </w:p>
              </w:tc>
              <w:tc>
                <w:tcPr/>
                <w:p>
                  <w:pPr>
                    <w:pStyle w:val="Compact"/>
                    <w:jc w:val="left"/>
                    <w:jc w:val="left"/>
                  </w:pPr>
                  <w:r>
                    <w:t xml:space="preserve">0.154</w:t>
                  </w:r>
                </w:p>
              </w:tc>
              <w:tc>
                <w:tcPr/>
                <w:p>
                  <w:pPr>
                    <w:pStyle w:val="Compact"/>
                    <w:jc w:val="left"/>
                    <w:jc w:val="left"/>
                  </w:pPr>
                  <w:r>
                    <w:t xml:space="preserve">0.080</w:t>
                  </w:r>
                </w:p>
              </w:tc>
              <w:tc>
                <w:tcPr/>
                <w:p>
                  <w:pPr>
                    <w:pStyle w:val="Compact"/>
                    <w:jc w:val="left"/>
                    <w:jc w:val="left"/>
                  </w:pPr>
                  <w:r>
                    <w:t xml:space="preserve">0.772</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0.161</w:t>
                  </w:r>
                </w:p>
              </w:tc>
              <w:tc>
                <w:tcPr/>
                <w:p>
                  <w:pPr>
                    <w:pStyle w:val="Compact"/>
                    <w:jc w:val="left"/>
                    <w:jc w:val="left"/>
                  </w:pPr>
                  <w:r>
                    <w:t xml:space="preserve">0.243</w:t>
                  </w:r>
                </w:p>
              </w:tc>
              <w:tc>
                <w:tcPr/>
                <w:p>
                  <w:pPr>
                    <w:pStyle w:val="Compact"/>
                    <w:jc w:val="left"/>
                    <w:jc w:val="left"/>
                  </w:pPr>
                  <w:r>
                    <w:t xml:space="preserve">0.110</w:t>
                  </w:r>
                </w:p>
              </w:tc>
              <w:tc>
                <w:tcPr/>
                <w:p>
                  <w:pPr>
                    <w:pStyle w:val="Compact"/>
                    <w:jc w:val="left"/>
                    <w:jc w:val="left"/>
                  </w:pPr>
                  <w:r>
                    <w:t xml:space="preserve">0.752</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0.122</w:t>
                  </w:r>
                </w:p>
              </w:tc>
              <w:tc>
                <w:tcPr/>
                <w:p>
                  <w:pPr>
                    <w:pStyle w:val="Compact"/>
                    <w:jc w:val="left"/>
                    <w:jc w:val="left"/>
                  </w:pPr>
                  <w:r>
                    <w:t xml:space="preserve">0.259</w:t>
                  </w:r>
                </w:p>
              </w:tc>
              <w:tc>
                <w:tcPr/>
                <w:p>
                  <w:pPr>
                    <w:pStyle w:val="Compact"/>
                    <w:jc w:val="left"/>
                    <w:jc w:val="left"/>
                  </w:pPr>
                  <w:r>
                    <w:t xml:space="preserve">0.126</w:t>
                  </w:r>
                </w:p>
              </w:tc>
              <w:tc>
                <w:tcPr/>
                <w:p>
                  <w:pPr>
                    <w:pStyle w:val="Compact"/>
                    <w:jc w:val="left"/>
                    <w:jc w:val="left"/>
                  </w:pPr>
                  <w:r>
                    <w:t xml:space="preserve">0.856</w:t>
                  </w:r>
                </w:p>
              </w:tc>
            </w:tr>
          </w:tbl>
          <w:p>
            <w:pPr>
              <w:jc w:val="left"/>
            </w:pPr>
            <w:pPr>
              <w:jc w:val="start"/>
              <w:spacing w:before="200"/>
              <w:pStyle w:val="ImageCaption"/>
            </w:pPr>
            <w:r>
              <w:t xml:space="preserve">Table W. Observed modularity and null-model p-values for each Aurignacian phase at three Jaccard similarity thresholds.</w:t>
            </w:r>
          </w:p>
          <w:bookmarkEnd w:id="122"/>
        </w:tc>
      </w:tr>
    </w:tbl>
    <w:p>
      <w:pPr>
        <w:pStyle w:val="BodyText"/>
      </w:pPr>
      <w:r>
        <w:t xml:space="preserve">The p-values indicate whether the observed community structure is significantly stronger than expected by chance. A p &lt; 0.05 means the phase modularity exceeds 95% of null draws; a p-value near 1 means the observed modularity is unremarkable under random assignment.</w:t>
      </w:r>
    </w:p>
    <w:bookmarkEnd w:id="123"/>
    <w:bookmarkStart w:id="124" w:name="interpretation-5"/>
    <w:p>
      <w:pPr>
        <w:pStyle w:val="Heading3"/>
      </w:pPr>
      <w:r>
        <w:t xml:space="preserve">Interpretation</w:t>
      </w:r>
    </w:p>
    <w:p>
      <w:pPr>
        <w:pStyle w:val="FirstParagraph"/>
      </w:pPr>
      <w:r>
        <w:rPr>
          <w:bCs/>
          <w:b/>
        </w:rPr>
        <w:t xml:space="preserve">Question: does observed modularity in each phase exceed the null expectation from randomly distributed sign assemblages?</w:t>
      </w:r>
      <w:r>
        <w:t xml:space="preserve"> </w:t>
      </w:r>
      <w:r>
        <w:t xml:space="preserve">No. The observed modularity is not significantly higher than the null expectation in either phase at any of the three thresholds (smallest p across the six tests = 0.226;</w:t>
      </w:r>
      <w:r>
        <w:t xml:space="preserve"> </w:t>
      </w:r>
      <w:hyperlink w:anchor="tbl-null-modularity">
        <w:r>
          <w:rPr>
            <w:rStyle w:val="Hyperlink"/>
          </w:rPr>
          <w:t xml:space="preserve">Table W</w:t>
        </w:r>
      </w:hyperlink>
      <w:r>
        <w:t xml:space="preserve">).</w:t>
      </w:r>
    </w:p>
    <w:p>
      <w:pPr>
        <w:pStyle w:val="BodyText"/>
      </w:pPr>
      <w:r>
        <w:rPr>
          <w:bCs/>
          <w:b/>
        </w:rPr>
        <w:t xml:space="preserve">Implication for the main text.</w:t>
      </w:r>
      <w:r>
        <w:t xml:space="preserve"> </w:t>
      </w:r>
      <w:r>
        <w:t xml:space="preserve">Louvain modularity in each phase is not significantly higher than in random sets of the same number of site-phase assemblages drawn from both phases. At the baseline threshold of 0.2, Aur-P1’s observed modularity (0.336) is higher than the null mean (0.299), but the difference is not significant (p = 0.226). Aur-P2’s observed modularity (0.161) is lower than its null mean (0.243; p = 0.752). The results at thresholds 0.1 and 0.3 are similar (</w:t>
      </w:r>
      <w:hyperlink w:anchor="tbl-null-modularity">
        <w:r>
          <w:rPr>
            <w:rStyle w:val="Hyperlink"/>
          </w:rPr>
          <w:t xml:space="preserve">Table W</w:t>
        </w:r>
      </w:hyperlink>
      <w:r>
        <w:t xml:space="preserve">). This agrees with the phase-randomization test in the main text. Thus the modularity values are not evidence of community structure beyond what the site repertoires produce by chance, and they should not be read as evidence for discrete cultural provinces.</w:t>
      </w:r>
    </w:p>
    <w:bookmarkEnd w:id="124"/>
    <w:bookmarkEnd w:id="125"/>
    <w:bookmarkStart w:id="129" w:name="sec-s7-2"/>
    <w:p>
      <w:pPr>
        <w:pStyle w:val="Heading2"/>
      </w:pPr>
      <w:r>
        <w:t xml:space="preserve">S1.7.3 Richness and degree confound</w:t>
      </w:r>
    </w:p>
    <w:bookmarkStart w:id="127" w:name="rationale-7"/>
    <w:p>
      <w:pPr>
        <w:pStyle w:val="Heading3"/>
      </w:pPr>
      <w:r>
        <w:t xml:space="preserve">Rationale</w:t>
      </w:r>
    </w:p>
    <w:p>
      <w:pPr>
        <w:pStyle w:val="FirstParagraph"/>
      </w:pPr>
      <w:r>
        <w:t xml:space="preserve">Node degree in a presence/absence network could be driven by sign-type richness rather than shared-sign connectivity: sites with more sign types have more opportunities for co-occurrence. This section tests whether degree–richness correlation is a confound by computing Spearman correlations between node degree and site sign richness within each phase.</w:t>
      </w:r>
    </w:p>
    <w:p>
      <w:pPr>
        <w:pStyle w:val="BodyText"/>
      </w:pPr>
      <w:r>
        <w:rPr>
          <w:bCs/>
          <w:b/>
        </w:rPr>
        <w:t xml:space="preserve">Question: is node degree driven by site sign-type richness rather than shared-sign connectivity?</w:t>
      </w:r>
    </w:p>
    <w:tbl>
      <w:tblPr>
        <w:tblStyle w:val="Table"/>
        <w:tblW w:type="pct" w:w="5000"/>
        <w:tblLook w:firstRow="0" w:lastRow="0" w:firstColumn="0" w:lastColumn="0" w:noHBand="0" w:noVBand="0" w:val="0000"/>
        <w:jc w:val="start"/>
        <w:tblLayout w:type="fixed"/>
      </w:tblPr>
      <w:tblGrid>
        <w:gridCol w:w="7920"/>
      </w:tblGrid>
      <w:tr>
        <w:tc>
          <w:tcPr/>
          <w:bookmarkStart w:id="126" w:name="tbl-richness-confound"/>
          <w:tbl>
            <w:tblPr>
              <w:tblStyle w:val="Table"/>
              <w:tblW w:type="pct" w:w="5000"/>
              <w:tblLook w:firstRow="1" w:lastRow="0" w:firstColumn="0" w:lastColumn="0" w:noHBand="0" w:noVBand="0" w:val="0020"/>
              <w:jc w:val="start"/>
              <w:tblLayout w:type="fixed"/>
            </w:tblPr>
            <w:tblGrid>
              <w:gridCol w:w="2692"/>
              <w:gridCol w:w="1742"/>
              <w:gridCol w:w="1742"/>
              <w:gridCol w:w="1742"/>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ρ</w:t>
                  </w:r>
                </w:p>
              </w:tc>
              <w:tc>
                <w:tcPr/>
                <w:p>
                  <w:pPr>
                    <w:pStyle w:val="Compact"/>
                    <w:jc w:val="left"/>
                    <w:jc w:val="left"/>
                  </w:pPr>
                  <w:r>
                    <w:t xml:space="preserve">p</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-0.254</w:t>
                  </w:r>
                </w:p>
              </w:tc>
              <w:tc>
                <w:tcPr/>
                <w:p>
                  <w:pPr>
                    <w:pStyle w:val="Compact"/>
                    <w:jc w:val="left"/>
                    <w:jc w:val="left"/>
                  </w:pPr>
                  <w:r>
                    <w:t xml:space="preserve">0.280</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0.163</w:t>
                  </w:r>
                </w:p>
              </w:tc>
              <w:tc>
                <w:tcPr/>
                <w:p>
                  <w:pPr>
                    <w:pStyle w:val="Compact"/>
                    <w:jc w:val="left"/>
                    <w:jc w:val="left"/>
                  </w:pPr>
                  <w:r>
                    <w:t xml:space="preserve">0.676</w:t>
                  </w:r>
                </w:p>
              </w:tc>
            </w:tr>
          </w:tbl>
          <w:p>
            <w:pPr>
              <w:jc w:val="left"/>
            </w:pPr>
            <w:pPr>
              <w:jc w:val="start"/>
              <w:spacing w:before="200"/>
              <w:pStyle w:val="ImageCaption"/>
            </w:pPr>
            <w:r>
              <w:t xml:space="preserve">Table X. Spearman correlations between node degree and site sign richness (number of distinct sign types) within each Aurignacian phase, at the baseline threshold of 0.2.</w:t>
            </w:r>
          </w:p>
          <w:bookmarkEnd w:id="126"/>
        </w:tc>
      </w:tr>
    </w:tbl>
    <w:p>
      <w:pPr>
        <w:pStyle w:val="BodyText"/>
      </w:pPr>
      <w:r>
        <w:t xml:space="preserve">If degree is primarily driven by richness, the correlations will be strong and significant (</w:t>
      </w:r>
      <m:oMath>
        <m:r>
          <m:t>ρ</m:t>
        </m:r>
        <m:r>
          <m:rPr>
            <m:sty m:val="p"/>
          </m:rPr>
          <m:t>&gt;</m:t>
        </m:r>
        <m:r>
          <m:t>0.7</m:t>
        </m:r>
      </m:oMath>
      <w:r>
        <w:t xml:space="preserve">,</w:t>
      </w:r>
      <w:r>
        <w:t xml:space="preserve"> </w:t>
      </w:r>
      <m:oMath>
        <m:r>
          <m:t>p</m:t>
        </m:r>
        <m:r>
          <m:rPr>
            <m:sty m:val="p"/>
          </m:rPr>
          <m:t>&lt;</m:t>
        </m:r>
        <m:r>
          <m:t>0.05</m:t>
        </m:r>
      </m:oMath>
      <w:r>
        <w:t xml:space="preserve">). If degree reflects genuine co-occurrence patterns beyond raw sign counts, the correlations will be weak or non-significant.</w:t>
      </w:r>
    </w:p>
    <w:bookmarkEnd w:id="127"/>
    <w:bookmarkStart w:id="128" w:name="interpretation-6"/>
    <w:p>
      <w:pPr>
        <w:pStyle w:val="Heading3"/>
      </w:pPr>
      <w:r>
        <w:t xml:space="preserve">Interpretation</w:t>
      </w:r>
    </w:p>
    <w:p>
      <w:pPr>
        <w:pStyle w:val="FirstParagraph"/>
      </w:pPr>
      <w:r>
        <w:rPr>
          <w:bCs/>
          <w:b/>
        </w:rPr>
        <w:t xml:space="preserve">Question: is node degree driven by site sign-type richness rather than shared-sign connectivity?</w:t>
      </w:r>
      <w:r>
        <w:t xml:space="preserve"> </w:t>
      </w:r>
      <w:r>
        <w:t xml:space="preserve">We did not detect a correlation between node degree and sign-type richness in either phase (Aur-P1: ρ = -0.254, p = 0.280; Aur-P2: ρ = 0.163, p = 0.676).</w:t>
      </w:r>
    </w:p>
    <w:p>
      <w:pPr>
        <w:pStyle w:val="BodyText"/>
      </w:pPr>
      <w:r>
        <w:rPr>
          <w:bCs/>
          <w:b/>
        </w:rPr>
        <w:t xml:space="preserve">Implication for the main text.</w:t>
      </w:r>
      <w:r>
        <w:t xml:space="preserve"> </w:t>
      </w:r>
      <w:r>
        <w:t xml:space="preserve">The higher mean degree of Aur-P1 (7.50 at the baseline threshold) than of Aur-P2 (4.22) does not appear to come from richer assemblages in Aur-P1: if richer assemblages mechanically produced more edges, we would expect a positive correlation between richness and degree, and the Aur-P1 correlation is slightly negative. Because the samples are small, these non-significant correlations do not exclude a richness effect. Network size accounts for the mean-degree difference (</w:t>
      </w:r>
      <w:r>
        <w:t xml:space="preserve">Section S1.7.6</w:t>
      </w:r>
      <w:r>
        <w:t xml:space="preserve">).</w:t>
      </w:r>
    </w:p>
    <w:bookmarkEnd w:id="128"/>
    <w:bookmarkEnd w:id="129"/>
    <w:bookmarkStart w:id="137" w:name="sec-s7-3"/>
    <w:p>
      <w:pPr>
        <w:pStyle w:val="Heading2"/>
      </w:pPr>
      <w:r>
        <w:t xml:space="preserve">S1.7.4 Bootstrap confidence intervals</w:t>
      </w:r>
    </w:p>
    <w:bookmarkStart w:id="135" w:name="rationale-8"/>
    <w:p>
      <w:pPr>
        <w:pStyle w:val="Heading3"/>
      </w:pPr>
      <w:r>
        <w:t xml:space="preserve">Rationale</w:t>
      </w:r>
    </w:p>
    <w:p>
      <w:pPr>
        <w:pStyle w:val="FirstParagraph"/>
      </w:pPr>
      <w:r>
        <w:t xml:space="preserve">Point estimates of network statistics are sensitive to individual sites and to object sampling within sites. Resampling sites with replacement creates duplicate nodes (similarity 1, distance 0) and inflates mean degree and narrows intervals</w:t>
      </w:r>
      <w:r>
        <w:t xml:space="preserve"> </w:t>
      </w:r>
      <w:r>
        <w:t xml:space="preserve">[14,15]</w:t>
      </w:r>
      <w:r>
        <w:t xml:space="preserve">. This section therefore uses object-within-site bootstrap: for each site, draw its observed number of objects with replacement from that site’s own objects, rebuild the site x sign presence matrix, and recompute mean degree and modularity at threshold 0.2. Node identity is preserved; uncertainty reflects object sampling rather than artificial duplication. We report the observed statistic and a percentile interval around it.</w:t>
      </w:r>
    </w:p>
    <w:p>
      <w:pPr>
        <w:pStyle w:val="BodyText"/>
      </w:pPr>
      <w:r>
        <w:rPr>
          <w:bCs/>
          <w:b/>
        </w:rPr>
        <w:t xml:space="preserve">Question: are the Aur-P1 versus Aur-P2 mean-degree and modularity contrasts robust to object sampling within sites?</w:t>
      </w:r>
    </w:p>
    <w:tbl>
      <w:tblPr>
        <w:tblStyle w:val="Table"/>
        <w:tblW w:type="pct" w:w="5000"/>
        <w:tblLook w:firstRow="0" w:lastRow="0" w:firstColumn="0" w:lastColumn="0" w:noHBand="0" w:noVBand="0" w:val="0000"/>
        <w:jc w:val="start"/>
        <w:tblLayout w:type="fixed"/>
      </w:tblPr>
      <w:tblGrid>
        <w:gridCol w:w="7920"/>
      </w:tblGrid>
      <w:tr>
        <w:tc>
          <w:tcPr/>
          <w:bookmarkStart w:id="130" w:name="tbl-bootstrap-ci"/>
          <w:tbl>
            <w:tblPr>
              <w:tblStyle w:val="Table"/>
              <w:tblW w:type="pct" w:w="5000"/>
              <w:tblLook w:firstRow="1" w:lastRow="0" w:firstColumn="0" w:lastColumn="0" w:noHBand="0" w:noVBand="0" w:val="0020"/>
              <w:jc w:val="start"/>
              <w:tblLayout w:type="fixed"/>
            </w:tblPr>
            <w:tblGrid>
              <w:gridCol w:w="950"/>
              <w:gridCol w:w="1346"/>
              <w:gridCol w:w="792"/>
              <w:gridCol w:w="792"/>
              <w:gridCol w:w="712"/>
              <w:gridCol w:w="1267"/>
              <w:gridCol w:w="792"/>
              <w:gridCol w:w="792"/>
              <w:gridCol w:w="475"/>
            </w:tblGrid>
            <w:tr>
              <w:trPr>
                <w:tblHeader w:val="true"/>
              </w:trPr>
              <w:tc>
                <w:tcPr/>
                <w:p>
                  <w:pPr>
                    <w:pStyle w:val="Compact"/>
                    <w:jc w:val="left"/>
                    <w:jc w:val="left"/>
                  </w:pPr>
                  <w:r>
                    <w:t xml:space="preserve">Phase</w:t>
                  </w:r>
                </w:p>
              </w:tc>
              <w:tc>
                <w:tcPr/>
                <w:p>
                  <w:pPr>
                    <w:pStyle w:val="Compact"/>
                    <w:jc w:val="left"/>
                    <w:jc w:val="left"/>
                  </w:pPr>
                  <w:r>
                    <w:t xml:space="preserve">Mean degree (observed)</w:t>
                  </w:r>
                </w:p>
              </w:tc>
              <w:tc>
                <w:tcPr/>
                <w:p>
                  <w:pPr>
                    <w:pStyle w:val="Compact"/>
                    <w:jc w:val="left"/>
                    <w:jc w:val="left"/>
                  </w:pPr>
                  <w:r>
                    <w:t xml:space="preserve">2.5%</w:t>
                  </w:r>
                </w:p>
              </w:tc>
              <w:tc>
                <w:tcPr/>
                <w:p>
                  <w:pPr>
                    <w:pStyle w:val="Compact"/>
                    <w:jc w:val="left"/>
                    <w:jc w:val="left"/>
                  </w:pPr>
                  <w:r>
                    <w:t xml:space="preserve">97.5%</w:t>
                  </w:r>
                </w:p>
              </w:tc>
              <w:tc>
                <w:tcPr/>
                <w:p>
                  <w:pPr>
                    <w:pStyle w:val="Compact"/>
                    <w:jc w:val="left"/>
                    <w:jc w:val="left"/>
                  </w:pPr>
                  <w:r>
                    <w:t xml:space="preserve">SD</w:t>
                  </w:r>
                </w:p>
              </w:tc>
              <w:tc>
                <w:tcPr/>
                <w:p>
                  <w:pPr>
                    <w:pStyle w:val="Compact"/>
                    <w:jc w:val="left"/>
                    <w:jc w:val="left"/>
                  </w:pPr>
                  <w:r>
                    <w:t xml:space="preserve">Q (observed)</w:t>
                  </w:r>
                </w:p>
              </w:tc>
              <w:tc>
                <w:tcPr/>
                <w:p>
                  <w:pPr>
                    <w:pStyle w:val="Compact"/>
                    <w:jc w:val="left"/>
                    <w:jc w:val="left"/>
                  </w:pPr>
                  <w:r>
                    <w:t xml:space="preserve">2.5%</w:t>
                  </w:r>
                </w:p>
              </w:tc>
              <w:tc>
                <w:tcPr/>
                <w:p>
                  <w:pPr>
                    <w:pStyle w:val="Compact"/>
                    <w:jc w:val="left"/>
                    <w:jc w:val="left"/>
                  </w:pPr>
                  <w:r>
                    <w:t xml:space="preserve">97.5%</w:t>
                  </w:r>
                </w:p>
              </w:tc>
              <w:tc>
                <w:tcPr/>
                <w:p>
                  <w:pPr>
                    <w:pStyle w:val="Compact"/>
                    <w:jc w:val="left"/>
                    <w:jc w:val="left"/>
                  </w:pPr>
                  <w:r>
                    <w:t xml:space="preserve">SD</w:t>
                  </w:r>
                </w:p>
              </w:tc>
            </w:tr>
            <w:tr>
              <w:tc>
                <w:tcPr/>
                <w:p>
                  <w:pPr>
                    <w:pStyle w:val="Compact"/>
                    <w:jc w:val="left"/>
                    <w:jc w:val="left"/>
                  </w:pPr>
                  <w:r>
                    <w:t xml:space="preserve">Aur-P1</w:t>
                  </w:r>
                </w:p>
              </w:tc>
              <w:tc>
                <w:tcPr/>
                <w:p>
                  <w:pPr>
                    <w:pStyle w:val="Compact"/>
                    <w:jc w:val="left"/>
                    <w:jc w:val="left"/>
                  </w:pPr>
                  <w:r>
                    <w:t xml:space="preserve">7.50</w:t>
                  </w:r>
                </w:p>
              </w:tc>
              <w:tc>
                <w:tcPr/>
                <w:p>
                  <w:pPr>
                    <w:pStyle w:val="Compact"/>
                    <w:jc w:val="left"/>
                    <w:jc w:val="left"/>
                  </w:pPr>
                  <w:r>
                    <w:t xml:space="preserve">5.70</w:t>
                  </w:r>
                </w:p>
              </w:tc>
              <w:tc>
                <w:tcPr/>
                <w:p>
                  <w:pPr>
                    <w:pStyle w:val="Compact"/>
                    <w:jc w:val="left"/>
                    <w:jc w:val="left"/>
                  </w:pPr>
                  <w:r>
                    <w:t xml:space="preserve">8.70</w:t>
                  </w:r>
                </w:p>
              </w:tc>
              <w:tc>
                <w:tcPr/>
                <w:p>
                  <w:pPr>
                    <w:pStyle w:val="Compact"/>
                    <w:jc w:val="left"/>
                    <w:jc w:val="left"/>
                  </w:pPr>
                  <w:r>
                    <w:t xml:space="preserve">0.74</w:t>
                  </w:r>
                </w:p>
              </w:tc>
              <w:tc>
                <w:tcPr/>
                <w:p>
                  <w:pPr>
                    <w:pStyle w:val="Compact"/>
                    <w:jc w:val="left"/>
                    <w:jc w:val="left"/>
                  </w:pPr>
                  <w:r>
                    <w:t xml:space="preserve">0.336</w:t>
                  </w:r>
                </w:p>
              </w:tc>
              <w:tc>
                <w:tcPr/>
                <w:p>
                  <w:pPr>
                    <w:pStyle w:val="Compact"/>
                    <w:jc w:val="left"/>
                    <w:jc w:val="left"/>
                  </w:pPr>
                  <w:r>
                    <w:t xml:space="preserve">0.239</w:t>
                  </w:r>
                </w:p>
              </w:tc>
              <w:tc>
                <w:tcPr/>
                <w:p>
                  <w:pPr>
                    <w:pStyle w:val="Compact"/>
                    <w:jc w:val="left"/>
                    <w:jc w:val="left"/>
                  </w:pPr>
                  <w:r>
                    <w:t xml:space="preserve">0.444</w:t>
                  </w:r>
                </w:p>
              </w:tc>
              <w:tc>
                <w:tcPr/>
                <w:p>
                  <w:pPr>
                    <w:pStyle w:val="Compact"/>
                    <w:jc w:val="left"/>
                    <w:jc w:val="left"/>
                  </w:pPr>
                  <w:r>
                    <w:t xml:space="preserve">0.051</w:t>
                  </w:r>
                </w:p>
              </w:tc>
            </w:tr>
            <w:tr>
              <w:tc>
                <w:tcPr/>
                <w:p>
                  <w:pPr>
                    <w:pStyle w:val="Compact"/>
                    <w:jc w:val="left"/>
                    <w:jc w:val="left"/>
                  </w:pPr>
                  <w:r>
                    <w:t xml:space="preserve">Aur-P2</w:t>
                  </w:r>
                </w:p>
              </w:tc>
              <w:tc>
                <w:tcPr/>
                <w:p>
                  <w:pPr>
                    <w:pStyle w:val="Compact"/>
                    <w:jc w:val="left"/>
                    <w:jc w:val="left"/>
                  </w:pPr>
                  <w:r>
                    <w:t xml:space="preserve">4.22</w:t>
                  </w:r>
                </w:p>
              </w:tc>
              <w:tc>
                <w:tcPr/>
                <w:p>
                  <w:pPr>
                    <w:pStyle w:val="Compact"/>
                    <w:jc w:val="left"/>
                    <w:jc w:val="left"/>
                  </w:pPr>
                  <w:r>
                    <w:t xml:space="preserve">3.33</w:t>
                  </w:r>
                </w:p>
              </w:tc>
              <w:tc>
                <w:tcPr/>
                <w:p>
                  <w:pPr>
                    <w:pStyle w:val="Compact"/>
                    <w:jc w:val="left"/>
                    <w:jc w:val="left"/>
                  </w:pPr>
                  <w:r>
                    <w:t xml:space="preserve">5.78</w:t>
                  </w:r>
                </w:p>
              </w:tc>
              <w:tc>
                <w:tcPr/>
                <w:p>
                  <w:pPr>
                    <w:pStyle w:val="Compact"/>
                    <w:jc w:val="left"/>
                    <w:jc w:val="left"/>
                  </w:pPr>
                  <w:r>
                    <w:t xml:space="preserve">0.62</w:t>
                  </w:r>
                </w:p>
              </w:tc>
              <w:tc>
                <w:tcPr/>
                <w:p>
                  <w:pPr>
                    <w:pStyle w:val="Compact"/>
                    <w:jc w:val="left"/>
                    <w:jc w:val="left"/>
                  </w:pPr>
                  <w:r>
                    <w:t xml:space="preserve">0.161</w:t>
                  </w:r>
                </w:p>
              </w:tc>
              <w:tc>
                <w:tcPr/>
                <w:p>
                  <w:pPr>
                    <w:pStyle w:val="Compact"/>
                    <w:jc w:val="left"/>
                    <w:jc w:val="left"/>
                  </w:pPr>
                  <w:r>
                    <w:t xml:space="preserve">0.081</w:t>
                  </w:r>
                </w:p>
              </w:tc>
              <w:tc>
                <w:tcPr/>
                <w:p>
                  <w:pPr>
                    <w:pStyle w:val="Compact"/>
                    <w:jc w:val="left"/>
                    <w:jc w:val="left"/>
                  </w:pPr>
                  <w:r>
                    <w:t xml:space="preserve">0.299</w:t>
                  </w:r>
                </w:p>
              </w:tc>
              <w:tc>
                <w:tcPr/>
                <w:p>
                  <w:pPr>
                    <w:pStyle w:val="Compact"/>
                    <w:jc w:val="left"/>
                    <w:jc w:val="left"/>
                  </w:pPr>
                  <w:r>
                    <w:t xml:space="preserve">0.045</w:t>
                  </w:r>
                </w:p>
              </w:tc>
            </w:tr>
          </w:tbl>
          <w:p>
            <w:pPr>
              <w:jc w:val="left"/>
            </w:pPr>
            <w:pPr>
              <w:jc w:val="start"/>
              <w:spacing w:before="200"/>
              <w:pStyle w:val="ImageCaption"/>
            </w:pPr>
            <w:r>
              <w:t xml:space="preserve">Table Y. Object-within-site bootstrap stability bands for mean degree and modularity at threshold = 0.2, based on 999 resamples per phase. Observed is the statistic on the full data computed without rounding; 2.5% and 97.5% are quantiles of the raw bootstrap distribution; SD is the bootstrap standard deviation. Values are rounded for display only. These bands quantify stability to within-site object resampling, not confidence intervals for the true parameter: resampling drops rare signs, so a band may sit below or above its observed value. Site-with-replacement bootstrap is not used because it creates duplicate nodes with similarity 1 and distance 0, inflating degree</w:t>
            </w:r>
            <w:r>
              <w:t xml:space="preserve"> </w:t>
            </w:r>
            <w:r>
              <w:t xml:space="preserve">[14]</w:t>
            </w:r>
            <w:r>
              <w:t xml:space="preserve">.</w:t>
            </w:r>
          </w:p>
          <w:bookmarkEnd w:id="130"/>
        </w:tc>
      </w:tr>
    </w:tbl>
    <w:tbl>
      <w:tblPr>
        <w:tblStyle w:val="Table"/>
        <w:tblW w:type="pct" w:w="5000"/>
        <w:tblLook w:firstRow="0" w:lastRow="0" w:firstColumn="0" w:lastColumn="0" w:noHBand="0" w:noVBand="0" w:val="0000"/>
        <w:jc w:val="start"/>
        <w:tblLayout w:type="fixed"/>
      </w:tblPr>
      <w:tblGrid>
        <w:gridCol w:w="7920"/>
      </w:tblGrid>
      <w:tr>
        <w:tc>
          <w:tcPr/>
          <w:bookmarkStart w:id="134" w:name="fig-bootstrap-dist"/>
          <w:p>
            <w:pPr>
              <w:pStyle w:val="Compact"/>
              <w:jc w:val="left"/>
            </w:pPr>
            <w:r>
              <w:drawing>
                <wp:inline>
                  <wp:extent cx="5943600" cy="4754880"/>
                  <wp:effectExtent b="0" l="0" r="0" t="0"/>
                  <wp:docPr descr="" title="" id="132" name="Picture"/>
                  <a:graphic>
                    <a:graphicData uri="http://schemas.openxmlformats.org/drawingml/2006/picture">
                      <pic:pic>
                        <pic:nvPicPr>
                          <pic:cNvPr descr="S1_File_files/figure-docx/fig-bootstrap-dist-1.png" id="133" name="Picture"/>
                          <pic:cNvPicPr>
                            <a:picLocks noChangeArrowheads="1" noChangeAspect="1"/>
                          </pic:cNvPicPr>
                        </pic:nvPicPr>
                        <pic:blipFill>
                          <a:blip r:embed="rId131"/>
                          <a:stretch>
                            <a:fillRect/>
                          </a:stretch>
                        </pic:blipFill>
                        <pic:spPr bwMode="auto">
                          <a:xfrm>
                            <a:off x="0" y="0"/>
                            <a:ext cx="5943600" cy="4754880"/>
                          </a:xfrm>
                          <a:prstGeom prst="rect">
                            <a:avLst/>
                          </a:prstGeom>
                          <a:noFill/>
                          <a:ln w="9525">
                            <a:noFill/>
                            <a:headEnd/>
                            <a:tailEnd/>
                          </a:ln>
                        </pic:spPr>
                      </pic:pic>
                    </a:graphicData>
                  </a:graphic>
                </wp:inline>
              </w:drawing>
            </w:r>
          </w:p>
          <w:p>
            <w:pPr>
              <w:jc w:val="left"/>
            </w:pPr>
            <w:pPr>
              <w:jc w:val="start"/>
              <w:spacing w:before="200"/>
              <w:pStyle w:val="ImageCaption"/>
            </w:pPr>
            <w:r>
              <w:t xml:space="preserve">Fig F. Raw object-within-site bootstrap distributions (999 resamples per phase) for mean degree and modularity at threshold 0.2. Dashed lines mark the observed statistic on the full data; dotted lines mark the 2.5% and 97.5% quantiles. The distributions take many distinct values (see</w:t>
            </w:r>
            <w:r>
              <w:t xml:space="preserve"> </w:t>
            </w:r>
            <w:hyperlink w:anchor="tbl-bootstrap-ci">
              <w:r>
                <w:rPr>
                  <w:rStyle w:val="Hyperlink"/>
                </w:rPr>
                <w:t xml:space="preserve">Table Y</w:t>
              </w:r>
            </w:hyperlink>
            <w:r>
              <w:t xml:space="preserve">); any offset between a band and its observed value reflects systematic rare-sign dropout under resampling, which is why the bands are read as stability checks rather than confidence intervals.</w:t>
            </w:r>
          </w:p>
          <w:bookmarkEnd w:id="134"/>
        </w:tc>
      </w:tr>
    </w:tbl>
    <w:p>
      <w:pPr>
        <w:pStyle w:val="BodyText"/>
      </w:pPr>
      <w:r>
        <w:t xml:space="preserve">The bands quantify stability to object sampling within sites: a narrow band means the observed statistic barely moves when objects are resampled within sites, while a wide band signals sensitivity to which objects were recovered. Bands are percentiles of the object-within-site bootstrap distribution (node identity preserved); they may sit off the observed statistic when resampling systematically gains or loses rare signs, and should be read alongside the observed value. Overlapping bands between phases mean the phase contrast could be produced by within-site object sampling alone, while non-overlapping bands would mean it could not; neither pattern is a significance test. An observed value outside its own band signals bootstrap bias rather than evidence for or against the point estimate.</w:t>
      </w:r>
    </w:p>
    <w:bookmarkEnd w:id="135"/>
    <w:bookmarkStart w:id="136" w:name="interpretation-7"/>
    <w:p>
      <w:pPr>
        <w:pStyle w:val="Heading3"/>
      </w:pPr>
      <w:r>
        <w:t xml:space="preserve">Interpretation</w:t>
      </w:r>
    </w:p>
    <w:p>
      <w:pPr>
        <w:pStyle w:val="FirstParagraph"/>
      </w:pPr>
      <w:r>
        <w:rPr>
          <w:bCs/>
          <w:b/>
        </w:rPr>
        <w:t xml:space="preserve">Question: are the Aur-P1 versus Aur-P2 mean-degree and modularity contrasts robust to object sampling within sites?</w:t>
      </w:r>
      <w:r>
        <w:t xml:space="preserve"> </w:t>
      </w:r>
      <w:r>
        <w:t xml:space="preserve">The object-within-site bootstrap bands show which main-text comparisons are robust to object sampling. For mean degree, the Aur-P1 observed 7.50 with band [5.70, 8.70] and Aur-P2 observed 4.22 with band [3.33, 5.78] overlap. Because the bands overlap, the bootstrap does not formally separate the two phases by the strict non-overlap criterion; the Aur-P1–Aur-P2 contrast is supported at the point-estimate level (Aur-P1 7.50 vs Aur-P2 4.22) but is not statistically decisive. Both observed values fall inside their own bands, and each band spans many distinct bootstrap values (41 distinct mean-degree values in Aur-P1, 16 in Aur-P2; 999 and 314 respectively for modularity), confirming the resampling explores a genuine distribution rather than a single point (</w:t>
      </w:r>
      <w:hyperlink w:anchor="fig-bootstrap-dist">
        <w:r>
          <w:rPr>
            <w:rStyle w:val="Hyperlink"/>
          </w:rPr>
          <w:t xml:space="preserve">Fig F</w:t>
        </w:r>
      </w:hyperlink>
      <w:r>
        <w:t xml:space="preserve">). 4 of 20 Aur-P1 sites and 4 of 9 Aur-P2 sites hold a single object and are therefore invariant under within-site resampling by construction; the band width comes from the remaining multi-object sites. For modularity, the bands overlap (Aur-P1 observed 0.336 band [0.239, 0.444] vs. Aur-P2 observed 0.161 band [0.081, 0.299]); the point-estimate difference (0.336 vs. 0.161) is not resolved by the bands, which overlap at the 2.5th–97.5th percentiles, but absolute values remain sensitive to threshold and small-P2 sample (9 sites) (see</w:t>
      </w:r>
      <w:r>
        <w:t xml:space="preserve"> </w:t>
      </w:r>
      <w:r>
        <w:t xml:space="preserve">Section S1.2.2.4</w:t>
      </w:r>
      <w:r>
        <w:t xml:space="preserve">).</w:t>
      </w:r>
    </w:p>
    <w:p>
      <w:pPr>
        <w:pStyle w:val="BodyText"/>
      </w:pPr>
      <w:r>
        <w:rPr>
          <w:bCs/>
          <w:b/>
        </w:rPr>
        <w:t xml:space="preserve">Implication for the main text.</w:t>
      </w:r>
      <w:r>
        <w:t xml:space="preserve"> </w:t>
      </w:r>
      <w:r>
        <w:t xml:space="preserve">Stability bands qualify but do not overturn the point-estimate contrasts; inference rests on the permutation tests.</w:t>
      </w:r>
    </w:p>
    <w:bookmarkEnd w:id="136"/>
    <w:bookmarkEnd w:id="137"/>
    <w:bookmarkStart w:id="141" w:name="sec-s7-4"/>
    <w:p>
      <w:pPr>
        <w:pStyle w:val="Heading2"/>
      </w:pPr>
      <w:r>
        <w:t xml:space="preserve">S1.7.5 Multiple-testing correction</w:t>
      </w:r>
    </w:p>
    <w:bookmarkStart w:id="139" w:name="rationale-9"/>
    <w:p>
      <w:pPr>
        <w:pStyle w:val="Heading3"/>
      </w:pPr>
      <w:r>
        <w:t xml:space="preserve">Rationale</w:t>
      </w:r>
    </w:p>
    <w:p>
      <w:pPr>
        <w:pStyle w:val="FirstParagraph"/>
      </w:pPr>
      <w:r>
        <w:t xml:space="preserve">The Mantel tests reported in</w:t>
      </w:r>
      <w:r>
        <w:t xml:space="preserve"> </w:t>
      </w:r>
      <w:hyperlink w:anchor="tbl-geodesic-mantel">
        <w:r>
          <w:rPr>
            <w:rStyle w:val="Hyperlink"/>
          </w:rPr>
          <w:t xml:space="preserve">Table F</w:t>
        </w:r>
      </w:hyperlink>
      <w:r>
        <w:t xml:space="preserve"> </w:t>
      </w:r>
      <w:r>
        <w:t xml:space="preserve">and the main text evaluate 4 hypotheses (2 phases × 2 distance measures). Without correction, the effective Type I error rate is inflated. Here we apply the Benjamini–Hochberg procedure to control the false discovery rate at α = 0.05.</w:t>
      </w:r>
    </w:p>
    <w:p>
      <w:pPr>
        <w:pStyle w:val="BodyText"/>
      </w:pPr>
      <w:r>
        <w:rPr>
          <w:bCs/>
          <w:b/>
        </w:rPr>
        <w:t xml:space="preserve">Question: does any Mantel correlation survive Benjamini-Hochberg correction for four tests?</w:t>
      </w:r>
    </w:p>
    <w:tbl>
      <w:tblPr>
        <w:tblStyle w:val="Table"/>
        <w:tblW w:type="pct" w:w="5000"/>
        <w:tblLook w:firstRow="0" w:lastRow="0" w:firstColumn="0" w:lastColumn="0" w:noHBand="0" w:noVBand="0" w:val="0000"/>
        <w:jc w:val="start"/>
        <w:tblLayout w:type="fixed"/>
      </w:tblPr>
      <w:tblGrid>
        <w:gridCol w:w="7920"/>
      </w:tblGrid>
      <w:tr>
        <w:tc>
          <w:tcPr/>
          <w:bookmarkStart w:id="138" w:name="tbl-mantel-bh"/>
          <w:tbl>
            <w:tblPr>
              <w:tblStyle w:val="Table"/>
              <w:tblW w:type="pct" w:w="5000"/>
              <w:tblLook w:firstRow="1" w:lastRow="0" w:firstColumn="0" w:lastColumn="0" w:noHBand="0" w:noVBand="0" w:val="0020"/>
              <w:jc w:val="start"/>
              <w:tblLayout w:type="fixed"/>
            </w:tblPr>
            <w:tblGrid>
              <w:gridCol w:w="2376"/>
              <w:gridCol w:w="1188"/>
              <w:gridCol w:w="1188"/>
              <w:gridCol w:w="1742"/>
              <w:gridCol w:w="1425"/>
            </w:tblGrid>
            <w:tr>
              <w:trPr>
                <w:tblHeader w:val="true"/>
              </w:trPr>
              <w:tc>
                <w:tcPr/>
                <w:p>
                  <w:pPr>
                    <w:pStyle w:val="Compact"/>
                    <w:jc w:val="left"/>
                    <w:jc w:val="left"/>
                  </w:pPr>
                  <w:r>
                    <w:t xml:space="preserve">Test</w:t>
                  </w:r>
                </w:p>
              </w:tc>
              <w:tc>
                <w:tcPr/>
                <w:p>
                  <w:pPr>
                    <w:pStyle w:val="Compact"/>
                    <w:jc w:val="left"/>
                    <w:jc w:val="left"/>
                  </w:pPr>
                  <w:r>
                    <w:t xml:space="preserve">R</w:t>
                  </w:r>
                </w:p>
              </w:tc>
              <w:tc>
                <w:tcPr/>
                <w:p>
                  <w:pPr>
                    <w:pStyle w:val="Compact"/>
                    <w:jc w:val="left"/>
                    <w:jc w:val="left"/>
                  </w:pPr>
                  <w:r>
                    <w:t xml:space="preserve">Raw p</w:t>
                  </w:r>
                </w:p>
              </w:tc>
              <w:tc>
                <w:tcPr/>
                <w:p>
                  <w:pPr>
                    <w:pStyle w:val="Compact"/>
                    <w:jc w:val="left"/>
                    <w:jc w:val="left"/>
                  </w:pPr>
                  <w:r>
                    <w:t xml:space="preserve">BH-adjusted p</w:t>
                  </w:r>
                </w:p>
              </w:tc>
              <w:tc>
                <w:tcPr/>
                <w:p>
                  <w:pPr>
                    <w:pStyle w:val="Compact"/>
                    <w:jc w:val="left"/>
                    <w:jc w:val="left"/>
                  </w:pPr>
                  <w:r>
                    <w:t xml:space="preserve">Significant</w:t>
                  </w:r>
                </w:p>
              </w:tc>
            </w:tr>
            <w:tr>
              <w:tc>
                <w:tcPr/>
                <w:p>
                  <w:pPr>
                    <w:pStyle w:val="Compact"/>
                    <w:jc w:val="left"/>
                    <w:jc w:val="left"/>
                  </w:pPr>
                  <w:r>
                    <w:t xml:space="preserve">Euclidean – Aur-P1</w:t>
                  </w:r>
                </w:p>
              </w:tc>
              <w:tc>
                <w:tcPr/>
                <w:p>
                  <w:pPr>
                    <w:pStyle w:val="Compact"/>
                    <w:jc w:val="left"/>
                    <w:jc w:val="left"/>
                  </w:pPr>
                  <w:r>
                    <w:t xml:space="preserve">0.026</w:t>
                  </w:r>
                </w:p>
              </w:tc>
              <w:tc>
                <w:tcPr/>
                <w:p>
                  <w:pPr>
                    <w:pStyle w:val="Compact"/>
                    <w:jc w:val="left"/>
                    <w:jc w:val="left"/>
                  </w:pPr>
                  <w:r>
                    <w:t xml:space="preserve">0.371</w:t>
                  </w:r>
                </w:p>
              </w:tc>
              <w:tc>
                <w:tcPr/>
                <w:p>
                  <w:pPr>
                    <w:pStyle w:val="Compact"/>
                    <w:jc w:val="left"/>
                    <w:jc w:val="left"/>
                  </w:pPr>
                  <w:r>
                    <w:t xml:space="preserve">0.742</w:t>
                  </w:r>
                </w:p>
              </w:tc>
              <w:tc>
                <w:tcPr/>
                <w:p>
                  <w:pPr>
                    <w:pStyle w:val="Compact"/>
                    <w:jc w:val="left"/>
                    <w:jc w:val="left"/>
                  </w:pPr>
                  <w:r>
                    <w:t xml:space="preserve">No</w:t>
                  </w:r>
                </w:p>
              </w:tc>
            </w:tr>
            <w:tr>
              <w:tc>
                <w:tcPr/>
                <w:p>
                  <w:pPr>
                    <w:pStyle w:val="Compact"/>
                    <w:jc w:val="left"/>
                    <w:jc w:val="left"/>
                  </w:pPr>
                  <w:r>
                    <w:t xml:space="preserve">Euclidean – Aur-P2</w:t>
                  </w:r>
                </w:p>
              </w:tc>
              <w:tc>
                <w:tcPr/>
                <w:p>
                  <w:pPr>
                    <w:pStyle w:val="Compact"/>
                    <w:jc w:val="left"/>
                    <w:jc w:val="left"/>
                  </w:pPr>
                  <w:r>
                    <w:t xml:space="preserve">-0.294</w:t>
                  </w:r>
                </w:p>
              </w:tc>
              <w:tc>
                <w:tcPr/>
                <w:p>
                  <w:pPr>
                    <w:pStyle w:val="Compact"/>
                    <w:jc w:val="left"/>
                    <w:jc w:val="left"/>
                  </w:pPr>
                  <w:r>
                    <w:t xml:space="preserve">0.965</w:t>
                  </w:r>
                </w:p>
              </w:tc>
              <w:tc>
                <w:tcPr/>
                <w:p>
                  <w:pPr>
                    <w:pStyle w:val="Compact"/>
                    <w:jc w:val="left"/>
                    <w:jc w:val="left"/>
                  </w:pPr>
                  <w:r>
                    <w:t xml:space="preserve">0.967</w:t>
                  </w:r>
                </w:p>
              </w:tc>
              <w:tc>
                <w:tcPr/>
                <w:p>
                  <w:pPr>
                    <w:pStyle w:val="Compact"/>
                    <w:jc w:val="left"/>
                    <w:jc w:val="left"/>
                  </w:pPr>
                  <w:r>
                    <w:t xml:space="preserve">No</w:t>
                  </w:r>
                </w:p>
              </w:tc>
            </w:tr>
            <w:tr>
              <w:tc>
                <w:tcPr/>
                <w:p>
                  <w:pPr>
                    <w:pStyle w:val="Compact"/>
                    <w:jc w:val="left"/>
                    <w:jc w:val="left"/>
                  </w:pPr>
                  <w:r>
                    <w:t xml:space="preserve">Geodesic – Aur-P1</w:t>
                  </w:r>
                </w:p>
              </w:tc>
              <w:tc>
                <w:tcPr/>
                <w:p>
                  <w:pPr>
                    <w:pStyle w:val="Compact"/>
                    <w:jc w:val="left"/>
                    <w:jc w:val="left"/>
                  </w:pPr>
                  <w:r>
                    <w:t xml:space="preserve">0.046</w:t>
                  </w:r>
                </w:p>
              </w:tc>
              <w:tc>
                <w:tcPr/>
                <w:p>
                  <w:pPr>
                    <w:pStyle w:val="Compact"/>
                    <w:jc w:val="left"/>
                    <w:jc w:val="left"/>
                  </w:pPr>
                  <w:r>
                    <w:t xml:space="preserve">0.301</w:t>
                  </w:r>
                </w:p>
              </w:tc>
              <w:tc>
                <w:tcPr/>
                <w:p>
                  <w:pPr>
                    <w:pStyle w:val="Compact"/>
                    <w:jc w:val="left"/>
                    <w:jc w:val="left"/>
                  </w:pPr>
                  <w:r>
                    <w:t xml:space="preserve">0.742</w:t>
                  </w:r>
                </w:p>
              </w:tc>
              <w:tc>
                <w:tcPr/>
                <w:p>
                  <w:pPr>
                    <w:pStyle w:val="Compact"/>
                    <w:jc w:val="left"/>
                    <w:jc w:val="left"/>
                  </w:pPr>
                  <w:r>
                    <w:t xml:space="preserve">No</w:t>
                  </w:r>
                </w:p>
              </w:tc>
            </w:tr>
            <w:tr>
              <w:tc>
                <w:tcPr/>
                <w:p>
                  <w:pPr>
                    <w:pStyle w:val="Compact"/>
                    <w:jc w:val="left"/>
                    <w:jc w:val="left"/>
                  </w:pPr>
                  <w:r>
                    <w:t xml:space="preserve">Geodesic – Aur-P2</w:t>
                  </w:r>
                </w:p>
              </w:tc>
              <w:tc>
                <w:tcPr/>
                <w:p>
                  <w:pPr>
                    <w:pStyle w:val="Compact"/>
                    <w:jc w:val="left"/>
                    <w:jc w:val="left"/>
                  </w:pPr>
                  <w:r>
                    <w:t xml:space="preserve">-0.299</w:t>
                  </w:r>
                </w:p>
              </w:tc>
              <w:tc>
                <w:tcPr/>
                <w:p>
                  <w:pPr>
                    <w:pStyle w:val="Compact"/>
                    <w:jc w:val="left"/>
                    <w:jc w:val="left"/>
                  </w:pPr>
                  <w:r>
                    <w:t xml:space="preserve">0.967</w:t>
                  </w:r>
                </w:p>
              </w:tc>
              <w:tc>
                <w:tcPr/>
                <w:p>
                  <w:pPr>
                    <w:pStyle w:val="Compact"/>
                    <w:jc w:val="left"/>
                    <w:jc w:val="left"/>
                  </w:pPr>
                  <w:r>
                    <w:t xml:space="preserve">0.967</w:t>
                  </w:r>
                </w:p>
              </w:tc>
              <w:tc>
                <w:tcPr/>
                <w:p>
                  <w:pPr>
                    <w:pStyle w:val="Compact"/>
                    <w:jc w:val="left"/>
                    <w:jc w:val="left"/>
                  </w:pPr>
                  <w:r>
                    <w:t xml:space="preserve">No</w:t>
                  </w:r>
                </w:p>
              </w:tc>
            </w:tr>
          </w:tbl>
          <w:p>
            <w:pPr>
              <w:jc w:val="left"/>
            </w:pPr>
            <w:pPr>
              <w:jc w:val="start"/>
              <w:spacing w:before="200"/>
              <w:pStyle w:val="ImageCaption"/>
            </w:pPr>
            <w:r>
              <w:t xml:space="preserve">Table Z. Mantel test p-values before and after Benjamini–Hochberg correction for multiple testing across 2 phases × 2 distance measures (4 tests total). Results with adjusted p &lt; 0.05 are highlighted.</w:t>
            </w:r>
          </w:p>
          <w:bookmarkEnd w:id="138"/>
        </w:tc>
      </w:tr>
    </w:tbl>
    <w:bookmarkEnd w:id="139"/>
    <w:bookmarkStart w:id="140" w:name="interpretation-8"/>
    <w:p>
      <w:pPr>
        <w:pStyle w:val="Heading3"/>
      </w:pPr>
      <w:r>
        <w:t xml:space="preserve">Interpretation</w:t>
      </w:r>
    </w:p>
    <w:p>
      <w:pPr>
        <w:pStyle w:val="FirstParagraph"/>
      </w:pPr>
      <w:r>
        <w:rPr>
          <w:bCs/>
          <w:b/>
        </w:rPr>
        <w:t xml:space="preserve">Question: does any Mantel correlation survive Benjamini-Hochberg correction for four tests?</w:t>
      </w:r>
      <w:r>
        <w:t xml:space="preserve"> </w:t>
      </w:r>
      <w:r>
        <w:t xml:space="preserve">No. Of the 4 tests, none approaches nominal significance: the smallest raw</w:t>
      </w:r>
      <w:r>
        <w:t xml:space="preserve"> </w:t>
      </w:r>
      <m:oMath>
        <m:r>
          <m:t>p</m:t>
        </m:r>
      </m:oMath>
      <w:r>
        <w:t xml:space="preserve">-value is Geodesic – Aur-P1 (R = 0.046, raw</w:t>
      </w:r>
      <w:r>
        <w:t xml:space="preserve"> </w:t>
      </w:r>
      <m:oMath>
        <m:r>
          <m:t>p</m:t>
        </m:r>
      </m:oMath>
      <w:r>
        <w:t xml:space="preserve"> </w:t>
      </w:r>
      <w:r>
        <w:t xml:space="preserve">= 0.301), well above the 0.05 threshold. After Benjamini–Hochberg correction this adjusts to</w:t>
      </w:r>
      <w:r>
        <w:t xml:space="preserve"> </w:t>
      </w:r>
      <m:oMath>
        <m:r>
          <m:t>p</m:t>
        </m:r>
      </m:oMath>
      <w:r>
        <w:t xml:space="preserve"> </w:t>
      </w:r>
      <w:r>
        <w:t xml:space="preserve">= 0.742. None of the 4 tests reach significance after correction. This agrees with the main text: the Mantel tests detect no isolation by distance in either phase. The Mantel correlation is weakly positive in Aur-P1 and weakly negative in Aur-P2. A non-significant Mantel test does not show that geography has no effect, because at these sample sizes the tests can detect only moderate or strong correlations (</w:t>
      </w:r>
      <w:r>
        <w:t xml:space="preserve">Section S1.13</w:t>
      </w:r>
      <w:r>
        <w:t xml:space="preserve">). Outside the Mantel framework, a linear trend surface finds a weak geographic trend in Aur-P1 (adjusted R² = 0.057, p = 0.038) and no trend in Aur-P2 (p = 0.85;</w:t>
      </w:r>
      <w:r>
        <w:t xml:space="preserve"> </w:t>
      </w:r>
      <w:r>
        <w:t xml:space="preserve">Section S1.4.4</w:t>
      </w:r>
      <w:r>
        <w:t xml:space="preserve">).</w:t>
      </w:r>
    </w:p>
    <w:p>
      <w:pPr>
        <w:pStyle w:val="BodyText"/>
      </w:pPr>
      <w:r>
        <w:rPr>
          <w:bCs/>
          <w:b/>
        </w:rPr>
        <w:t xml:space="preserve">Implication for the main text.</w:t>
      </w:r>
      <w:r>
        <w:t xml:space="preserve"> </w:t>
      </w:r>
      <w:r>
        <w:t xml:space="preserve">Correction does not change the Mantel result: no isolation by distance is detected in either phase. Aur-P1 still shows a weak linear geographic trend (</w:t>
      </w:r>
      <w:r>
        <w:t xml:space="preserve">Section S1.4.4</w:t>
      </w:r>
      <w:r>
        <w:t xml:space="preserve">;</w:t>
      </w:r>
      <w:r>
        <w:t xml:space="preserve"> </w:t>
      </w:r>
      <w:r>
        <w:t xml:space="preserve">Section S1.3.3</w:t>
      </w:r>
      <w:r>
        <w:t xml:space="preserve">).</w:t>
      </w:r>
    </w:p>
    <w:bookmarkEnd w:id="140"/>
    <w:bookmarkEnd w:id="141"/>
    <w:bookmarkStart w:id="145" w:name="sec-s7-5"/>
    <w:p>
      <w:pPr>
        <w:pStyle w:val="Heading2"/>
      </w:pPr>
      <w:r>
        <w:t xml:space="preserve">S1.7.6 Size-normalised comparison</w:t>
      </w:r>
    </w:p>
    <w:bookmarkStart w:id="143" w:name="rationale-10"/>
    <w:p>
      <w:pPr>
        <w:pStyle w:val="Heading3"/>
      </w:pPr>
      <w:r>
        <w:t xml:space="preserve">Rationale</w:t>
      </w:r>
    </w:p>
    <w:p>
      <w:pPr>
        <w:pStyle w:val="FirstParagraph"/>
      </w:pPr>
      <w:r>
        <w:t xml:space="preserve">Modularity and mean degree are not invariant to the number of nodes: larger networks tend to have higher modularity even under random assignment. Aur-P1 (20 sites) has 122% more nodes than Aur-P2 (9 sites). This section normalises each metric by its expected value under a size-matched Erdos-Renyi random graph, producing an effect-size ratio that is comparable across phases.</w:t>
      </w:r>
    </w:p>
    <w:p>
      <w:pPr>
        <w:pStyle w:val="BodyText"/>
      </w:pPr>
      <w:r>
        <w:rPr>
          <w:bCs/>
          <w:b/>
        </w:rPr>
        <w:t xml:space="preserve">Question: do mean-degree and modularity contrasts survive normalisation by size-matched random expectation?</w:t>
      </w:r>
    </w:p>
    <w:tbl>
      <w:tblPr>
        <w:tblStyle w:val="Table"/>
        <w:tblW w:type="pct" w:w="5000"/>
        <w:tblLook w:firstRow="0" w:lastRow="0" w:firstColumn="0" w:lastColumn="0" w:noHBand="0" w:noVBand="0" w:val="0000"/>
        <w:jc w:val="start"/>
        <w:tblLayout w:type="fixed"/>
      </w:tblPr>
      <w:tblGrid>
        <w:gridCol w:w="7920"/>
      </w:tblGrid>
      <w:tr>
        <w:tc>
          <w:tcPr/>
          <w:bookmarkStart w:id="142" w:name="tbl-size-normalised"/>
          <w:tbl>
            <w:tblPr>
              <w:tblStyle w:val="Table"/>
              <w:tblW w:type="pct" w:w="5000"/>
              <w:tblLook w:firstRow="1" w:lastRow="0" w:firstColumn="0" w:lastColumn="0" w:noHBand="0" w:noVBand="0" w:val="0020"/>
              <w:jc w:val="start"/>
              <w:tblLayout w:type="fixed"/>
            </w:tblPr>
            <w:tblGrid>
              <w:gridCol w:w="1121"/>
              <w:gridCol w:w="841"/>
              <w:gridCol w:w="981"/>
              <w:gridCol w:w="911"/>
              <w:gridCol w:w="981"/>
              <w:gridCol w:w="911"/>
              <w:gridCol w:w="911"/>
              <w:gridCol w:w="1261"/>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Obs. md</w:t>
                  </w:r>
                </w:p>
              </w:tc>
              <w:tc>
                <w:tcPr/>
                <w:p>
                  <w:pPr>
                    <w:pStyle w:val="Compact"/>
                    <w:jc w:val="left"/>
                    <w:jc w:val="left"/>
                  </w:pPr>
                  <w:r>
                    <w:t xml:space="preserve">ER md</w:t>
                  </w:r>
                </w:p>
              </w:tc>
              <w:tc>
                <w:tcPr/>
                <w:p>
                  <w:pPr>
                    <w:pStyle w:val="Compact"/>
                    <w:jc w:val="left"/>
                    <w:jc w:val="left"/>
                  </w:pPr>
                  <w:r>
                    <w:t xml:space="preserve">MD ratio</w:t>
                  </w:r>
                </w:p>
              </w:tc>
              <w:tc>
                <w:tcPr/>
                <w:p>
                  <w:pPr>
                    <w:pStyle w:val="Compact"/>
                    <w:jc w:val="left"/>
                    <w:jc w:val="left"/>
                  </w:pPr>
                  <w:r>
                    <w:t xml:space="preserve">Obs. Q</w:t>
                  </w:r>
                </w:p>
              </w:tc>
              <w:tc>
                <w:tcPr/>
                <w:p>
                  <w:pPr>
                    <w:pStyle w:val="Compact"/>
                    <w:jc w:val="left"/>
                    <w:jc w:val="left"/>
                  </w:pPr>
                  <w:r>
                    <w:t xml:space="preserve">ER Q</w:t>
                  </w:r>
                </w:p>
              </w:tc>
              <w:tc>
                <w:tcPr/>
                <w:p>
                  <w:pPr>
                    <w:pStyle w:val="Compact"/>
                    <w:jc w:val="left"/>
                    <w:jc w:val="left"/>
                  </w:pPr>
                  <w:r>
                    <w:t xml:space="preserve">Q ratio</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7.50</w:t>
                  </w:r>
                </w:p>
              </w:tc>
              <w:tc>
                <w:tcPr/>
                <w:p>
                  <w:pPr>
                    <w:pStyle w:val="Compact"/>
                    <w:jc w:val="left"/>
                    <w:jc w:val="left"/>
                  </w:pPr>
                  <w:r>
                    <w:t xml:space="preserve">7.53</w:t>
                  </w:r>
                </w:p>
              </w:tc>
              <w:tc>
                <w:tcPr/>
                <w:p>
                  <w:pPr>
                    <w:pStyle w:val="Compact"/>
                    <w:jc w:val="left"/>
                    <w:jc w:val="left"/>
                  </w:pPr>
                  <w:r>
                    <w:t xml:space="preserve">1.00</w:t>
                  </w:r>
                </w:p>
              </w:tc>
              <w:tc>
                <w:tcPr/>
                <w:p>
                  <w:pPr>
                    <w:pStyle w:val="Compact"/>
                    <w:jc w:val="left"/>
                    <w:jc w:val="left"/>
                  </w:pPr>
                  <w:r>
                    <w:t xml:space="preserve">0.34</w:t>
                  </w:r>
                </w:p>
              </w:tc>
              <w:tc>
                <w:tcPr/>
                <w:p>
                  <w:pPr>
                    <w:pStyle w:val="Compact"/>
                    <w:jc w:val="left"/>
                    <w:jc w:val="left"/>
                  </w:pPr>
                  <w:r>
                    <w:t xml:space="preserve">0.18</w:t>
                  </w:r>
                </w:p>
              </w:tc>
              <w:tc>
                <w:tcPr/>
                <w:p>
                  <w:pPr>
                    <w:pStyle w:val="Compact"/>
                    <w:jc w:val="left"/>
                    <w:jc w:val="left"/>
                  </w:pPr>
                  <w:r>
                    <w:t xml:space="preserve">1.90</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4.22</w:t>
                  </w:r>
                </w:p>
              </w:tc>
              <w:tc>
                <w:tcPr/>
                <w:p>
                  <w:pPr>
                    <w:pStyle w:val="Compact"/>
                    <w:jc w:val="left"/>
                    <w:jc w:val="left"/>
                  </w:pPr>
                  <w:r>
                    <w:t xml:space="preserve">4.17</w:t>
                  </w:r>
                </w:p>
              </w:tc>
              <w:tc>
                <w:tcPr/>
                <w:p>
                  <w:pPr>
                    <w:pStyle w:val="Compact"/>
                    <w:jc w:val="left"/>
                    <w:jc w:val="left"/>
                  </w:pPr>
                  <w:r>
                    <w:t xml:space="preserve">1.01</w:t>
                  </w:r>
                </w:p>
              </w:tc>
              <w:tc>
                <w:tcPr/>
                <w:p>
                  <w:pPr>
                    <w:pStyle w:val="Compact"/>
                    <w:jc w:val="left"/>
                    <w:jc w:val="left"/>
                  </w:pPr>
                  <w:r>
                    <w:t xml:space="preserve">0.16</w:t>
                  </w:r>
                </w:p>
              </w:tc>
              <w:tc>
                <w:tcPr/>
                <w:p>
                  <w:pPr>
                    <w:pStyle w:val="Compact"/>
                    <w:jc w:val="left"/>
                    <w:jc w:val="left"/>
                  </w:pPr>
                  <w:r>
                    <w:t xml:space="preserve">0.13</w:t>
                  </w:r>
                </w:p>
              </w:tc>
              <w:tc>
                <w:tcPr/>
                <w:p>
                  <w:pPr>
                    <w:pStyle w:val="Compact"/>
                    <w:jc w:val="left"/>
                    <w:jc w:val="left"/>
                  </w:pPr>
                  <w:r>
                    <w:t xml:space="preserve">1.27</w:t>
                  </w:r>
                </w:p>
              </w:tc>
            </w:tr>
          </w:tbl>
          <w:p>
            <w:pPr>
              <w:jc w:val="left"/>
            </w:pPr>
            <w:pPr>
              <w:jc w:val="start"/>
              <w:spacing w:before="200"/>
              <w:pStyle w:val="ImageCaption"/>
            </w:pPr>
            <w:r>
              <w:t xml:space="preserve">Table AA. Network metrics normalised by size-matched Erdos-Renyi expectation. Ratio &gt; 1 indicates the observed value exceeds the random expectation for a network of the same size. ER mean and SD are based on 100 random graphs per phase.</w:t>
            </w:r>
          </w:p>
          <w:bookmarkEnd w:id="142"/>
        </w:tc>
      </w:tr>
    </w:tbl>
    <w:p>
      <w:pPr>
        <w:pStyle w:val="BodyText"/>
      </w:pPr>
      <w:r>
        <w:t xml:space="preserve">The ratio columns (MD ratio and Q ratio) are the key normalised comparisons. A ratio of 1.0 means the observed metric equals the random expectation.</w:t>
      </w:r>
    </w:p>
    <w:bookmarkEnd w:id="143"/>
    <w:bookmarkStart w:id="144" w:name="interpretation-9"/>
    <w:p>
      <w:pPr>
        <w:pStyle w:val="Heading3"/>
      </w:pPr>
      <w:r>
        <w:t xml:space="preserve">Interpretation</w:t>
      </w:r>
    </w:p>
    <w:p>
      <w:pPr>
        <w:pStyle w:val="FirstParagraph"/>
      </w:pPr>
      <w:r>
        <w:rPr>
          <w:bCs/>
          <w:b/>
        </w:rPr>
        <w:t xml:space="preserve">Question: do mean-degree and modularity contrasts survive normalisation by size-matched random expectation?</w:t>
      </w:r>
      <w:r>
        <w:t xml:space="preserve"> </w:t>
      </w:r>
      <w:r>
        <w:t xml:space="preserve">Partly. The size-normalised results address a potential confound in the main-text phase comparison: because mean degree and modularity both scale with the number of nodes, the 20-site Aur-P1 network and the 9-site Aur-P2 network are not directly comparable on those raw measures. Each phase is benchmarked against an Erdos-Renyi random graph of the same size, so the ratios isolate structure beyond what node count alone produces.</w:t>
      </w:r>
    </w:p>
    <w:p>
      <w:pPr>
        <w:numPr>
          <w:ilvl w:val="0"/>
          <w:numId w:val="1009"/>
        </w:numPr>
        <w:pStyle w:val="Compact"/>
      </w:pPr>
      <w:r>
        <w:rPr>
          <w:bCs/>
          <w:b/>
        </w:rPr>
        <w:t xml:space="preserve">Mean degree.</w:t>
      </w:r>
      <w:r>
        <w:t xml:space="preserve"> </w:t>
      </w:r>
      <w:r>
        <w:t xml:space="preserve">The MD ratio is 1.00 for Aur-P1 and 1.01 for Aur-P2. Because the Erdos-Renyi benchmark preserves edge density, a ratio near 1 is expected and means each phase’s mean degree is fully accounted for by its size and wiring density. The raw gap (Aur-P1 7.50 vs Aur-P2 4.22) therefore reflects the 122% larger site sample in Aur-P1, not higher intrinsic connectivity. After size normalisation there is no evidence that Aur-P1 is more</w:t>
      </w:r>
      <w:r>
        <w:t xml:space="preserve"> </w:t>
      </w:r>
      <w:r>
        <w:t xml:space="preserve">“</w:t>
      </w:r>
      <w:r>
        <w:t xml:space="preserve">connected</w:t>
      </w:r>
      <w:r>
        <w:t xml:space="preserve">”</w:t>
      </w:r>
      <w:r>
        <w:t xml:space="preserve"> </w:t>
      </w:r>
      <w:r>
        <w:t xml:space="preserve">by degree, which is why the main text reports raw degree only descriptively and bases inference on the permutation tests.</w:t>
      </w:r>
    </w:p>
    <w:p>
      <w:pPr>
        <w:numPr>
          <w:ilvl w:val="0"/>
          <w:numId w:val="1009"/>
        </w:numPr>
        <w:pStyle w:val="Compact"/>
      </w:pPr>
      <w:r>
        <w:rPr>
          <w:bCs/>
          <w:b/>
        </w:rPr>
        <w:t xml:space="preserve">Modularity.</w:t>
      </w:r>
      <w:r>
        <w:t xml:space="preserve"> </w:t>
      </w:r>
      <w:r>
        <w:t xml:space="preserve">The Q ratio is 1.90 for Aur-P1 and 1.27 for Aur-P2: observed modularity is higher than in Erdos-Renyi random graphs of the same size and density. This benchmark ignores the richness structure of the sign data, so it is not a strong null. When each phase is compared with random sets of real site-phase assemblages of the same size (</w:t>
      </w:r>
      <w:r>
        <w:t xml:space="preserve">Section S1.7.2</w:t>
      </w:r>
      <w:r>
        <w:t xml:space="preserve">), neither phase has higher modularity than expected, and the pairwise permutation test in the main text finds no difference in modularity between the phases. The larger Q ratio in Aur-P1 is therefore descriptive only.</w:t>
      </w:r>
    </w:p>
    <w:p>
      <w:pPr>
        <w:pStyle w:val="FirstParagraph"/>
      </w:pPr>
      <w:r>
        <w:t xml:space="preserve">In short, size normalisation removes the mean-degree difference between the phases. Both phases are more modular than Erdos-Renyi graphs, but the modularity difference between them is not stable across assignment schemes (</w:t>
      </w:r>
      <w:r>
        <w:t xml:space="preserve">Section S1.5.5</w:t>
      </w:r>
      <w:r>
        <w:t xml:space="preserve">) and is not significant in the permutation tests.</w:t>
      </w:r>
    </w:p>
    <w:p>
      <w:pPr>
        <w:pStyle w:val="BodyText"/>
      </w:pPr>
      <w:r>
        <w:rPr>
          <w:bCs/>
          <w:b/>
        </w:rPr>
        <w:t xml:space="preserve">Implication for the main text.</w:t>
      </w:r>
      <w:r>
        <w:t xml:space="preserve"> </w:t>
      </w:r>
      <w:r>
        <w:t xml:space="preserve">After size normalisation, there is no evidence that either phase is more connected or more modular than the other.</w:t>
      </w:r>
    </w:p>
    <w:bookmarkEnd w:id="144"/>
    <w:bookmarkEnd w:id="145"/>
    <w:bookmarkEnd w:id="146"/>
    <w:bookmarkStart w:id="166" w:name="sec-s8"/>
    <w:p>
      <w:pPr>
        <w:pStyle w:val="Heading1"/>
      </w:pPr>
      <w:r>
        <w:t xml:space="preserve">S1.8 Space, Time, and Regional Drivers</w:t>
      </w:r>
    </w:p>
    <w:bookmarkStart w:id="147" w:name="sec-s8-rationale"/>
    <w:p>
      <w:pPr>
        <w:pStyle w:val="Heading2"/>
      </w:pPr>
      <w:r>
        <w:t xml:space="preserve">S1.8.1 Rationale</w:t>
      </w:r>
    </w:p>
    <w:p>
      <w:pPr>
        <w:pStyle w:val="FirstParagraph"/>
      </w:pPr>
      <w:r>
        <w:t xml:space="preserve">Geography, time, and regions test alternative drivers of sign dissimilarity. They do not test threshold or group existence. Three checks follow: multiple regression on distance matrices, time-lag turnover, and objective regional grouping. Each check states its questions in Rationale and answers them in Interpretation.</w:t>
      </w:r>
    </w:p>
    <w:bookmarkEnd w:id="147"/>
    <w:bookmarkStart w:id="151" w:name="sec-s8-1"/>
    <w:p>
      <w:pPr>
        <w:pStyle w:val="Heading2"/>
      </w:pPr>
      <w:r>
        <w:t xml:space="preserve">S1.8.2 Multiple regression on distance matrices</w:t>
      </w:r>
    </w:p>
    <w:bookmarkStart w:id="149" w:name="rationale-11"/>
    <w:p>
      <w:pPr>
        <w:pStyle w:val="Heading3"/>
      </w:pPr>
      <w:r>
        <w:t xml:space="preserve">Rationale</w:t>
      </w:r>
    </w:p>
    <w:p>
      <w:pPr>
        <w:pStyle w:val="FirstParagraph"/>
      </w:pPr>
      <w:r>
        <w:t xml:space="preserve">The Mantel tests show that geographic distance is not significantly correlated with sign dissimilarity in either phase. A non-significant result does not show which process made the pattern. We therefore fit a multiple regression on distance matrices (MRM)</w:t>
      </w:r>
      <w:r>
        <w:t xml:space="preserve"> </w:t>
      </w:r>
      <w:r>
        <w:t xml:space="preserve">[16]</w:t>
      </w:r>
      <w:r>
        <w:t xml:space="preserve">. The response is the Jaccard dissimilarity of the sign presence/absence vectors. Three predictors describe each pair of sites: geographic distance, absolute temporal lag, and difference in object count. Object count is a proxy for sampling effort. Each predictor is a distance matrix. This places all three on the same pairwise footing. We fit one model for Aur-P1 and one for Aur-P2, to match the phase-specific Mantel tests. Site ages are per-site medians of the calibrated age in years BP. We report the coefficient and the permutation p-value for each driver (</w:t>
      </w:r>
      <w:hyperlink w:anchor="tbl-mrm">
        <w:r>
          <w:rPr>
            <w:rStyle w:val="Hyperlink"/>
          </w:rPr>
          <w:t xml:space="preserve">Table AB</w:t>
        </w:r>
      </w:hyperlink>
      <w:r>
        <w:t xml:space="preserve">). Coefficients are in units of one standard deviation of the predictor. This makes the three drivers comparable, because their raw units differ. Standardising the predictors does not change the fit, so the model R2 and the permutation p-values are the same in either set of units. We do not report confidence intervals. The bootstrap resampled objects, which created duplicate sites with zero distance, and no replicate produced a valid fit.</w:t>
      </w:r>
    </w:p>
    <w:p>
      <w:pPr>
        <w:pStyle w:val="BodyText"/>
      </w:pPr>
      <w:r>
        <w:rPr>
          <w:bCs/>
          <w:b/>
        </w:rPr>
        <w:t xml:space="preserve">Question: do geographic distance, temporal distance, and object-count difference jointly explain sign dissimilarity in either phase?</w:t>
      </w:r>
    </w:p>
    <w:tbl>
      <w:tblPr>
        <w:tblStyle w:val="Table"/>
        <w:tblW w:type="pct" w:w="5000"/>
        <w:tblLook w:firstRow="0" w:lastRow="0" w:firstColumn="0" w:lastColumn="0" w:noHBand="0" w:noVBand="0" w:val="0000"/>
        <w:jc w:val="start"/>
        <w:tblLayout w:type="fixed"/>
      </w:tblPr>
      <w:tblGrid>
        <w:gridCol w:w="7920"/>
      </w:tblGrid>
      <w:tr>
        <w:tc>
          <w:tcPr/>
          <w:bookmarkStart w:id="148" w:name="tbl-mrm"/>
          <w:tbl>
            <w:tblPr>
              <w:tblStyle w:val="Table"/>
              <w:tblW w:type="pct" w:w="5000"/>
              <w:tblLook w:firstRow="1" w:lastRow="0" w:firstColumn="0" w:lastColumn="0" w:noHBand="0" w:noVBand="0" w:val="0020"/>
              <w:jc w:val="start"/>
              <w:tblLayout w:type="fixed"/>
            </w:tblPr>
            <w:tblGrid>
              <w:gridCol w:w="792"/>
              <w:gridCol w:w="792"/>
              <w:gridCol w:w="1029"/>
              <w:gridCol w:w="871"/>
              <w:gridCol w:w="633"/>
              <w:gridCol w:w="1267"/>
              <w:gridCol w:w="792"/>
              <w:gridCol w:w="712"/>
              <w:gridCol w:w="554"/>
              <w:gridCol w:w="475"/>
            </w:tblGrid>
            <w:tr>
              <w:trPr>
                <w:tblHeader w:val="true"/>
              </w:trPr>
              <w:tc>
                <w:tcPr/>
                <w:p>
                  <w:pPr>
                    <w:pStyle w:val="Compact"/>
                    <w:jc w:val="left"/>
                    <w:jc w:val="left"/>
                  </w:pPr>
                  <w:r>
                    <w:t xml:space="preserve">Phase</w:t>
                  </w:r>
                </w:p>
              </w:tc>
              <w:tc>
                <w:tcPr/>
                <w:p>
                  <w:pPr>
                    <w:pStyle w:val="Compact"/>
                    <w:jc w:val="left"/>
                    <w:jc w:val="left"/>
                  </w:pPr>
                  <w:r>
                    <w:t xml:space="preserve">Driver</w:t>
                  </w:r>
                </w:p>
              </w:tc>
              <w:tc>
                <w:tcPr/>
                <w:p>
                  <w:pPr>
                    <w:pStyle w:val="Compact"/>
                    <w:jc w:val="left"/>
                    <w:jc w:val="left"/>
                  </w:pPr>
                  <w:r>
                    <w:t xml:space="preserve">Coefficient (per SD)</w:t>
                  </w:r>
                </w:p>
              </w:tc>
              <w:tc>
                <w:tcPr/>
                <w:p>
                  <w:pPr>
                    <w:pStyle w:val="Compact"/>
                    <w:jc w:val="left"/>
                    <w:jc w:val="left"/>
                  </w:pPr>
                  <w:r>
                    <w:t xml:space="preserve">Permutation p</w:t>
                  </w:r>
                </w:p>
              </w:tc>
              <w:tc>
                <w:tcPr/>
                <w:p>
                  <w:pPr>
                    <w:pStyle w:val="Compact"/>
                    <w:jc w:val="left"/>
                    <w:jc w:val="left"/>
                  </w:pPr>
                  <w:r>
                    <w:t xml:space="preserve">1 SD</w:t>
                  </w:r>
                </w:p>
              </w:tc>
              <w:tc>
                <w:tcPr/>
                <w:p>
                  <w:pPr>
                    <w:pStyle w:val="Compact"/>
                    <w:jc w:val="left"/>
                    <w:jc w:val="left"/>
                  </w:pPr>
                  <w:r>
                    <w:t xml:space="preserve">Change over observed range</w:t>
                  </w:r>
                </w:p>
              </w:tc>
              <w:tc>
                <w:tcPr/>
                <w:p>
                  <w:pPr>
                    <w:pStyle w:val="Compact"/>
                    <w:jc w:val="left"/>
                    <w:jc w:val="left"/>
                  </w:pPr>
                  <w:r>
                    <w:t xml:space="preserve">Model R2</w:t>
                  </w:r>
                </w:p>
              </w:tc>
              <w:tc>
                <w:tcPr/>
                <w:p>
                  <w:pPr>
                    <w:pStyle w:val="Compact"/>
                    <w:jc w:val="left"/>
                    <w:jc w:val="left"/>
                  </w:pPr>
                  <w:r>
                    <w:t xml:space="preserve">Model p</w:t>
                  </w:r>
                </w:p>
              </w:tc>
              <w:tc>
                <w:tcPr/>
                <w:p>
                  <w:pPr>
                    <w:pStyle w:val="Compact"/>
                    <w:jc w:val="left"/>
                    <w:jc w:val="left"/>
                  </w:pPr>
                  <w:r>
                    <w:t xml:space="preserve">Sites</w:t>
                  </w:r>
                </w:p>
              </w:tc>
              <w:tc>
                <w:tcPr/>
                <w:p>
                  <w:pPr>
                    <w:pStyle w:val="Compact"/>
                    <w:jc w:val="left"/>
                    <w:jc w:val="left"/>
                  </w:pPr>
                  <w:r>
                    <w:t xml:space="preserve">Site pairs</w:t>
                  </w:r>
                </w:p>
              </w:tc>
            </w:tr>
            <w:tr>
              <w:tc>
                <w:tcPr/>
                <w:p>
                  <w:pPr>
                    <w:pStyle w:val="Compact"/>
                    <w:jc w:val="left"/>
                    <w:jc w:val="left"/>
                  </w:pPr>
                  <w:r>
                    <w:t xml:space="preserve">Aur-P1</w:t>
                  </w:r>
                </w:p>
              </w:tc>
              <w:tc>
                <w:tcPr/>
                <w:p>
                  <w:pPr>
                    <w:pStyle w:val="Compact"/>
                    <w:jc w:val="left"/>
                    <w:jc w:val="left"/>
                  </w:pPr>
                  <w:r>
                    <w:t xml:space="preserve">Geographic distance</w:t>
                  </w:r>
                </w:p>
              </w:tc>
              <w:tc>
                <w:tcPr/>
                <w:p>
                  <w:pPr>
                    <w:pStyle w:val="Compact"/>
                    <w:jc w:val="left"/>
                    <w:jc w:val="left"/>
                  </w:pPr>
                  <w:r>
                    <w:t xml:space="preserve">+0.016</w:t>
                  </w:r>
                </w:p>
              </w:tc>
              <w:tc>
                <w:tcPr/>
                <w:p>
                  <w:pPr>
                    <w:pStyle w:val="Compact"/>
                    <w:jc w:val="left"/>
                    <w:jc w:val="left"/>
                  </w:pPr>
                  <w:r>
                    <w:t xml:space="preserve">0.421</w:t>
                  </w:r>
                </w:p>
              </w:tc>
              <w:tc>
                <w:tcPr/>
                <w:p>
                  <w:pPr>
                    <w:pStyle w:val="Compact"/>
                    <w:jc w:val="left"/>
                    <w:jc w:val="left"/>
                  </w:pPr>
                  <w:r>
                    <w:t xml:space="preserve">320 km</w:t>
                  </w:r>
                </w:p>
              </w:tc>
              <w:tc>
                <w:tcPr/>
                <w:p>
                  <w:pPr>
                    <w:pStyle w:val="Compact"/>
                    <w:jc w:val="left"/>
                    <w:jc w:val="left"/>
                  </w:pPr>
                  <w:r>
                    <w:t xml:space="preserve">+8.2 points over 1630 km</w:t>
                  </w:r>
                </w:p>
              </w:tc>
              <w:tc>
                <w:tcPr/>
                <w:p>
                  <w:pPr>
                    <w:pStyle w:val="Compact"/>
                    <w:jc w:val="left"/>
                    <w:jc w:val="left"/>
                  </w:pPr>
                  <w:r>
                    <w:t xml:space="preserve">0.023</w:t>
                  </w:r>
                </w:p>
              </w:tc>
              <w:tc>
                <w:tcPr/>
                <w:p>
                  <w:pPr>
                    <w:pStyle w:val="Compact"/>
                    <w:jc w:val="left"/>
                    <w:jc w:val="left"/>
                  </w:pPr>
                  <w:r>
                    <w:t xml:space="preserve">0.569</w:t>
                  </w:r>
                </w:p>
              </w:tc>
              <w:tc>
                <w:tcPr/>
                <w:p>
                  <w:pPr>
                    <w:pStyle w:val="Compact"/>
                    <w:jc w:val="left"/>
                    <w:jc w:val="left"/>
                  </w:pPr>
                  <w:r>
                    <w:t xml:space="preserve">20</w:t>
                  </w:r>
                </w:p>
              </w:tc>
              <w:tc>
                <w:tcPr/>
                <w:p>
                  <w:pPr>
                    <w:pStyle w:val="Compact"/>
                    <w:jc w:val="left"/>
                    <w:jc w:val="left"/>
                  </w:pPr>
                  <w:r>
                    <w:t xml:space="preserve">190</w:t>
                  </w:r>
                </w:p>
              </w:tc>
            </w:tr>
            <w:tr>
              <w:tc>
                <w:tcPr/>
                <w:p>
                  <w:pPr>
                    <w:pStyle w:val="Compact"/>
                    <w:jc w:val="left"/>
                    <w:jc w:val="left"/>
                  </w:pPr>
                  <w:r>
                    <w:t xml:space="preserve">Aur-P1</w:t>
                  </w:r>
                </w:p>
              </w:tc>
              <w:tc>
                <w:tcPr/>
                <w:p>
                  <w:pPr>
                    <w:pStyle w:val="Compact"/>
                    <w:jc w:val="left"/>
                    <w:jc w:val="left"/>
                  </w:pPr>
                  <w:r>
                    <w:t xml:space="preserve">Temporal lag</w:t>
                  </w:r>
                </w:p>
              </w:tc>
              <w:tc>
                <w:tcPr/>
                <w:p>
                  <w:pPr>
                    <w:pStyle w:val="Compact"/>
                    <w:jc w:val="left"/>
                    <w:jc w:val="left"/>
                  </w:pPr>
                  <w:r>
                    <w:t xml:space="preserve">-0.015</w:t>
                  </w:r>
                </w:p>
              </w:tc>
              <w:tc>
                <w:tcPr/>
                <w:p>
                  <w:pPr>
                    <w:pStyle w:val="Compact"/>
                    <w:jc w:val="left"/>
                    <w:jc w:val="left"/>
                  </w:pPr>
                  <w:r>
                    <w:t xml:space="preserve">0.535</w:t>
                  </w:r>
                </w:p>
              </w:tc>
              <w:tc>
                <w:tcPr/>
                <w:p>
                  <w:pPr>
                    <w:pStyle w:val="Compact"/>
                    <w:jc w:val="left"/>
                    <w:jc w:val="left"/>
                  </w:pPr>
                  <w:r>
                    <w:t xml:space="preserve">2 ka</w:t>
                  </w:r>
                </w:p>
              </w:tc>
              <w:tc>
                <w:tcPr/>
                <w:p>
                  <w:pPr>
                    <w:pStyle w:val="Compact"/>
                    <w:jc w:val="left"/>
                    <w:jc w:val="left"/>
                  </w:pPr>
                  <w:r>
                    <w:t xml:space="preserve">-7.5 points over 8 ka</w:t>
                  </w:r>
                </w:p>
              </w:tc>
              <w:tc>
                <w:tcPr/>
                <w:p>
                  <w:pPr>
                    <w:pStyle w:val="Compact"/>
                    <w:jc w:val="left"/>
                    <w:jc w:val="left"/>
                  </w:pPr>
                  <w:r>
                    <w:t xml:space="preserve">0.023</w:t>
                  </w:r>
                </w:p>
              </w:tc>
              <w:tc>
                <w:tcPr/>
                <w:p>
                  <w:pPr>
                    <w:pStyle w:val="Compact"/>
                    <w:jc w:val="left"/>
                    <w:jc w:val="left"/>
                  </w:pPr>
                  <w:r>
                    <w:t xml:space="preserve">0.569</w:t>
                  </w:r>
                </w:p>
              </w:tc>
              <w:tc>
                <w:tcPr/>
                <w:p>
                  <w:pPr>
                    <w:pStyle w:val="Compact"/>
                    <w:jc w:val="left"/>
                    <w:jc w:val="left"/>
                  </w:pPr>
                  <w:r>
                    <w:t xml:space="preserve">20</w:t>
                  </w:r>
                </w:p>
              </w:tc>
              <w:tc>
                <w:tcPr/>
                <w:p>
                  <w:pPr>
                    <w:pStyle w:val="Compact"/>
                    <w:jc w:val="left"/>
                    <w:jc w:val="left"/>
                  </w:pPr>
                  <w:r>
                    <w:t xml:space="preserve">190</w:t>
                  </w:r>
                </w:p>
              </w:tc>
            </w:tr>
            <w:tr>
              <w:tc>
                <w:tcPr/>
                <w:p>
                  <w:pPr>
                    <w:pStyle w:val="Compact"/>
                    <w:jc w:val="left"/>
                    <w:jc w:val="left"/>
                  </w:pPr>
                  <w:r>
                    <w:t xml:space="preserve">Aur-P1</w:t>
                  </w:r>
                </w:p>
              </w:tc>
              <w:tc>
                <w:tcPr/>
                <w:p>
                  <w:pPr>
                    <w:pStyle w:val="Compact"/>
                    <w:jc w:val="left"/>
                    <w:jc w:val="left"/>
                  </w:pPr>
                  <w:r>
                    <w:t xml:space="preserve">Object-count difference</w:t>
                  </w:r>
                </w:p>
              </w:tc>
              <w:tc>
                <w:tcPr/>
                <w:p>
                  <w:pPr>
                    <w:pStyle w:val="Compact"/>
                    <w:jc w:val="left"/>
                    <w:jc w:val="left"/>
                  </w:pPr>
                  <w:r>
                    <w:t xml:space="preserve">+0.028</w:t>
                  </w:r>
                </w:p>
              </w:tc>
              <w:tc>
                <w:tcPr/>
                <w:p>
                  <w:pPr>
                    <w:pStyle w:val="Compact"/>
                    <w:jc w:val="left"/>
                    <w:jc w:val="left"/>
                  </w:pPr>
                  <w:r>
                    <w:t xml:space="preserve">0.325</w:t>
                  </w:r>
                </w:p>
              </w:tc>
              <w:tc>
                <w:tcPr/>
                <w:p>
                  <w:pPr>
                    <w:pStyle w:val="Compact"/>
                    <w:jc w:val="left"/>
                    <w:jc w:val="left"/>
                  </w:pPr>
                  <w:r>
                    <w:t xml:space="preserve">47 objects</w:t>
                  </w:r>
                </w:p>
              </w:tc>
              <w:tc>
                <w:tcPr/>
                <w:p>
                  <w:pPr>
                    <w:pStyle w:val="Compact"/>
                    <w:jc w:val="left"/>
                    <w:jc w:val="left"/>
                  </w:pPr>
                  <w:r>
                    <w:t xml:space="preserve">+10.3 points over 172 objects</w:t>
                  </w:r>
                </w:p>
              </w:tc>
              <w:tc>
                <w:tcPr/>
                <w:p>
                  <w:pPr>
                    <w:pStyle w:val="Compact"/>
                    <w:jc w:val="left"/>
                    <w:jc w:val="left"/>
                  </w:pPr>
                  <w:r>
                    <w:t xml:space="preserve">0.023</w:t>
                  </w:r>
                </w:p>
              </w:tc>
              <w:tc>
                <w:tcPr/>
                <w:p>
                  <w:pPr>
                    <w:pStyle w:val="Compact"/>
                    <w:jc w:val="left"/>
                    <w:jc w:val="left"/>
                  </w:pPr>
                  <w:r>
                    <w:t xml:space="preserve">0.569</w:t>
                  </w:r>
                </w:p>
              </w:tc>
              <w:tc>
                <w:tcPr/>
                <w:p>
                  <w:pPr>
                    <w:pStyle w:val="Compact"/>
                    <w:jc w:val="left"/>
                    <w:jc w:val="left"/>
                  </w:pPr>
                  <w:r>
                    <w:t xml:space="preserve">20</w:t>
                  </w:r>
                </w:p>
              </w:tc>
              <w:tc>
                <w:tcPr/>
                <w:p>
                  <w:pPr>
                    <w:pStyle w:val="Compact"/>
                    <w:jc w:val="left"/>
                    <w:jc w:val="left"/>
                  </w:pPr>
                  <w:r>
                    <w:t xml:space="preserve">190</w:t>
                  </w:r>
                </w:p>
              </w:tc>
            </w:tr>
            <w:tr>
              <w:tc>
                <w:tcPr/>
                <w:p>
                  <w:pPr>
                    <w:pStyle w:val="Compact"/>
                    <w:jc w:val="left"/>
                    <w:jc w:val="left"/>
                  </w:pPr>
                  <w:r>
                    <w:t xml:space="preserve">Aur-P2</w:t>
                  </w:r>
                </w:p>
              </w:tc>
              <w:tc>
                <w:tcPr/>
                <w:p>
                  <w:pPr>
                    <w:pStyle w:val="Compact"/>
                    <w:jc w:val="left"/>
                    <w:jc w:val="left"/>
                  </w:pPr>
                  <w:r>
                    <w:t xml:space="preserve">Geographic distance</w:t>
                  </w:r>
                </w:p>
              </w:tc>
              <w:tc>
                <w:tcPr/>
                <w:p>
                  <w:pPr>
                    <w:pStyle w:val="Compact"/>
                    <w:jc w:val="left"/>
                    <w:jc w:val="left"/>
                  </w:pPr>
                  <w:r>
                    <w:t xml:space="preserve">-0.057</w:t>
                  </w:r>
                </w:p>
              </w:tc>
              <w:tc>
                <w:tcPr/>
                <w:p>
                  <w:pPr>
                    <w:pStyle w:val="Compact"/>
                    <w:jc w:val="left"/>
                    <w:jc w:val="left"/>
                  </w:pPr>
                  <w:r>
                    <w:t xml:space="preserve">0.221</w:t>
                  </w:r>
                </w:p>
              </w:tc>
              <w:tc>
                <w:tcPr/>
                <w:p>
                  <w:pPr>
                    <w:pStyle w:val="Compact"/>
                    <w:jc w:val="left"/>
                    <w:jc w:val="left"/>
                  </w:pPr>
                  <w:r>
                    <w:t xml:space="preserve">466 km</w:t>
                  </w:r>
                </w:p>
              </w:tc>
              <w:tc>
                <w:tcPr/>
                <w:p>
                  <w:pPr>
                    <w:pStyle w:val="Compact"/>
                    <w:jc w:val="left"/>
                    <w:jc w:val="left"/>
                  </w:pPr>
                  <w:r>
                    <w:t xml:space="preserve">-23.0 points over 1878 km</w:t>
                  </w:r>
                </w:p>
              </w:tc>
              <w:tc>
                <w:tcPr/>
                <w:p>
                  <w:pPr>
                    <w:pStyle w:val="Compact"/>
                    <w:jc w:val="left"/>
                    <w:jc w:val="left"/>
                  </w:pPr>
                  <w:r>
                    <w:t xml:space="preserve">0.119</w:t>
                  </w:r>
                </w:p>
              </w:tc>
              <w:tc>
                <w:tcPr/>
                <w:p>
                  <w:pPr>
                    <w:pStyle w:val="Compact"/>
                    <w:jc w:val="left"/>
                    <w:jc w:val="left"/>
                  </w:pPr>
                  <w:r>
                    <w:t xml:space="preserve">0.453</w:t>
                  </w:r>
                </w:p>
              </w:tc>
              <w:tc>
                <w:tcPr/>
                <w:p>
                  <w:pPr>
                    <w:pStyle w:val="Compact"/>
                    <w:jc w:val="left"/>
                    <w:jc w:val="left"/>
                  </w:pPr>
                  <w:r>
                    <w:t xml:space="preserve">9</w:t>
                  </w:r>
                </w:p>
              </w:tc>
              <w:tc>
                <w:tcPr/>
                <w:p>
                  <w:pPr>
                    <w:pStyle w:val="Compact"/>
                    <w:jc w:val="left"/>
                    <w:jc w:val="left"/>
                  </w:pPr>
                  <w:r>
                    <w:t xml:space="preserve">36</w:t>
                  </w:r>
                </w:p>
              </w:tc>
            </w:tr>
            <w:tr>
              <w:tc>
                <w:tcPr/>
                <w:p>
                  <w:pPr>
                    <w:pStyle w:val="Compact"/>
                    <w:jc w:val="left"/>
                    <w:jc w:val="left"/>
                  </w:pPr>
                  <w:r>
                    <w:t xml:space="preserve">Aur-P2</w:t>
                  </w:r>
                </w:p>
              </w:tc>
              <w:tc>
                <w:tcPr/>
                <w:p>
                  <w:pPr>
                    <w:pStyle w:val="Compact"/>
                    <w:jc w:val="left"/>
                    <w:jc w:val="left"/>
                  </w:pPr>
                  <w:r>
                    <w:t xml:space="preserve">Temporal lag</w:t>
                  </w:r>
                </w:p>
              </w:tc>
              <w:tc>
                <w:tcPr/>
                <w:p>
                  <w:pPr>
                    <w:pStyle w:val="Compact"/>
                    <w:jc w:val="left"/>
                    <w:jc w:val="left"/>
                  </w:pPr>
                  <w:r>
                    <w:t xml:space="preserve">-0.024</w:t>
                  </w:r>
                </w:p>
              </w:tc>
              <w:tc>
                <w:tcPr/>
                <w:p>
                  <w:pPr>
                    <w:pStyle w:val="Compact"/>
                    <w:jc w:val="left"/>
                    <w:jc w:val="left"/>
                  </w:pPr>
                  <w:r>
                    <w:t xml:space="preserve">0.605</w:t>
                  </w:r>
                </w:p>
              </w:tc>
              <w:tc>
                <w:tcPr/>
                <w:p>
                  <w:pPr>
                    <w:pStyle w:val="Compact"/>
                    <w:jc w:val="left"/>
                    <w:jc w:val="left"/>
                  </w:pPr>
                  <w:r>
                    <w:t xml:space="preserve">2 ka</w:t>
                  </w:r>
                </w:p>
              </w:tc>
              <w:tc>
                <w:tcPr/>
                <w:p>
                  <w:pPr>
                    <w:pStyle w:val="Compact"/>
                    <w:jc w:val="left"/>
                    <w:jc w:val="left"/>
                  </w:pPr>
                  <w:r>
                    <w:t xml:space="preserve">-9.5 points over 7 ka</w:t>
                  </w:r>
                </w:p>
              </w:tc>
              <w:tc>
                <w:tcPr/>
                <w:p>
                  <w:pPr>
                    <w:pStyle w:val="Compact"/>
                    <w:jc w:val="left"/>
                    <w:jc w:val="left"/>
                  </w:pPr>
                  <w:r>
                    <w:t xml:space="preserve">0.119</w:t>
                  </w:r>
                </w:p>
              </w:tc>
              <w:tc>
                <w:tcPr/>
                <w:p>
                  <w:pPr>
                    <w:pStyle w:val="Compact"/>
                    <w:jc w:val="left"/>
                    <w:jc w:val="left"/>
                  </w:pPr>
                  <w:r>
                    <w:t xml:space="preserve">0.453</w:t>
                  </w:r>
                </w:p>
              </w:tc>
              <w:tc>
                <w:tcPr/>
                <w:p>
                  <w:pPr>
                    <w:pStyle w:val="Compact"/>
                    <w:jc w:val="left"/>
                    <w:jc w:val="left"/>
                  </w:pPr>
                  <w:r>
                    <w:t xml:space="preserve">9</w:t>
                  </w:r>
                </w:p>
              </w:tc>
              <w:tc>
                <w:tcPr/>
                <w:p>
                  <w:pPr>
                    <w:pStyle w:val="Compact"/>
                    <w:jc w:val="left"/>
                    <w:jc w:val="left"/>
                  </w:pPr>
                  <w:r>
                    <w:t xml:space="preserve">36</w:t>
                  </w:r>
                </w:p>
              </w:tc>
            </w:tr>
            <w:tr>
              <w:tc>
                <w:tcPr/>
                <w:p>
                  <w:pPr>
                    <w:pStyle w:val="Compact"/>
                    <w:jc w:val="left"/>
                    <w:jc w:val="left"/>
                  </w:pPr>
                  <w:r>
                    <w:t xml:space="preserve">Aur-P2</w:t>
                  </w:r>
                </w:p>
              </w:tc>
              <w:tc>
                <w:tcPr/>
                <w:p>
                  <w:pPr>
                    <w:pStyle w:val="Compact"/>
                    <w:jc w:val="left"/>
                    <w:jc w:val="left"/>
                  </w:pPr>
                  <w:r>
                    <w:t xml:space="preserve">Object-count difference</w:t>
                  </w:r>
                </w:p>
              </w:tc>
              <w:tc>
                <w:tcPr/>
                <w:p>
                  <w:pPr>
                    <w:pStyle w:val="Compact"/>
                    <w:jc w:val="left"/>
                    <w:jc w:val="left"/>
                  </w:pPr>
                  <w:r>
                    <w:t xml:space="preserve">+0.033</w:t>
                  </w:r>
                </w:p>
              </w:tc>
              <w:tc>
                <w:tcPr/>
                <w:p>
                  <w:pPr>
                    <w:pStyle w:val="Compact"/>
                    <w:jc w:val="left"/>
                    <w:jc w:val="left"/>
                  </w:pPr>
                  <w:r>
                    <w:t xml:space="preserve">0.520</w:t>
                  </w:r>
                </w:p>
              </w:tc>
              <w:tc>
                <w:tcPr/>
                <w:p>
                  <w:pPr>
                    <w:pStyle w:val="Compact"/>
                    <w:jc w:val="left"/>
                    <w:jc w:val="left"/>
                  </w:pPr>
                  <w:r>
                    <w:t xml:space="preserve">9 objects</w:t>
                  </w:r>
                </w:p>
              </w:tc>
              <w:tc>
                <w:tcPr/>
                <w:p>
                  <w:pPr>
                    <w:pStyle w:val="Compact"/>
                    <w:jc w:val="left"/>
                    <w:jc w:val="left"/>
                  </w:pPr>
                  <w:r>
                    <w:t xml:space="preserve">+9.8 points over 28 objects</w:t>
                  </w:r>
                </w:p>
              </w:tc>
              <w:tc>
                <w:tcPr/>
                <w:p>
                  <w:pPr>
                    <w:pStyle w:val="Compact"/>
                    <w:jc w:val="left"/>
                    <w:jc w:val="left"/>
                  </w:pPr>
                  <w:r>
                    <w:t xml:space="preserve">0.119</w:t>
                  </w:r>
                </w:p>
              </w:tc>
              <w:tc>
                <w:tcPr/>
                <w:p>
                  <w:pPr>
                    <w:pStyle w:val="Compact"/>
                    <w:jc w:val="left"/>
                    <w:jc w:val="left"/>
                  </w:pPr>
                  <w:r>
                    <w:t xml:space="preserve">0.453</w:t>
                  </w:r>
                </w:p>
              </w:tc>
              <w:tc>
                <w:tcPr/>
                <w:p>
                  <w:pPr>
                    <w:pStyle w:val="Compact"/>
                    <w:jc w:val="left"/>
                    <w:jc w:val="left"/>
                  </w:pPr>
                  <w:r>
                    <w:t xml:space="preserve">9</w:t>
                  </w:r>
                </w:p>
              </w:tc>
              <w:tc>
                <w:tcPr/>
                <w:p>
                  <w:pPr>
                    <w:pStyle w:val="Compact"/>
                    <w:jc w:val="left"/>
                    <w:jc w:val="left"/>
                  </w:pPr>
                  <w:r>
                    <w:t xml:space="preserve">36</w:t>
                  </w:r>
                </w:p>
              </w:tc>
            </w:tr>
          </w:tbl>
          <w:p>
            <w:pPr>
              <w:jc w:val="left"/>
            </w:pPr>
            <w:pPr>
              <w:jc w:val="start"/>
              <w:spacing w:before="200"/>
              <w:pStyle w:val="ImageCaption"/>
            </w:pPr>
            <w:r>
              <w:t xml:space="preserve">Table AB. Multiple regression on distance matrices of Jaccard sign dissimilarity, fitted separately for each phase. Each predictor is a distance between two sites, divided by its own standard deviation, so that coefficients are comparable across drivers with different raw units. One standard deviation equals 320 km, 1.6 ka and 47 objects in Aur-P1, and 466 km, 1.8 ka and 9 objects in Aur-P2. A coefficient is the change in mean Jaccard dissimilarity for a one-standard-deviation change in that predictor. Site ages are per-site medians of calibrated MedianBP, in years BP. Permutation p-values are from 10,000 permutations of the response. Full model R2 is given once per phase. No confidence intervals are reported, because the object-level bootstrap produced no valid replicate.</w:t>
            </w:r>
          </w:p>
          <w:bookmarkEnd w:id="148"/>
        </w:tc>
      </w:tr>
    </w:tbl>
    <w:bookmarkEnd w:id="149"/>
    <w:bookmarkStart w:id="150" w:name="interpretation-10"/>
    <w:p>
      <w:pPr>
        <w:pStyle w:val="Heading3"/>
      </w:pPr>
      <w:r>
        <w:t xml:space="preserve">Interpretation</w:t>
      </w:r>
    </w:p>
    <w:p>
      <w:pPr>
        <w:pStyle w:val="FirstParagraph"/>
      </w:pPr>
      <w:r>
        <w:rPr>
          <w:bCs/>
          <w:b/>
        </w:rPr>
        <w:t xml:space="preserve">Question: do geographic distance, temporal distance, and object-count difference jointly explain sign dissimilarity in either phase?</w:t>
      </w:r>
      <w:r>
        <w:t xml:space="preserve"> </w:t>
      </w:r>
      <w:r>
        <w:t xml:space="preserve">No. For Aur-P1 the model explains 0.023 of the variance in sign dissimilarity. No driver is significant. Geographic distance gives β = 0.016 (p = 0.421), temporal lag β = -0.015 (p = 0.535), and object-count difference β = 0.028 (p = 0.325) (</w:t>
      </w:r>
      <w:hyperlink w:anchor="tbl-mrm">
        <w:r>
          <w:rPr>
            <w:rStyle w:val="Hyperlink"/>
          </w:rPr>
          <w:t xml:space="preserve">Table AB</w:t>
        </w:r>
      </w:hyperlink>
      <w:r>
        <w:t xml:space="preserve">). Each β is the change in mean Jaccard dissimilarity for a one-standard-deviation change in that predictor. Across the full observed range of each predictor, the three drivers account for +8.2, -7.5 and +10.3 Jaccard points respectively. Aur-P2 shows the same pattern, with R² = 0.119 and no significant driver; across its observed range the same three drivers account for -23.0, -9.5 and +9.8 Jaccard points. Because no candidate driver reaches significance, the non-significant Mantel result does not identify any one process. The result is consistent with non-utilitarian mobility, with aggregation, and with independent invention. It demonstrates none of them. Aur-P2 has only 9 sites, so its coefficients are indicative rather than conclusive. The data contain no statistical evidence that favours one driver over another.</w:t>
      </w:r>
    </w:p>
    <w:p>
      <w:pPr>
        <w:pStyle w:val="BodyText"/>
      </w:pPr>
      <w:r>
        <w:rPr>
          <w:bCs/>
          <w:b/>
        </w:rPr>
        <w:t xml:space="preserve">Implication for the main text.</w:t>
      </w:r>
      <w:r>
        <w:t xml:space="preserve"> </w:t>
      </w:r>
      <w:r>
        <w:t xml:space="preserve">No measured driver explains the dissimilarity pattern; the null Mantel result points to no specific alternative process.</w:t>
      </w:r>
    </w:p>
    <w:bookmarkEnd w:id="150"/>
    <w:bookmarkEnd w:id="151"/>
    <w:bookmarkStart w:id="156" w:name="sec-s8-2"/>
    <w:p>
      <w:pPr>
        <w:pStyle w:val="Heading2"/>
      </w:pPr>
      <w:r>
        <w:t xml:space="preserve">S1.8.3 Time-lag check</w:t>
      </w:r>
    </w:p>
    <w:bookmarkStart w:id="152" w:name="rationale-12"/>
    <w:p>
      <w:pPr>
        <w:pStyle w:val="Heading3"/>
      </w:pPr>
      <w:r>
        <w:t xml:space="preserve">Rationale</w:t>
      </w:r>
    </w:p>
    <w:p>
      <w:pPr>
        <w:pStyle w:val="FirstParagraph"/>
      </w:pPr>
      <w:r>
        <w:t xml:space="preserve">The main text reports a temporal Mantel test in which sign dissimilarity is correlated with temporal distance (|ΔMedianBP|); that test is weakly but nominally significant (R = 0.062, p = 0.005) yet explains little variation, and it cannot demonstrate whether substantial change in sign types did or did not occur through time. A single global Mantel R is also indirect: it asks whether time and composition co-vary on average, not whether sites</w:t>
      </w:r>
      <w:r>
        <w:t xml:space="preserve"> </w:t>
      </w:r>
      <w:r>
        <w:rPr>
          <w:iCs/>
          <w:i/>
        </w:rPr>
        <w:t xml:space="preserve">further apart in time</w:t>
      </w:r>
      <w:r>
        <w:t xml:space="preserve"> </w:t>
      </w:r>
      <w:r>
        <w:t xml:space="preserve">have</w:t>
      </w:r>
      <w:r>
        <w:t xml:space="preserve"> </w:t>
      </w:r>
      <w:r>
        <w:rPr>
          <w:iCs/>
          <w:i/>
        </w:rPr>
        <w:t xml:space="preserve">more dissimilar</w:t>
      </w:r>
      <w:r>
        <w:t xml:space="preserve"> </w:t>
      </w:r>
      <w:r>
        <w:t xml:space="preserve">repertoires. To test temporal turnover more directly we ask three specific questions:</w:t>
      </w:r>
    </w:p>
    <w:p>
      <w:pPr>
        <w:pStyle w:val="BodyText"/>
      </w:pPr>
      <w:r>
        <w:rPr>
          <w:bCs/>
          <w:b/>
        </w:rPr>
        <w:t xml:space="preserve">Question: does sign dissimilarity increase with temporal lag?</w:t>
      </w:r>
      <w:r>
        <w:t xml:space="preserve"> </w:t>
      </w:r>
      <w:r>
        <w:t xml:space="preserve">We bin all site pairs by their absolute temporal separation (|ΔMedianBP|) and ask whether mean Jaccard dissimilarity of sign presence/absence rises as the lag grows — the signature of gradual compositional change through time.</w:t>
      </w:r>
    </w:p>
    <w:p>
      <w:pPr>
        <w:pStyle w:val="BodyText"/>
      </w:pPr>
      <w:r>
        <w:rPr>
          <w:bCs/>
          <w:b/>
        </w:rPr>
        <w:t xml:space="preserve">Question: is any time signal driven by the between-phase gap or by gradual within-phase change?</w:t>
      </w:r>
      <w:r>
        <w:t xml:space="preserve"> </w:t>
      </w:r>
      <w:r>
        <w:t xml:space="preserve">Because the two-phase scheme pools spans of several millennia, most temporal variance in a pooled sample comes from the gap between Aur-P1 and Aur-P2 (mean lag 4.25 ka between sites in different phases). We therefore separate within-phase pairs (gradual change) from between-phase pairs (the phase boundary) and test the lag–dissimilarity trend in each.</w:t>
      </w:r>
    </w:p>
    <w:p>
      <w:pPr>
        <w:pStyle w:val="BodyText"/>
      </w:pPr>
      <w:r>
        <w:rPr>
          <w:bCs/>
          <w:b/>
        </w:rPr>
        <w:t xml:space="preserve">Question: how should a flat or null trend be interpreted?</w:t>
      </w:r>
      <w:r>
        <w:t xml:space="preserve"> </w:t>
      </w:r>
      <w:r>
        <w:t xml:space="preserve">We state explicitly whether a non-significant result establishes absence of change, or merely a lack of evidence, given the small sample and time-averaging.</w:t>
      </w:r>
    </w:p>
    <w:bookmarkEnd w:id="152"/>
    <w:bookmarkStart w:id="154" w:name="analysis-2"/>
    <w:p>
      <w:pPr>
        <w:pStyle w:val="Heading3"/>
      </w:pPr>
      <w:r>
        <w:t xml:space="preserve">Analysis</w:t>
      </w:r>
    </w:p>
    <w:p>
      <w:pPr>
        <w:pStyle w:val="FirstParagraph"/>
      </w:pPr>
      <w:r>
        <w:t xml:space="preserve">We aggregate the cleaned object-level data to</w:t>
      </w:r>
      <w:r>
        <w:t xml:space="preserve"> </w:t>
      </w:r>
      <w:r>
        <w:rPr>
          <w:bCs/>
          <w:b/>
        </w:rPr>
        <w:t xml:space="preserve">site level</w:t>
      </w:r>
      <w:r>
        <w:t xml:space="preserve">: for each of the 28 sites (the objects of Hohle Fels from both phases are pooled into one site, with one median date) we record the presence/absence of every sign type (any object at the site carrying the sign counts as present) and a single calibrated age taken as the median</w:t>
      </w:r>
      <w:r>
        <w:t xml:space="preserve"> </w:t>
      </w:r>
      <w:r>
        <w:rPr>
          <w:rStyle w:val="VerbatimChar"/>
        </w:rPr>
        <w:t xml:space="preserve">MedianBP</w:t>
      </w:r>
      <w:r>
        <w:t xml:space="preserve"> </w:t>
      </w:r>
      <w:r>
        <w:t xml:space="preserve">(years BP) across the site’s objects. Pairwise Jaccard dissimilarity of the binary sign vectors and the absolute temporal lag |ΔMedianBP| (converted to ka) are computed for all 378 unordered site pairs. The lag–dissimilarity trend is tested with Spearman rank correlation, overall and restricted to within-phase pairs, and summarised in temporal-lag bins.</w:t>
      </w:r>
    </w:p>
    <w:tbl>
      <w:tblPr>
        <w:tblStyle w:val="Table"/>
        <w:tblW w:type="pct" w:w="5000"/>
        <w:tblLook w:firstRow="0" w:lastRow="0" w:firstColumn="0" w:lastColumn="0" w:noHBand="0" w:noVBand="0" w:val="0000"/>
        <w:jc w:val="start"/>
        <w:tblLayout w:type="fixed"/>
      </w:tblPr>
      <w:tblGrid>
        <w:gridCol w:w="7920"/>
      </w:tblGrid>
      <w:tr>
        <w:tc>
          <w:tcPr/>
          <w:bookmarkStart w:id="153" w:name="tbl-ts-lag"/>
          <w:tbl>
            <w:tblPr>
              <w:tblStyle w:val="Table"/>
              <w:tblW w:type="pct" w:w="5000"/>
              <w:tblLook w:firstRow="1" w:lastRow="0" w:firstColumn="0" w:lastColumn="0" w:noHBand="0" w:noVBand="0" w:val="0020"/>
              <w:jc w:val="start"/>
              <w:tblLayout w:type="fixed"/>
            </w:tblPr>
            <w:tblGrid>
              <w:gridCol w:w="1742"/>
              <w:gridCol w:w="1425"/>
              <w:gridCol w:w="3009"/>
              <w:gridCol w:w="1742"/>
            </w:tblGrid>
            <w:tr>
              <w:trPr>
                <w:tblHeader w:val="true"/>
              </w:trPr>
              <w:tc>
                <w:tcPr/>
                <w:p>
                  <w:pPr>
                    <w:pStyle w:val="Compact"/>
                    <w:jc w:val="left"/>
                    <w:jc w:val="left"/>
                  </w:pPr>
                  <w:r>
                    <w:t xml:space="preserve">lag_bin</w:t>
                  </w:r>
                </w:p>
              </w:tc>
              <w:tc>
                <w:tcPr/>
                <w:p>
                  <w:pPr>
                    <w:pStyle w:val="Compact"/>
                    <w:jc w:val="left"/>
                    <w:jc w:val="left"/>
                  </w:pPr>
                  <w:r>
                    <w:t xml:space="preserve">Pairs</w:t>
                  </w:r>
                </w:p>
              </w:tc>
              <w:tc>
                <w:tcPr/>
                <w:p>
                  <w:pPr>
                    <w:pStyle w:val="Compact"/>
                    <w:jc w:val="left"/>
                    <w:jc w:val="left"/>
                  </w:pPr>
                  <w:r>
                    <w:t xml:space="preserve">Mean Jaccard dissimilarity</w:t>
                  </w:r>
                </w:p>
              </w:tc>
              <w:tc>
                <w:tcPr/>
                <w:p>
                  <w:pPr>
                    <w:pStyle w:val="Compact"/>
                    <w:jc w:val="left"/>
                    <w:jc w:val="left"/>
                  </w:pPr>
                  <w:r>
                    <w:t xml:space="preserve">SD</w:t>
                  </w:r>
                </w:p>
              </w:tc>
            </w:tr>
            <w:tr>
              <w:tc>
                <w:tcPr/>
                <w:p>
                  <w:pPr>
                    <w:pStyle w:val="Compact"/>
                    <w:jc w:val="left"/>
                    <w:jc w:val="left"/>
                  </w:pPr>
                  <w:r>
                    <w:t xml:space="preserve">[0,2]</w:t>
                  </w:r>
                </w:p>
              </w:tc>
              <w:tc>
                <w:tcPr/>
                <w:p>
                  <w:pPr>
                    <w:pStyle w:val="Compact"/>
                    <w:jc w:val="left"/>
                    <w:jc w:val="left"/>
                  </w:pPr>
                  <w:r>
                    <w:t xml:space="preserve">153</w:t>
                  </w:r>
                </w:p>
              </w:tc>
              <w:tc>
                <w:tcPr/>
                <w:p>
                  <w:pPr>
                    <w:pStyle w:val="Compact"/>
                    <w:jc w:val="left"/>
                    <w:jc w:val="left"/>
                  </w:pPr>
                  <w:r>
                    <w:t xml:space="preserve">0.768</w:t>
                  </w:r>
                </w:p>
              </w:tc>
              <w:tc>
                <w:tcPr/>
                <w:p>
                  <w:pPr>
                    <w:pStyle w:val="Compact"/>
                    <w:jc w:val="left"/>
                    <w:jc w:val="left"/>
                  </w:pPr>
                  <w:r>
                    <w:t xml:space="preserve">0.220</w:t>
                  </w:r>
                </w:p>
              </w:tc>
            </w:tr>
            <w:tr>
              <w:tc>
                <w:tcPr/>
                <w:p>
                  <w:pPr>
                    <w:pStyle w:val="Compact"/>
                    <w:jc w:val="left"/>
                    <w:jc w:val="left"/>
                  </w:pPr>
                  <w:r>
                    <w:t xml:space="preserve">(2,4]</w:t>
                  </w:r>
                </w:p>
              </w:tc>
              <w:tc>
                <w:tcPr/>
                <w:p>
                  <w:pPr>
                    <w:pStyle w:val="Compact"/>
                    <w:jc w:val="left"/>
                    <w:jc w:val="left"/>
                  </w:pPr>
                  <w:r>
                    <w:t xml:space="preserve">109</w:t>
                  </w:r>
                </w:p>
              </w:tc>
              <w:tc>
                <w:tcPr/>
                <w:p>
                  <w:pPr>
                    <w:pStyle w:val="Compact"/>
                    <w:jc w:val="left"/>
                    <w:jc w:val="left"/>
                  </w:pPr>
                  <w:r>
                    <w:t xml:space="preserve">0.761</w:t>
                  </w:r>
                </w:p>
              </w:tc>
              <w:tc>
                <w:tcPr/>
                <w:p>
                  <w:pPr>
                    <w:pStyle w:val="Compact"/>
                    <w:jc w:val="left"/>
                    <w:jc w:val="left"/>
                  </w:pPr>
                  <w:r>
                    <w:t xml:space="preserve">0.233</w:t>
                  </w:r>
                </w:p>
              </w:tc>
            </w:tr>
            <w:tr>
              <w:tc>
                <w:tcPr/>
                <w:p>
                  <w:pPr>
                    <w:pStyle w:val="Compact"/>
                    <w:jc w:val="left"/>
                    <w:jc w:val="left"/>
                  </w:pPr>
                  <w:r>
                    <w:t xml:space="preserve">(4,6]</w:t>
                  </w:r>
                </w:p>
              </w:tc>
              <w:tc>
                <w:tcPr/>
                <w:p>
                  <w:pPr>
                    <w:pStyle w:val="Compact"/>
                    <w:jc w:val="left"/>
                    <w:jc w:val="left"/>
                  </w:pPr>
                  <w:r>
                    <w:t xml:space="preserve">68</w:t>
                  </w:r>
                </w:p>
              </w:tc>
              <w:tc>
                <w:tcPr/>
                <w:p>
                  <w:pPr>
                    <w:pStyle w:val="Compact"/>
                    <w:jc w:val="left"/>
                    <w:jc w:val="left"/>
                  </w:pPr>
                  <w:r>
                    <w:t xml:space="preserve">0.693</w:t>
                  </w:r>
                </w:p>
              </w:tc>
              <w:tc>
                <w:tcPr/>
                <w:p>
                  <w:pPr>
                    <w:pStyle w:val="Compact"/>
                    <w:jc w:val="left"/>
                    <w:jc w:val="left"/>
                  </w:pPr>
                  <w:r>
                    <w:t xml:space="preserve">0.295</w:t>
                  </w:r>
                </w:p>
              </w:tc>
            </w:tr>
            <w:tr>
              <w:tc>
                <w:tcPr/>
                <w:p>
                  <w:pPr>
                    <w:pStyle w:val="Compact"/>
                    <w:jc w:val="left"/>
                    <w:jc w:val="left"/>
                  </w:pPr>
                  <w:r>
                    <w:t xml:space="preserve">(6,8]</w:t>
                  </w:r>
                </w:p>
              </w:tc>
              <w:tc>
                <w:tcPr/>
                <w:p>
                  <w:pPr>
                    <w:pStyle w:val="Compact"/>
                    <w:jc w:val="left"/>
                    <w:jc w:val="left"/>
                  </w:pPr>
                  <w:r>
                    <w:t xml:space="preserve">35</w:t>
                  </w:r>
                </w:p>
              </w:tc>
              <w:tc>
                <w:tcPr/>
                <w:p>
                  <w:pPr>
                    <w:pStyle w:val="Compact"/>
                    <w:jc w:val="left"/>
                    <w:jc w:val="left"/>
                  </w:pPr>
                  <w:r>
                    <w:t xml:space="preserve">0.766</w:t>
                  </w:r>
                </w:p>
              </w:tc>
              <w:tc>
                <w:tcPr/>
                <w:p>
                  <w:pPr>
                    <w:pStyle w:val="Compact"/>
                    <w:jc w:val="left"/>
                    <w:jc w:val="left"/>
                  </w:pPr>
                  <w:r>
                    <w:t xml:space="preserve">0.256</w:t>
                  </w:r>
                </w:p>
              </w:tc>
            </w:tr>
            <w:tr>
              <w:tc>
                <w:tcPr/>
                <w:p>
                  <w:pPr>
                    <w:pStyle w:val="Compact"/>
                    <w:jc w:val="left"/>
                    <w:jc w:val="left"/>
                  </w:pPr>
                  <w:r>
                    <w:t xml:space="preserve">(8,10]</w:t>
                  </w:r>
                </w:p>
              </w:tc>
              <w:tc>
                <w:tcPr/>
                <w:p>
                  <w:pPr>
                    <w:pStyle w:val="Compact"/>
                    <w:jc w:val="left"/>
                    <w:jc w:val="left"/>
                  </w:pPr>
                  <w:r>
                    <w:t xml:space="preserve">10</w:t>
                  </w:r>
                </w:p>
              </w:tc>
              <w:tc>
                <w:tcPr/>
                <w:p>
                  <w:pPr>
                    <w:pStyle w:val="Compact"/>
                    <w:jc w:val="left"/>
                    <w:jc w:val="left"/>
                  </w:pPr>
                  <w:r>
                    <w:t xml:space="preserve">0.638</w:t>
                  </w:r>
                </w:p>
              </w:tc>
              <w:tc>
                <w:tcPr/>
                <w:p>
                  <w:pPr>
                    <w:pStyle w:val="Compact"/>
                    <w:jc w:val="left"/>
                    <w:jc w:val="left"/>
                  </w:pPr>
                  <w:r>
                    <w:t xml:space="preserve">0.359</w:t>
                  </w:r>
                </w:p>
              </w:tc>
            </w:tr>
            <w:tr>
              <w:tc>
                <w:tcPr/>
                <w:p>
                  <w:pPr>
                    <w:pStyle w:val="Compact"/>
                    <w:jc w:val="left"/>
                    <w:jc w:val="left"/>
                  </w:pPr>
                  <w:r>
                    <w:t xml:space="preserve">(10,12]</w:t>
                  </w:r>
                </w:p>
              </w:tc>
              <w:tc>
                <w:tcPr/>
                <w:p>
                  <w:pPr>
                    <w:pStyle w:val="Compact"/>
                    <w:jc w:val="left"/>
                    <w:jc w:val="left"/>
                  </w:pPr>
                  <w:r>
                    <w:t xml:space="preserve">3</w:t>
                  </w:r>
                </w:p>
              </w:tc>
              <w:tc>
                <w:tcPr/>
                <w:p>
                  <w:pPr>
                    <w:pStyle w:val="Compact"/>
                    <w:jc w:val="left"/>
                    <w:jc w:val="left"/>
                  </w:pPr>
                  <w:r>
                    <w:t xml:space="preserve">0.625</w:t>
                  </w:r>
                </w:p>
              </w:tc>
              <w:tc>
                <w:tcPr/>
                <w:p>
                  <w:pPr>
                    <w:pStyle w:val="Compact"/>
                    <w:jc w:val="left"/>
                    <w:jc w:val="left"/>
                  </w:pPr>
                  <w:r>
                    <w:t xml:space="preserve">0.545</w:t>
                  </w:r>
                </w:p>
              </w:tc>
            </w:tr>
          </w:tbl>
          <w:p>
            <w:pPr>
              <w:jc w:val="left"/>
            </w:pPr>
            <w:pPr>
              <w:jc w:val="start"/>
              <w:spacing w:before="200"/>
              <w:pStyle w:val="ImageCaption"/>
            </w:pPr>
            <w:r>
              <w:t xml:space="preserve">Table AC. Mean Jaccard dissimilarity of geometric-sign repertoires by temporal-lag class (absolute |ΔMedianBP| between site pairs, in ka). Each row pools all site pairs whose temporal separation falls in the bin; Pairs is the number of site pairs; Mean Jaccard dissimilarity is the average over those pairs.</w:t>
            </w:r>
          </w:p>
          <w:bookmarkEnd w:id="153"/>
        </w:tc>
      </w:tr>
    </w:tbl>
    <w:bookmarkEnd w:id="154"/>
    <w:bookmarkStart w:id="155" w:name="interpretation-11"/>
    <w:p>
      <w:pPr>
        <w:pStyle w:val="Heading3"/>
      </w:pPr>
      <w:r>
        <w:t xml:space="preserve">Interpretation</w:t>
      </w:r>
    </w:p>
    <w:p>
      <w:pPr>
        <w:pStyle w:val="FirstParagraph"/>
      </w:pPr>
      <w:r>
        <w:rPr>
          <w:bCs/>
          <w:b/>
        </w:rPr>
        <w:t xml:space="preserve">Question: does sign dissimilarity increase with temporal lag?</w:t>
      </w:r>
      <w:r>
        <w:t xml:space="preserve"> </w:t>
      </w:r>
      <w:r>
        <w:t xml:space="preserve">No. Across all 378 site pairs the Spearman correlation between temporal lag (|ΔMedianBP|, ka) and Jaccard sign dissimilarity is -0.045 (p = 0.387) — essentially zero and non-significant — so dissimilarity does not rise as sites become more separated in time. The binned means are flat and non-monotonic (</w:t>
      </w:r>
      <w:hyperlink w:anchor="tbl-ts-lag">
        <w:r>
          <w:rPr>
            <w:rStyle w:val="Hyperlink"/>
          </w:rPr>
          <w:t xml:space="preserve">Table AC</w:t>
        </w:r>
      </w:hyperlink>
      <w:r>
        <w:t xml:space="preserve">): mean dissimilarity is 0.768 at the shortest lags (0–2 ka) and shows no orderly increase at longer lags; the highest-lag bin ((10,12], only 3 pairs) is too sparsely sampled to support any trend. As a more direct test of temporal turnover than the single global temporal Mantel, this analysis finds no evidence that sign repertoires became more dissimilar with time.</w:t>
      </w:r>
    </w:p>
    <w:p>
      <w:pPr>
        <w:pStyle w:val="BodyText"/>
      </w:pPr>
      <w:r>
        <w:rPr>
          <w:bCs/>
          <w:b/>
        </w:rPr>
        <w:t xml:space="preserve">Question: is any time signal driven by the between-phase gap or by gradual within-phase change?</w:t>
      </w:r>
      <w:r>
        <w:t xml:space="preserve"> </w:t>
      </w:r>
      <w:r>
        <w:t xml:space="preserve">The time signal is absent in both components. Within-phase pairs (mean lag 2.12 ka) give ρ = -0.038 (p = 0.583), again flat. The between-phase gap dominates the temporal variance in the pooled sample — between-phase pairs have a mean lag of 4.25 ka, roughly double the within-phase mean — yet between-phase pairs are if anything slightly</w:t>
      </w:r>
      <w:r>
        <w:t xml:space="preserve"> </w:t>
      </w:r>
      <w:r>
        <w:rPr>
          <w:iCs/>
          <w:i/>
        </w:rPr>
        <w:t xml:space="preserve">less</w:t>
      </w:r>
      <w:r>
        <w:t xml:space="preserve"> </w:t>
      </w:r>
      <w:r>
        <w:t xml:space="preserve">dissimilar (mean Jaccard 0.727) than within-phase pairs (mean Jaccard 0.765). The phase boundary therefore does not impose a temporal-turnover signal: sites in different phases are no more dissimilar in sign repertoire than sites within the same phase. This also explains the main-text temporal Mantel result (R = 0.062, p = 0.005): that test uses all 409 objects, and many objects from the same site share one MedianBP, so it overstates the number of independent observations. At the site level, where each age is measured once, no monotonic time trend remains.</w:t>
      </w:r>
    </w:p>
    <w:p>
      <w:pPr>
        <w:pStyle w:val="BodyText"/>
      </w:pPr>
      <w:r>
        <w:rPr>
          <w:bCs/>
          <w:b/>
        </w:rPr>
        <w:t xml:space="preserve">Question: how should a flat or null trend be interpreted?</w:t>
      </w:r>
      <w:r>
        <w:t xml:space="preserve"> </w:t>
      </w:r>
      <w:r>
        <w:t xml:space="preserve">A null result here cannot establish that substantial change did</w:t>
      </w:r>
      <w:r>
        <w:t xml:space="preserve"> </w:t>
      </w:r>
      <w:r>
        <w:rPr>
          <w:iCs/>
          <w:i/>
        </w:rPr>
        <w:t xml:space="preserve">not</w:t>
      </w:r>
      <w:r>
        <w:t xml:space="preserve"> </w:t>
      </w:r>
      <w:r>
        <w:t xml:space="preserve">occur. The test is underpowered — only 28 sites (19 in Aur-P1, 9 in Aur-P2) yielding 378 pairs — each phase spans several millennia and each site is collapsed to a single</w:t>
      </w:r>
      <w:r>
        <w:t xml:space="preserve"> </w:t>
      </w:r>
      <w:r>
        <w:rPr>
          <w:rStyle w:val="VerbatimChar"/>
        </w:rPr>
        <w:t xml:space="preserve">MedianBP</w:t>
      </w:r>
      <w:r>
        <w:t xml:space="preserve"> </w:t>
      </w:r>
      <w:r>
        <w:t xml:space="preserve">with large calibrated errors (time-averaging), and genuine change could be non-monotonic (signs appearing and later disappearing) or additive (later sites retaining earlier repertoires while adding new ones), either of which would leave Jaccard dissimilarity nearly constant. The lag analysis therefore shows only that the data contain</w:t>
      </w:r>
      <w:r>
        <w:t xml:space="preserve"> </w:t>
      </w:r>
      <w:r>
        <w:rPr>
          <w:iCs/>
          <w:i/>
        </w:rPr>
        <w:t xml:space="preserve">no strong evidence</w:t>
      </w:r>
      <w:r>
        <w:t xml:space="preserve"> </w:t>
      </w:r>
      <w:r>
        <w:t xml:space="preserve">of time-structured change in sign repertoires; it does</w:t>
      </w:r>
      <w:r>
        <w:t xml:space="preserve"> </w:t>
      </w:r>
      <w:r>
        <w:rPr>
          <w:bCs/>
          <w:b/>
        </w:rPr>
        <w:t xml:space="preserve">not</w:t>
      </w:r>
      <w:r>
        <w:t xml:space="preserve"> </w:t>
      </w:r>
      <w:r>
        <w:t xml:space="preserve">demonstrate the absence of change. This is consistent with the temporal Mantel result in the main text and with the</w:t>
      </w:r>
      <w:r>
        <w:t xml:space="preserve"> </w:t>
      </w:r>
      <w:r>
        <w:t xml:space="preserve">Section S1.8.2</w:t>
      </w:r>
      <w:r>
        <w:t xml:space="preserve"> </w:t>
      </w:r>
      <w:r>
        <w:t xml:space="preserve">multiple regression, both of which conclude that temporal distance explains little of the variation in sign composition and cannot establish whether substantial change did or did not occur.</w:t>
      </w:r>
    </w:p>
    <w:p>
      <w:pPr>
        <w:pStyle w:val="BodyText"/>
      </w:pPr>
      <w:r>
        <w:rPr>
          <w:bCs/>
          <w:b/>
        </w:rPr>
        <w:t xml:space="preserve">Implication for the main text.</w:t>
      </w:r>
      <w:r>
        <w:t xml:space="preserve"> </w:t>
      </w:r>
      <w:r>
        <w:t xml:space="preserve">Time does not structure dissimilarity at site level; the flat trend is lack of evidence, not evidence of absence.</w:t>
      </w:r>
    </w:p>
    <w:bookmarkEnd w:id="155"/>
    <w:bookmarkEnd w:id="156"/>
    <w:bookmarkStart w:id="165" w:name="sec-s8-3"/>
    <w:p>
      <w:pPr>
        <w:pStyle w:val="Heading2"/>
      </w:pPr>
      <w:r>
        <w:t xml:space="preserve">S1.8.4 Objective regional grouping</w:t>
      </w:r>
    </w:p>
    <w:bookmarkStart w:id="163" w:name="rationale-13"/>
    <w:p>
      <w:pPr>
        <w:pStyle w:val="Heading3"/>
      </w:pPr>
      <w:r>
        <w:t xml:space="preserve">Rationale</w:t>
      </w:r>
    </w:p>
    <w:p>
      <w:pPr>
        <w:pStyle w:val="FirstParagraph"/>
      </w:pPr>
      <w:r>
        <w:t xml:space="preserve">If Aurignacian signs were regionally structured in the Vanhaeren 14-group sense, a geography-first partition should explain Jaccard variation. We run the discovery with</w:t>
      </w:r>
      <w:r>
        <w:t xml:space="preserve"> </w:t>
      </w:r>
      <w:r>
        <w:rPr>
          <w:rStyle w:val="VerbatimChar"/>
        </w:rPr>
        <w:t xml:space="preserve">PAM</w:t>
      </w:r>
      <w:r>
        <w:t xml:space="preserve"> </w:t>
      </w:r>
      <w:r>
        <w:t xml:space="preserve">(k-medoids) on geodesic kilometres (</w:t>
      </w:r>
      <w:r>
        <w:rPr>
          <w:rStyle w:val="VerbatimChar"/>
        </w:rPr>
        <w:t xml:space="preserve">sf::st_distance</w:t>
      </w:r>
      <w:r>
        <w:t xml:space="preserve">) as primary and report</w:t>
      </w:r>
      <w:r>
        <w:t xml:space="preserve"> </w:t>
      </w:r>
      <w:r>
        <w:rPr>
          <w:rStyle w:val="VerbatimChar"/>
        </w:rPr>
        <w:t xml:space="preserve">k-means</w:t>
      </w:r>
      <w:r>
        <w:t xml:space="preserve"> </w:t>
      </w:r>
      <w:r>
        <w:t xml:space="preserve">on flat</w:t>
      </w:r>
      <w:r>
        <w:t xml:space="preserve"> </w:t>
      </w:r>
      <w:r>
        <w:rPr>
          <w:rStyle w:val="VerbatimChar"/>
        </w:rPr>
        <w:t xml:space="preserve">cbind(lon, lat)</w:t>
      </w:r>
      <w:r>
        <w:t xml:space="preserve"> </w:t>
      </w:r>
      <w:r>
        <w:t xml:space="preserve">as a one-line sensitivity. We test</w:t>
      </w:r>
      <w:r>
        <w:t xml:space="preserve"> </w:t>
      </w:r>
      <w:r>
        <w:rPr>
          <w:rStyle w:val="VerbatimChar"/>
        </w:rPr>
        <w:t xml:space="preserve">k=2..5</w:t>
      </w:r>
      <w:r>
        <w:t xml:space="preserve"> </w:t>
      </w:r>
      <w:r>
        <w:t xml:space="preserve">(k=4,5 in Aur-P2, with n = 9 sites, inevitably leaves singleton regions and is flagged unstable). For context the</w:t>
      </w:r>
      <w:r>
        <w:t xml:space="preserve"> </w:t>
      </w:r>
      <w:r>
        <w:rPr>
          <w:rStyle w:val="VerbatimChar"/>
        </w:rPr>
        <w:t xml:space="preserve">country</w:t>
      </w:r>
      <w:r>
        <w:t xml:space="preserve"> </w:t>
      </w:r>
      <w:r>
        <w:t xml:space="preserve">row is retained as sensitivity only.</w:t>
      </w:r>
    </w:p>
    <w:p>
      <w:pPr>
        <w:pStyle w:val="BodyText"/>
      </w:pPr>
      <w:r>
        <w:rPr>
          <w:bCs/>
          <w:b/>
        </w:rPr>
        <w:t xml:space="preserve">Question: does a geography-first regional partition explain sign-composition variation in either phase?</w:t>
      </w:r>
    </w:p>
    <w:tbl>
      <w:tblPr>
        <w:tblStyle w:val="Table"/>
        <w:tblW w:type="pct" w:w="5000"/>
        <w:tblLook w:firstRow="0" w:lastRow="0" w:firstColumn="0" w:lastColumn="0" w:noHBand="0" w:noVBand="0" w:val="0000"/>
        <w:jc w:val="start"/>
        <w:tblLayout w:type="fixed"/>
      </w:tblPr>
      <w:tblGrid>
        <w:gridCol w:w="7920"/>
      </w:tblGrid>
      <w:tr>
        <w:tc>
          <w:tcPr/>
          <w:bookmarkStart w:id="157" w:name="tbl-region-silhouette"/>
          <w:tbl>
            <w:tblPr>
              <w:tblStyle w:val="Table"/>
              <w:tblW w:type="pct" w:w="5000"/>
              <w:tblLook w:firstRow="1" w:lastRow="0" w:firstColumn="0" w:lastColumn="0" w:noHBand="0" w:noVBand="0" w:val="0020"/>
              <w:jc w:val="start"/>
              <w:tblLayout w:type="fixed"/>
            </w:tblPr>
            <w:tblGrid>
              <w:gridCol w:w="950"/>
              <w:gridCol w:w="2059"/>
              <w:gridCol w:w="554"/>
              <w:gridCol w:w="1267"/>
              <w:gridCol w:w="1742"/>
              <w:gridCol w:w="1346"/>
            </w:tblGrid>
            <w:tr>
              <w:trPr>
                <w:tblHeader w:val="true"/>
              </w:trPr>
              <w:tc>
                <w:tcPr/>
                <w:p>
                  <w:pPr>
                    <w:pStyle w:val="Compact"/>
                    <w:jc w:val="left"/>
                    <w:jc w:val="left"/>
                  </w:pPr>
                  <w:r>
                    <w:t xml:space="preserve">Phase</w:t>
                  </w:r>
                </w:p>
              </w:tc>
              <w:tc>
                <w:tcPr/>
                <w:p>
                  <w:pPr>
                    <w:pStyle w:val="Compact"/>
                    <w:jc w:val="left"/>
                    <w:jc w:val="left"/>
                  </w:pPr>
                  <w:r>
                    <w:t xml:space="preserve">Method</w:t>
                  </w:r>
                </w:p>
              </w:tc>
              <w:tc>
                <w:tcPr/>
                <w:p>
                  <w:pPr>
                    <w:pStyle w:val="Compact"/>
                    <w:jc w:val="left"/>
                    <w:jc w:val="left"/>
                  </w:pPr>
                  <w:r>
                    <w:t xml:space="preserve">k</w:t>
                  </w:r>
                </w:p>
              </w:tc>
              <w:tc>
                <w:tcPr/>
                <w:p>
                  <w:pPr>
                    <w:pStyle w:val="Compact"/>
                    <w:jc w:val="left"/>
                    <w:jc w:val="left"/>
                  </w:pPr>
                  <w:r>
                    <w:t xml:space="preserve">Mean silhouette</w:t>
                  </w:r>
                </w:p>
              </w:tc>
              <w:tc>
                <w:tcPr/>
                <w:p>
                  <w:pPr>
                    <w:pStyle w:val="Compact"/>
                    <w:jc w:val="left"/>
                    <w:jc w:val="left"/>
                  </w:pPr>
                  <w:r>
                    <w:t xml:space="preserve">Sites per region</w:t>
                  </w:r>
                </w:p>
              </w:tc>
              <w:tc>
                <w:tcPr/>
                <w:p>
                  <w:pPr>
                    <w:pStyle w:val="Compact"/>
                    <w:jc w:val="left"/>
                    <w:jc w:val="left"/>
                  </w:pPr>
                  <w:r>
                    <w:t xml:space="preserve">Unstable</w:t>
                  </w:r>
                </w:p>
              </w:tc>
            </w:tr>
            <w:tr>
              <w:tc>
                <w:tcPr/>
                <w:p>
                  <w:pPr>
                    <w:pStyle w:val="Compact"/>
                    <w:jc w:val="left"/>
                    <w:jc w:val="left"/>
                  </w:pPr>
                  <w:r>
                    <w:t xml:space="preserve">Aur-P1</w:t>
                  </w:r>
                </w:p>
              </w:tc>
              <w:tc>
                <w:tcPr/>
                <w:p>
                  <w:pPr>
                    <w:pStyle w:val="Compact"/>
                    <w:jc w:val="left"/>
                    <w:jc w:val="left"/>
                  </w:pPr>
                  <w:r>
                    <w:t xml:space="preserve">PAM geodesic</w:t>
                  </w:r>
                </w:p>
              </w:tc>
              <w:tc>
                <w:tcPr/>
                <w:p>
                  <w:pPr>
                    <w:pStyle w:val="Compact"/>
                    <w:jc w:val="left"/>
                    <w:jc w:val="left"/>
                  </w:pPr>
                  <w:r>
                    <w:t xml:space="preserve">2</w:t>
                  </w:r>
                </w:p>
              </w:tc>
              <w:tc>
                <w:tcPr/>
                <w:p>
                  <w:pPr>
                    <w:pStyle w:val="Compact"/>
                    <w:jc w:val="left"/>
                    <w:jc w:val="left"/>
                  </w:pPr>
                  <w:r>
                    <w:t xml:space="preserve">0.540</w:t>
                  </w:r>
                </w:p>
              </w:tc>
              <w:tc>
                <w:tcPr/>
                <w:p>
                  <w:pPr>
                    <w:pStyle w:val="Compact"/>
                    <w:jc w:val="left"/>
                    <w:jc w:val="left"/>
                  </w:pPr>
                  <w:r>
                    <w:t xml:space="preserve">12/8</w:t>
                  </w:r>
                </w:p>
              </w:tc>
              <w:tc>
                <w:tcPr/>
                <w:p>
                  <w:pPr>
                    <w:pStyle w:val="Compact"/>
                    <w:jc w:val="left"/>
                    <w:jc w:val="left"/>
                  </w:pPr>
                  <w:r>
                    <w:t xml:space="preserve">FALSE</w:t>
                  </w:r>
                </w:p>
              </w:tc>
            </w:tr>
            <w:tr>
              <w:tc>
                <w:tcPr/>
                <w:p>
                  <w:pPr>
                    <w:pStyle w:val="Compact"/>
                    <w:jc w:val="left"/>
                    <w:jc w:val="left"/>
                  </w:pPr>
                  <w:r>
                    <w:t xml:space="preserve">Aur-P1</w:t>
                  </w:r>
                </w:p>
              </w:tc>
              <w:tc>
                <w:tcPr/>
                <w:p>
                  <w:pPr>
                    <w:pStyle w:val="Compact"/>
                    <w:jc w:val="left"/>
                    <w:jc w:val="left"/>
                  </w:pPr>
                  <w:r>
                    <w:t xml:space="preserve">PAM geodesic</w:t>
                  </w:r>
                </w:p>
              </w:tc>
              <w:tc>
                <w:tcPr/>
                <w:p>
                  <w:pPr>
                    <w:pStyle w:val="Compact"/>
                    <w:jc w:val="left"/>
                    <w:jc w:val="left"/>
                  </w:pPr>
                  <w:r>
                    <w:t xml:space="preserve">3</w:t>
                  </w:r>
                </w:p>
              </w:tc>
              <w:tc>
                <w:tcPr/>
                <w:p>
                  <w:pPr>
                    <w:pStyle w:val="Compact"/>
                    <w:jc w:val="left"/>
                    <w:jc w:val="left"/>
                  </w:pPr>
                  <w:r>
                    <w:t xml:space="preserve">0.441</w:t>
                  </w:r>
                </w:p>
              </w:tc>
              <w:tc>
                <w:tcPr/>
                <w:p>
                  <w:pPr>
                    <w:pStyle w:val="Compact"/>
                    <w:jc w:val="left"/>
                    <w:jc w:val="left"/>
                  </w:pPr>
                  <w:r>
                    <w:t xml:space="preserve">8/7/5</w:t>
                  </w:r>
                </w:p>
              </w:tc>
              <w:tc>
                <w:tcPr/>
                <w:p>
                  <w:pPr>
                    <w:pStyle w:val="Compact"/>
                    <w:jc w:val="left"/>
                    <w:jc w:val="left"/>
                  </w:pPr>
                  <w:r>
                    <w:t xml:space="preserve">FALSE</w:t>
                  </w:r>
                </w:p>
              </w:tc>
            </w:tr>
            <w:tr>
              <w:tc>
                <w:tcPr/>
                <w:p>
                  <w:pPr>
                    <w:pStyle w:val="Compact"/>
                    <w:jc w:val="left"/>
                    <w:jc w:val="left"/>
                  </w:pPr>
                  <w:r>
                    <w:t xml:space="preserve">Aur-P1</w:t>
                  </w:r>
                </w:p>
              </w:tc>
              <w:tc>
                <w:tcPr/>
                <w:p>
                  <w:pPr>
                    <w:pStyle w:val="Compact"/>
                    <w:jc w:val="left"/>
                    <w:jc w:val="left"/>
                  </w:pPr>
                  <w:r>
                    <w:t xml:space="preserve">PAM geodesic</w:t>
                  </w:r>
                </w:p>
              </w:tc>
              <w:tc>
                <w:tcPr/>
                <w:p>
                  <w:pPr>
                    <w:pStyle w:val="Compact"/>
                    <w:jc w:val="left"/>
                    <w:jc w:val="left"/>
                  </w:pPr>
                  <w:r>
                    <w:t xml:space="preserve">4</w:t>
                  </w:r>
                </w:p>
              </w:tc>
              <w:tc>
                <w:tcPr/>
                <w:p>
                  <w:pPr>
                    <w:pStyle w:val="Compact"/>
                    <w:jc w:val="left"/>
                    <w:jc w:val="left"/>
                  </w:pPr>
                  <w:r>
                    <w:t xml:space="preserve">0.550</w:t>
                  </w:r>
                </w:p>
              </w:tc>
              <w:tc>
                <w:tcPr/>
                <w:p>
                  <w:pPr>
                    <w:pStyle w:val="Compact"/>
                    <w:jc w:val="left"/>
                    <w:jc w:val="left"/>
                  </w:pPr>
                  <w:r>
                    <w:t xml:space="preserve">8/6/4/2</w:t>
                  </w:r>
                </w:p>
              </w:tc>
              <w:tc>
                <w:tcPr/>
                <w:p>
                  <w:pPr>
                    <w:pStyle w:val="Compact"/>
                    <w:jc w:val="left"/>
                    <w:jc w:val="left"/>
                  </w:pPr>
                  <w:r>
                    <w:t xml:space="preserve">FALSE</w:t>
                  </w:r>
                </w:p>
              </w:tc>
            </w:tr>
            <w:tr>
              <w:tc>
                <w:tcPr/>
                <w:p>
                  <w:pPr>
                    <w:pStyle w:val="Compact"/>
                    <w:jc w:val="left"/>
                    <w:jc w:val="left"/>
                  </w:pPr>
                  <w:r>
                    <w:t xml:space="preserve">Aur-P1</w:t>
                  </w:r>
                </w:p>
              </w:tc>
              <w:tc>
                <w:tcPr/>
                <w:p>
                  <w:pPr>
                    <w:pStyle w:val="Compact"/>
                    <w:jc w:val="left"/>
                    <w:jc w:val="left"/>
                  </w:pPr>
                  <w:r>
                    <w:t xml:space="preserve">PAM geodesic</w:t>
                  </w:r>
                </w:p>
              </w:tc>
              <w:tc>
                <w:tcPr/>
                <w:p>
                  <w:pPr>
                    <w:pStyle w:val="Compact"/>
                    <w:jc w:val="left"/>
                    <w:jc w:val="left"/>
                  </w:pPr>
                  <w:r>
                    <w:t xml:space="preserve">5</w:t>
                  </w:r>
                </w:p>
              </w:tc>
              <w:tc>
                <w:tcPr/>
                <w:p>
                  <w:pPr>
                    <w:pStyle w:val="Compact"/>
                    <w:jc w:val="left"/>
                    <w:jc w:val="left"/>
                  </w:pPr>
                  <w:r>
                    <w:t xml:space="preserve">0.574</w:t>
                  </w:r>
                </w:p>
              </w:tc>
              <w:tc>
                <w:tcPr/>
                <w:p>
                  <w:pPr>
                    <w:pStyle w:val="Compact"/>
                    <w:jc w:val="left"/>
                    <w:jc w:val="left"/>
                  </w:pPr>
                  <w:r>
                    <w:t xml:space="preserve">8/5/4/2/1</w:t>
                  </w:r>
                </w:p>
              </w:tc>
              <w:tc>
                <w:tcPr/>
                <w:p>
                  <w:pPr>
                    <w:pStyle w:val="Compact"/>
                    <w:jc w:val="left"/>
                    <w:jc w:val="left"/>
                  </w:pPr>
                  <w:r>
                    <w:t xml:space="preserve">FALSE</w:t>
                  </w:r>
                </w:p>
              </w:tc>
            </w:tr>
            <w:tr>
              <w:tc>
                <w:tcPr/>
                <w:p>
                  <w:pPr>
                    <w:pStyle w:val="Compact"/>
                    <w:jc w:val="left"/>
                    <w:jc w:val="left"/>
                  </w:pPr>
                  <w:r>
                    <w:t xml:space="preserve">Aur-P2</w:t>
                  </w:r>
                </w:p>
              </w:tc>
              <w:tc>
                <w:tcPr/>
                <w:p>
                  <w:pPr>
                    <w:pStyle w:val="Compact"/>
                    <w:jc w:val="left"/>
                    <w:jc w:val="left"/>
                  </w:pPr>
                  <w:r>
                    <w:t xml:space="preserve">PAM geodesic</w:t>
                  </w:r>
                </w:p>
              </w:tc>
              <w:tc>
                <w:tcPr/>
                <w:p>
                  <w:pPr>
                    <w:pStyle w:val="Compact"/>
                    <w:jc w:val="left"/>
                    <w:jc w:val="left"/>
                  </w:pPr>
                  <w:r>
                    <w:t xml:space="preserve">2</w:t>
                  </w:r>
                </w:p>
              </w:tc>
              <w:tc>
                <w:tcPr/>
                <w:p>
                  <w:pPr>
                    <w:pStyle w:val="Compact"/>
                    <w:jc w:val="left"/>
                    <w:jc w:val="left"/>
                  </w:pPr>
                  <w:r>
                    <w:t xml:space="preserve">0.609</w:t>
                  </w:r>
                </w:p>
              </w:tc>
              <w:tc>
                <w:tcPr/>
                <w:p>
                  <w:pPr>
                    <w:pStyle w:val="Compact"/>
                    <w:jc w:val="left"/>
                    <w:jc w:val="left"/>
                  </w:pPr>
                  <w:r>
                    <w:t xml:space="preserve">6/3</w:t>
                  </w:r>
                </w:p>
              </w:tc>
              <w:tc>
                <w:tcPr/>
                <w:p>
                  <w:pPr>
                    <w:pStyle w:val="Compact"/>
                    <w:jc w:val="left"/>
                    <w:jc w:val="left"/>
                  </w:pPr>
                  <w:r>
                    <w:t xml:space="preserve">FALSE</w:t>
                  </w:r>
                </w:p>
              </w:tc>
            </w:tr>
            <w:tr>
              <w:tc>
                <w:tcPr/>
                <w:p>
                  <w:pPr>
                    <w:pStyle w:val="Compact"/>
                    <w:jc w:val="left"/>
                    <w:jc w:val="left"/>
                  </w:pPr>
                  <w:r>
                    <w:t xml:space="preserve">Aur-P2</w:t>
                  </w:r>
                </w:p>
              </w:tc>
              <w:tc>
                <w:tcPr/>
                <w:p>
                  <w:pPr>
                    <w:pStyle w:val="Compact"/>
                    <w:jc w:val="left"/>
                    <w:jc w:val="left"/>
                  </w:pPr>
                  <w:r>
                    <w:t xml:space="preserve">PAM geodesic</w:t>
                  </w:r>
                </w:p>
              </w:tc>
              <w:tc>
                <w:tcPr/>
                <w:p>
                  <w:pPr>
                    <w:pStyle w:val="Compact"/>
                    <w:jc w:val="left"/>
                    <w:jc w:val="left"/>
                  </w:pPr>
                  <w:r>
                    <w:t xml:space="preserve">3</w:t>
                  </w:r>
                </w:p>
              </w:tc>
              <w:tc>
                <w:tcPr/>
                <w:p>
                  <w:pPr>
                    <w:pStyle w:val="Compact"/>
                    <w:jc w:val="left"/>
                    <w:jc w:val="left"/>
                  </w:pPr>
                  <w:r>
                    <w:t xml:space="preserve">0.561</w:t>
                  </w:r>
                </w:p>
              </w:tc>
              <w:tc>
                <w:tcPr/>
                <w:p>
                  <w:pPr>
                    <w:pStyle w:val="Compact"/>
                    <w:jc w:val="left"/>
                    <w:jc w:val="left"/>
                  </w:pPr>
                  <w:r>
                    <w:t xml:space="preserve">4/3/2</w:t>
                  </w:r>
                </w:p>
              </w:tc>
              <w:tc>
                <w:tcPr/>
                <w:p>
                  <w:pPr>
                    <w:pStyle w:val="Compact"/>
                    <w:jc w:val="left"/>
                    <w:jc w:val="left"/>
                  </w:pPr>
                  <w:r>
                    <w:t xml:space="preserve">FALSE</w:t>
                  </w:r>
                </w:p>
              </w:tc>
            </w:tr>
            <w:tr>
              <w:tc>
                <w:tcPr/>
                <w:p>
                  <w:pPr>
                    <w:pStyle w:val="Compact"/>
                    <w:jc w:val="left"/>
                    <w:jc w:val="left"/>
                  </w:pPr>
                  <w:r>
                    <w:t xml:space="preserve">Aur-P2</w:t>
                  </w:r>
                </w:p>
              </w:tc>
              <w:tc>
                <w:tcPr/>
                <w:p>
                  <w:pPr>
                    <w:pStyle w:val="Compact"/>
                    <w:jc w:val="left"/>
                    <w:jc w:val="left"/>
                  </w:pPr>
                  <w:r>
                    <w:t xml:space="preserve">PAM geodesic</w:t>
                  </w:r>
                </w:p>
              </w:tc>
              <w:tc>
                <w:tcPr/>
                <w:p>
                  <w:pPr>
                    <w:pStyle w:val="Compact"/>
                    <w:jc w:val="left"/>
                    <w:jc w:val="left"/>
                  </w:pPr>
                  <w:r>
                    <w:t xml:space="preserve">4</w:t>
                  </w:r>
                </w:p>
              </w:tc>
              <w:tc>
                <w:tcPr/>
                <w:p>
                  <w:pPr>
                    <w:pStyle w:val="Compact"/>
                    <w:jc w:val="left"/>
                    <w:jc w:val="left"/>
                  </w:pPr>
                  <w:r>
                    <w:t xml:space="preserve">0.477</w:t>
                  </w:r>
                </w:p>
              </w:tc>
              <w:tc>
                <w:tcPr/>
                <w:p>
                  <w:pPr>
                    <w:pStyle w:val="Compact"/>
                    <w:jc w:val="left"/>
                    <w:jc w:val="left"/>
                  </w:pPr>
                  <w:r>
                    <w:t xml:space="preserve">4/2/1/2</w:t>
                  </w:r>
                </w:p>
              </w:tc>
              <w:tc>
                <w:tcPr/>
                <w:p>
                  <w:pPr>
                    <w:pStyle w:val="Compact"/>
                    <w:jc w:val="left"/>
                    <w:jc w:val="left"/>
                  </w:pPr>
                  <w:r>
                    <w:t xml:space="preserve">TRUE</w:t>
                  </w:r>
                </w:p>
              </w:tc>
            </w:tr>
            <w:tr>
              <w:tc>
                <w:tcPr/>
                <w:p>
                  <w:pPr>
                    <w:pStyle w:val="Compact"/>
                    <w:jc w:val="left"/>
                    <w:jc w:val="left"/>
                  </w:pPr>
                  <w:r>
                    <w:t xml:space="preserve">Aur-P2</w:t>
                  </w:r>
                </w:p>
              </w:tc>
              <w:tc>
                <w:tcPr/>
                <w:p>
                  <w:pPr>
                    <w:pStyle w:val="Compact"/>
                    <w:jc w:val="left"/>
                    <w:jc w:val="left"/>
                  </w:pPr>
                  <w:r>
                    <w:t xml:space="preserve">PAM geodesic</w:t>
                  </w:r>
                </w:p>
              </w:tc>
              <w:tc>
                <w:tcPr/>
                <w:p>
                  <w:pPr>
                    <w:pStyle w:val="Compact"/>
                    <w:jc w:val="left"/>
                    <w:jc w:val="left"/>
                  </w:pPr>
                  <w:r>
                    <w:t xml:space="preserve">5</w:t>
                  </w:r>
                </w:p>
              </w:tc>
              <w:tc>
                <w:tcPr/>
                <w:p>
                  <w:pPr>
                    <w:pStyle w:val="Compact"/>
                    <w:jc w:val="left"/>
                    <w:jc w:val="left"/>
                  </w:pPr>
                  <w:r>
                    <w:t xml:space="preserve">0.480</w:t>
                  </w:r>
                </w:p>
              </w:tc>
              <w:tc>
                <w:tcPr/>
                <w:p>
                  <w:pPr>
                    <w:pStyle w:val="Compact"/>
                    <w:jc w:val="left"/>
                    <w:jc w:val="left"/>
                  </w:pPr>
                  <w:r>
                    <w:t xml:space="preserve">3/2/1/2/1</w:t>
                  </w:r>
                </w:p>
              </w:tc>
              <w:tc>
                <w:tcPr/>
                <w:p>
                  <w:pPr>
                    <w:pStyle w:val="Compact"/>
                    <w:jc w:val="left"/>
                    <w:jc w:val="left"/>
                  </w:pPr>
                  <w:r>
                    <w:t xml:space="preserve">TRUE</w:t>
                  </w:r>
                </w:p>
              </w:tc>
            </w:tr>
            <w:tr>
              <w:tc>
                <w:tcPr/>
                <w:p>
                  <w:pPr>
                    <w:pStyle w:val="Compact"/>
                    <w:jc w:val="left"/>
                    <w:jc w:val="left"/>
                  </w:pPr>
                  <w:r>
                    <w:t xml:space="preserve">Aur-P1</w:t>
                  </w:r>
                </w:p>
              </w:tc>
              <w:tc>
                <w:tcPr/>
                <w:p>
                  <w:pPr>
                    <w:pStyle w:val="Compact"/>
                    <w:jc w:val="left"/>
                    <w:jc w:val="left"/>
                  </w:pPr>
                  <w:r>
                    <w:t xml:space="preserve">k-means flat</w:t>
                  </w:r>
                </w:p>
              </w:tc>
              <w:tc>
                <w:tcPr/>
                <w:p>
                  <w:pPr>
                    <w:pStyle w:val="Compact"/>
                    <w:jc w:val="left"/>
                    <w:jc w:val="left"/>
                  </w:pPr>
                  <w:r>
                    <w:t xml:space="preserve">2</w:t>
                  </w:r>
                </w:p>
              </w:tc>
              <w:tc>
                <w:tcPr/>
                <w:p>
                  <w:pPr>
                    <w:pStyle w:val="Compact"/>
                    <w:jc w:val="left"/>
                    <w:jc w:val="left"/>
                  </w:pPr>
                  <w:r>
                    <w:t xml:space="preserve">0.541</w:t>
                  </w:r>
                </w:p>
              </w:tc>
              <w:tc>
                <w:tcPr/>
                <w:p>
                  <w:pPr>
                    <w:pStyle w:val="Compact"/>
                    <w:jc w:val="left"/>
                    <w:jc w:val="left"/>
                  </w:pPr>
                  <w:r>
                    <w:t xml:space="preserve">11/9</w:t>
                  </w:r>
                </w:p>
              </w:tc>
              <w:tc>
                <w:tcPr/>
                <w:p>
                  <w:pPr>
                    <w:pStyle w:val="Compact"/>
                    <w:jc w:val="left"/>
                    <w:jc w:val="left"/>
                  </w:pPr>
                  <w:r>
                    <w:t xml:space="preserve">FALSE</w:t>
                  </w:r>
                </w:p>
              </w:tc>
            </w:tr>
            <w:tr>
              <w:tc>
                <w:tcPr/>
                <w:p>
                  <w:pPr>
                    <w:pStyle w:val="Compact"/>
                    <w:jc w:val="left"/>
                    <w:jc w:val="left"/>
                  </w:pPr>
                  <w:r>
                    <w:t xml:space="preserve">Aur-P1</w:t>
                  </w:r>
                </w:p>
              </w:tc>
              <w:tc>
                <w:tcPr/>
                <w:p>
                  <w:pPr>
                    <w:pStyle w:val="Compact"/>
                    <w:jc w:val="left"/>
                    <w:jc w:val="left"/>
                  </w:pPr>
                  <w:r>
                    <w:t xml:space="preserve">k-means flat</w:t>
                  </w:r>
                </w:p>
              </w:tc>
              <w:tc>
                <w:tcPr/>
                <w:p>
                  <w:pPr>
                    <w:pStyle w:val="Compact"/>
                    <w:jc w:val="left"/>
                    <w:jc w:val="left"/>
                  </w:pPr>
                  <w:r>
                    <w:t xml:space="preserve">3</w:t>
                  </w:r>
                </w:p>
              </w:tc>
              <w:tc>
                <w:tcPr/>
                <w:p>
                  <w:pPr>
                    <w:pStyle w:val="Compact"/>
                    <w:jc w:val="left"/>
                    <w:jc w:val="left"/>
                  </w:pPr>
                  <w:r>
                    <w:t xml:space="preserve">0.547</w:t>
                  </w:r>
                </w:p>
              </w:tc>
              <w:tc>
                <w:tcPr/>
                <w:p>
                  <w:pPr>
                    <w:pStyle w:val="Compact"/>
                    <w:jc w:val="left"/>
                    <w:jc w:val="left"/>
                  </w:pPr>
                  <w:r>
                    <w:t xml:space="preserve">8/6/6</w:t>
                  </w:r>
                </w:p>
              </w:tc>
              <w:tc>
                <w:tcPr/>
                <w:p>
                  <w:pPr>
                    <w:pStyle w:val="Compact"/>
                    <w:jc w:val="left"/>
                    <w:jc w:val="left"/>
                  </w:pPr>
                  <w:r>
                    <w:t xml:space="preserve">FALSE</w:t>
                  </w:r>
                </w:p>
              </w:tc>
            </w:tr>
            <w:tr>
              <w:tc>
                <w:tcPr/>
                <w:p>
                  <w:pPr>
                    <w:pStyle w:val="Compact"/>
                    <w:jc w:val="left"/>
                    <w:jc w:val="left"/>
                  </w:pPr>
                  <w:r>
                    <w:t xml:space="preserve">Aur-P1</w:t>
                  </w:r>
                </w:p>
              </w:tc>
              <w:tc>
                <w:tcPr/>
                <w:p>
                  <w:pPr>
                    <w:pStyle w:val="Compact"/>
                    <w:jc w:val="left"/>
                    <w:jc w:val="left"/>
                  </w:pPr>
                  <w:r>
                    <w:t xml:space="preserve">k-means flat</w:t>
                  </w:r>
                </w:p>
              </w:tc>
              <w:tc>
                <w:tcPr/>
                <w:p>
                  <w:pPr>
                    <w:pStyle w:val="Compact"/>
                    <w:jc w:val="left"/>
                    <w:jc w:val="left"/>
                  </w:pPr>
                  <w:r>
                    <w:t xml:space="preserve">4</w:t>
                  </w:r>
                </w:p>
              </w:tc>
              <w:tc>
                <w:tcPr/>
                <w:p>
                  <w:pPr>
                    <w:pStyle w:val="Compact"/>
                    <w:jc w:val="left"/>
                    <w:jc w:val="left"/>
                  </w:pPr>
                  <w:r>
                    <w:t xml:space="preserve">0.556</w:t>
                  </w:r>
                </w:p>
              </w:tc>
              <w:tc>
                <w:tcPr/>
                <w:p>
                  <w:pPr>
                    <w:pStyle w:val="Compact"/>
                    <w:jc w:val="left"/>
                    <w:jc w:val="left"/>
                  </w:pPr>
                  <w:r>
                    <w:t xml:space="preserve">5/6/8/1</w:t>
                  </w:r>
                </w:p>
              </w:tc>
              <w:tc>
                <w:tcPr/>
                <w:p>
                  <w:pPr>
                    <w:pStyle w:val="Compact"/>
                    <w:jc w:val="left"/>
                    <w:jc w:val="left"/>
                  </w:pPr>
                  <w:r>
                    <w:t xml:space="preserve">FALSE</w:t>
                  </w:r>
                </w:p>
              </w:tc>
            </w:tr>
            <w:tr>
              <w:tc>
                <w:tcPr/>
                <w:p>
                  <w:pPr>
                    <w:pStyle w:val="Compact"/>
                    <w:jc w:val="left"/>
                    <w:jc w:val="left"/>
                  </w:pPr>
                  <w:r>
                    <w:t xml:space="preserve">Aur-P1</w:t>
                  </w:r>
                </w:p>
              </w:tc>
              <w:tc>
                <w:tcPr/>
                <w:p>
                  <w:pPr>
                    <w:pStyle w:val="Compact"/>
                    <w:jc w:val="left"/>
                    <w:jc w:val="left"/>
                  </w:pPr>
                  <w:r>
                    <w:t xml:space="preserve">k-means flat</w:t>
                  </w:r>
                </w:p>
              </w:tc>
              <w:tc>
                <w:tcPr/>
                <w:p>
                  <w:pPr>
                    <w:pStyle w:val="Compact"/>
                    <w:jc w:val="left"/>
                    <w:jc w:val="left"/>
                  </w:pPr>
                  <w:r>
                    <w:t xml:space="preserve">5</w:t>
                  </w:r>
                </w:p>
              </w:tc>
              <w:tc>
                <w:tcPr/>
                <w:p>
                  <w:pPr>
                    <w:pStyle w:val="Compact"/>
                    <w:jc w:val="left"/>
                    <w:jc w:val="left"/>
                  </w:pPr>
                  <w:r>
                    <w:t xml:space="preserve">0.609</w:t>
                  </w:r>
                </w:p>
              </w:tc>
              <w:tc>
                <w:tcPr/>
                <w:p>
                  <w:pPr>
                    <w:pStyle w:val="Compact"/>
                    <w:jc w:val="left"/>
                    <w:jc w:val="left"/>
                  </w:pPr>
                  <w:r>
                    <w:t xml:space="preserve">4/2/5/8/1</w:t>
                  </w:r>
                </w:p>
              </w:tc>
              <w:tc>
                <w:tcPr/>
                <w:p>
                  <w:pPr>
                    <w:pStyle w:val="Compact"/>
                    <w:jc w:val="left"/>
                    <w:jc w:val="left"/>
                  </w:pPr>
                  <w:r>
                    <w:t xml:space="preserve">FALSE</w:t>
                  </w:r>
                </w:p>
              </w:tc>
            </w:tr>
            <w:tr>
              <w:tc>
                <w:tcPr/>
                <w:p>
                  <w:pPr>
                    <w:pStyle w:val="Compact"/>
                    <w:jc w:val="left"/>
                    <w:jc w:val="left"/>
                  </w:pPr>
                  <w:r>
                    <w:t xml:space="preserve">Aur-P2</w:t>
                  </w:r>
                </w:p>
              </w:tc>
              <w:tc>
                <w:tcPr/>
                <w:p>
                  <w:pPr>
                    <w:pStyle w:val="Compact"/>
                    <w:jc w:val="left"/>
                    <w:jc w:val="left"/>
                  </w:pPr>
                  <w:r>
                    <w:t xml:space="preserve">k-means flat</w:t>
                  </w:r>
                </w:p>
              </w:tc>
              <w:tc>
                <w:tcPr/>
                <w:p>
                  <w:pPr>
                    <w:pStyle w:val="Compact"/>
                    <w:jc w:val="left"/>
                    <w:jc w:val="left"/>
                  </w:pPr>
                  <w:r>
                    <w:t xml:space="preserve">2</w:t>
                  </w:r>
                </w:p>
              </w:tc>
              <w:tc>
                <w:tcPr/>
                <w:p>
                  <w:pPr>
                    <w:pStyle w:val="Compact"/>
                    <w:jc w:val="left"/>
                    <w:jc w:val="left"/>
                  </w:pPr>
                  <w:r>
                    <w:t xml:space="preserve">0.593</w:t>
                  </w:r>
                </w:p>
              </w:tc>
              <w:tc>
                <w:tcPr/>
                <w:p>
                  <w:pPr>
                    <w:pStyle w:val="Compact"/>
                    <w:jc w:val="left"/>
                    <w:jc w:val="left"/>
                  </w:pPr>
                  <w:r>
                    <w:t xml:space="preserve">6/3</w:t>
                  </w:r>
                </w:p>
              </w:tc>
              <w:tc>
                <w:tcPr/>
                <w:p>
                  <w:pPr>
                    <w:pStyle w:val="Compact"/>
                    <w:jc w:val="left"/>
                    <w:jc w:val="left"/>
                  </w:pPr>
                  <w:r>
                    <w:t xml:space="preserve">FALSE</w:t>
                  </w:r>
                </w:p>
              </w:tc>
            </w:tr>
            <w:tr>
              <w:tc>
                <w:tcPr/>
                <w:p>
                  <w:pPr>
                    <w:pStyle w:val="Compact"/>
                    <w:jc w:val="left"/>
                    <w:jc w:val="left"/>
                  </w:pPr>
                  <w:r>
                    <w:t xml:space="preserve">Aur-P2</w:t>
                  </w:r>
                </w:p>
              </w:tc>
              <w:tc>
                <w:tcPr/>
                <w:p>
                  <w:pPr>
                    <w:pStyle w:val="Compact"/>
                    <w:jc w:val="left"/>
                    <w:jc w:val="left"/>
                  </w:pPr>
                  <w:r>
                    <w:t xml:space="preserve">k-means flat</w:t>
                  </w:r>
                </w:p>
              </w:tc>
              <w:tc>
                <w:tcPr/>
                <w:p>
                  <w:pPr>
                    <w:pStyle w:val="Compact"/>
                    <w:jc w:val="left"/>
                    <w:jc w:val="left"/>
                  </w:pPr>
                  <w:r>
                    <w:t xml:space="preserve">3</w:t>
                  </w:r>
                </w:p>
              </w:tc>
              <w:tc>
                <w:tcPr/>
                <w:p>
                  <w:pPr>
                    <w:pStyle w:val="Compact"/>
                    <w:jc w:val="left"/>
                    <w:jc w:val="left"/>
                  </w:pPr>
                  <w:r>
                    <w:t xml:space="preserve">0.599</w:t>
                  </w:r>
                </w:p>
              </w:tc>
              <w:tc>
                <w:tcPr/>
                <w:p>
                  <w:pPr>
                    <w:pStyle w:val="Compact"/>
                    <w:jc w:val="left"/>
                    <w:jc w:val="left"/>
                  </w:pPr>
                  <w:r>
                    <w:t xml:space="preserve">3/2/4</w:t>
                  </w:r>
                </w:p>
              </w:tc>
              <w:tc>
                <w:tcPr/>
                <w:p>
                  <w:pPr>
                    <w:pStyle w:val="Compact"/>
                    <w:jc w:val="left"/>
                    <w:jc w:val="left"/>
                  </w:pPr>
                  <w:r>
                    <w:t xml:space="preserve">FALSE</w:t>
                  </w:r>
                </w:p>
              </w:tc>
            </w:tr>
            <w:tr>
              <w:tc>
                <w:tcPr/>
                <w:p>
                  <w:pPr>
                    <w:pStyle w:val="Compact"/>
                    <w:jc w:val="left"/>
                    <w:jc w:val="left"/>
                  </w:pPr>
                  <w:r>
                    <w:t xml:space="preserve">Aur-P2</w:t>
                  </w:r>
                </w:p>
              </w:tc>
              <w:tc>
                <w:tcPr/>
                <w:p>
                  <w:pPr>
                    <w:pStyle w:val="Compact"/>
                    <w:jc w:val="left"/>
                    <w:jc w:val="left"/>
                  </w:pPr>
                  <w:r>
                    <w:t xml:space="preserve">k-means flat</w:t>
                  </w:r>
                </w:p>
              </w:tc>
              <w:tc>
                <w:tcPr/>
                <w:p>
                  <w:pPr>
                    <w:pStyle w:val="Compact"/>
                    <w:jc w:val="left"/>
                    <w:jc w:val="left"/>
                  </w:pPr>
                  <w:r>
                    <w:t xml:space="preserve">4</w:t>
                  </w:r>
                </w:p>
              </w:tc>
              <w:tc>
                <w:tcPr/>
                <w:p>
                  <w:pPr>
                    <w:pStyle w:val="Compact"/>
                    <w:jc w:val="left"/>
                    <w:jc w:val="left"/>
                  </w:pPr>
                  <w:r>
                    <w:t xml:space="preserve">0.532</w:t>
                  </w:r>
                </w:p>
              </w:tc>
              <w:tc>
                <w:tcPr/>
                <w:p>
                  <w:pPr>
                    <w:pStyle w:val="Compact"/>
                    <w:jc w:val="left"/>
                    <w:jc w:val="left"/>
                  </w:pPr>
                  <w:r>
                    <w:t xml:space="preserve">1/2/4/2</w:t>
                  </w:r>
                </w:p>
              </w:tc>
              <w:tc>
                <w:tcPr/>
                <w:p>
                  <w:pPr>
                    <w:pStyle w:val="Compact"/>
                    <w:jc w:val="left"/>
                    <w:jc w:val="left"/>
                  </w:pPr>
                  <w:r>
                    <w:t xml:space="preserve">TRUE</w:t>
                  </w:r>
                </w:p>
              </w:tc>
            </w:tr>
            <w:tr>
              <w:tc>
                <w:tcPr/>
                <w:p>
                  <w:pPr>
                    <w:pStyle w:val="Compact"/>
                    <w:jc w:val="left"/>
                    <w:jc w:val="left"/>
                  </w:pPr>
                  <w:r>
                    <w:t xml:space="preserve">Aur-P2</w:t>
                  </w:r>
                </w:p>
              </w:tc>
              <w:tc>
                <w:tcPr/>
                <w:p>
                  <w:pPr>
                    <w:pStyle w:val="Compact"/>
                    <w:jc w:val="left"/>
                    <w:jc w:val="left"/>
                  </w:pPr>
                  <w:r>
                    <w:t xml:space="preserve">k-means flat</w:t>
                  </w:r>
                </w:p>
              </w:tc>
              <w:tc>
                <w:tcPr/>
                <w:p>
                  <w:pPr>
                    <w:pStyle w:val="Compact"/>
                    <w:jc w:val="left"/>
                    <w:jc w:val="left"/>
                  </w:pPr>
                  <w:r>
                    <w:t xml:space="preserve">5</w:t>
                  </w:r>
                </w:p>
              </w:tc>
              <w:tc>
                <w:tcPr/>
                <w:p>
                  <w:pPr>
                    <w:pStyle w:val="Compact"/>
                    <w:jc w:val="left"/>
                    <w:jc w:val="left"/>
                  </w:pPr>
                  <w:r>
                    <w:t xml:space="preserve">0.558</w:t>
                  </w:r>
                </w:p>
              </w:tc>
              <w:tc>
                <w:tcPr/>
                <w:p>
                  <w:pPr>
                    <w:pStyle w:val="Compact"/>
                    <w:jc w:val="left"/>
                    <w:jc w:val="left"/>
                  </w:pPr>
                  <w:r>
                    <w:t xml:space="preserve">2/3/1/1/2</w:t>
                  </w:r>
                </w:p>
              </w:tc>
              <w:tc>
                <w:tcPr/>
                <w:p>
                  <w:pPr>
                    <w:pStyle w:val="Compact"/>
                    <w:jc w:val="left"/>
                    <w:jc w:val="left"/>
                  </w:pPr>
                  <w:r>
                    <w:t xml:space="preserve">FALSE</w:t>
                  </w:r>
                </w:p>
              </w:tc>
            </w:tr>
          </w:tbl>
          <w:p>
            <w:pPr>
              <w:jc w:val="left"/>
            </w:pPr>
            <w:pPr>
              <w:jc w:val="start"/>
              <w:spacing w:before="200"/>
              <w:pStyle w:val="ImageCaption"/>
            </w:pPr>
            <w:r>
              <w:t xml:space="preserve">Table AD. Objective geographic region choice: PAM on geodesic kilometres (primary) and k-means on flat lon/lat (sensitivity) for k=2..5. Mean silhouette computed on the same distance used for clustering. k=2 (West vs Central) is primary interpretive partition (Core vs Extended sensu Schmidt &amp; Zimmermann); k=4,5 in Aur-P2 leaves singleton regions and is flagged unstable. Best PAM k by silhouette is marked.</w:t>
            </w:r>
          </w:p>
          <w:bookmarkEnd w:id="157"/>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58" w:name="tbl-region-permanova"/>
          <w:tbl>
            <w:tblPr>
              <w:tblStyle w:val="Table"/>
              <w:tblW w:type="pct" w:w="5000"/>
              <w:tblLook w:firstRow="1" w:lastRow="0" w:firstColumn="0" w:lastColumn="0" w:noHBand="0" w:noVBand="0" w:val="0020"/>
              <w:jc w:val="start"/>
              <w:tblLayout w:type="fixed"/>
            </w:tblPr>
            <w:tblGrid>
              <w:gridCol w:w="792"/>
              <w:gridCol w:w="2059"/>
              <w:gridCol w:w="1267"/>
              <w:gridCol w:w="871"/>
              <w:gridCol w:w="871"/>
              <w:gridCol w:w="871"/>
              <w:gridCol w:w="1188"/>
            </w:tblGrid>
            <w:tr>
              <w:trPr>
                <w:tblHeader w:val="true"/>
              </w:trPr>
              <w:tc>
                <w:tcPr/>
                <w:p>
                  <w:pPr>
                    <w:pStyle w:val="Compact"/>
                    <w:jc w:val="left"/>
                    <w:jc w:val="left"/>
                  </w:pPr>
                  <w:r>
                    <w:t xml:space="preserve">Phase</w:t>
                  </w:r>
                </w:p>
              </w:tc>
              <w:tc>
                <w:tcPr/>
                <w:p>
                  <w:pPr>
                    <w:pStyle w:val="Compact"/>
                    <w:jc w:val="left"/>
                    <w:jc w:val="left"/>
                  </w:pPr>
                  <w:r>
                    <w:t xml:space="preserve">Partition</w:t>
                  </w:r>
                </w:p>
              </w:tc>
              <w:tc>
                <w:tcPr/>
                <w:p>
                  <w:pPr>
                    <w:pStyle w:val="Compact"/>
                    <w:jc w:val="left"/>
                    <w:jc w:val="left"/>
                  </w:pPr>
                  <w:r>
                    <w:t xml:space="preserve">Term</w:t>
                  </w:r>
                </w:p>
              </w:tc>
              <w:tc>
                <w:tcPr/>
                <w:p>
                  <w:pPr>
                    <w:pStyle w:val="Compact"/>
                    <w:jc w:val="left"/>
                    <w:jc w:val="left"/>
                  </w:pPr>
                  <w:r>
                    <w:t xml:space="preserve">R2</w:t>
                  </w:r>
                </w:p>
              </w:tc>
              <w:tc>
                <w:tcPr/>
                <w:p>
                  <w:pPr>
                    <w:pStyle w:val="Compact"/>
                    <w:jc w:val="left"/>
                    <w:jc w:val="left"/>
                  </w:pPr>
                  <w:r>
                    <w:t xml:space="preserve">F</w:t>
                  </w:r>
                </w:p>
              </w:tc>
              <w:tc>
                <w:tcPr/>
                <w:p>
                  <w:pPr>
                    <w:pStyle w:val="Compact"/>
                    <w:jc w:val="left"/>
                    <w:jc w:val="left"/>
                  </w:pPr>
                  <w:r>
                    <w:t xml:space="preserve">p</w:t>
                  </w:r>
                </w:p>
              </w:tc>
              <w:tc>
                <w:tcPr/>
                <w:p>
                  <w:pPr>
                    <w:pStyle w:val="Compact"/>
                    <w:jc w:val="left"/>
                    <w:jc w:val="left"/>
                  </w:pPr>
                  <w:r>
                    <w:t xml:space="preserve">Betadisper p</w:t>
                  </w:r>
                </w:p>
              </w:tc>
            </w:tr>
            <w:tr>
              <w:tc>
                <w:tcPr/>
                <w:p>
                  <w:pPr>
                    <w:pStyle w:val="Compact"/>
                    <w:jc w:val="left"/>
                    <w:jc w:val="left"/>
                  </w:pPr>
                  <w:r>
                    <w:t xml:space="preserve">Aur-P1</w:t>
                  </w:r>
                </w:p>
              </w:tc>
              <w:tc>
                <w:tcPr/>
                <w:p>
                  <w:pPr>
                    <w:pStyle w:val="Compact"/>
                    <w:jc w:val="left"/>
                    <w:jc w:val="left"/>
                  </w:pPr>
                  <w:r>
                    <w:t xml:space="preserve">PAM geodesic k=2 (primary)</w:t>
                  </w:r>
                </w:p>
              </w:tc>
              <w:tc>
                <w:tcPr/>
                <w:p>
                  <w:pPr>
                    <w:pStyle w:val="Compact"/>
                    <w:jc w:val="left"/>
                    <w:jc w:val="left"/>
                  </w:pPr>
                  <w:r>
                    <w:t xml:space="preserve">objective_region</w:t>
                  </w:r>
                </w:p>
              </w:tc>
              <w:tc>
                <w:tcPr/>
                <w:p>
                  <w:pPr>
                    <w:pStyle w:val="Compact"/>
                    <w:jc w:val="left"/>
                    <w:jc w:val="left"/>
                  </w:pPr>
                  <w:r>
                    <w:t xml:space="preserve">0.059</w:t>
                  </w:r>
                </w:p>
              </w:tc>
              <w:tc>
                <w:tcPr/>
                <w:p>
                  <w:pPr>
                    <w:pStyle w:val="Compact"/>
                    <w:jc w:val="left"/>
                    <w:jc w:val="left"/>
                  </w:pPr>
                  <w:r>
                    <w:t xml:space="preserve">1.122</w:t>
                  </w:r>
                </w:p>
              </w:tc>
              <w:tc>
                <w:tcPr/>
                <w:p>
                  <w:pPr>
                    <w:pStyle w:val="Compact"/>
                    <w:jc w:val="left"/>
                    <w:jc w:val="left"/>
                  </w:pPr>
                  <w:r>
                    <w:t xml:space="preserve">0.287</w:t>
                  </w:r>
                </w:p>
              </w:tc>
              <w:tc>
                <w:tcPr/>
                <w:p>
                  <w:pPr>
                    <w:pStyle w:val="Compact"/>
                    <w:jc w:val="left"/>
                    <w:jc w:val="left"/>
                  </w:pPr>
                  <w:r>
                    <w:t xml:space="preserve">0.989</w:t>
                  </w:r>
                </w:p>
              </w:tc>
            </w:tr>
            <w:tr>
              <w:tc>
                <w:tcPr/>
                <w:p>
                  <w:pPr>
                    <w:pStyle w:val="Compact"/>
                    <w:jc w:val="left"/>
                    <w:jc w:val="left"/>
                  </w:pPr>
                  <w:r>
                    <w:t xml:space="preserve">Aur-P2</w:t>
                  </w:r>
                </w:p>
              </w:tc>
              <w:tc>
                <w:tcPr/>
                <w:p>
                  <w:pPr>
                    <w:pStyle w:val="Compact"/>
                    <w:jc w:val="left"/>
                    <w:jc w:val="left"/>
                  </w:pPr>
                  <w:r>
                    <w:t xml:space="preserve">PAM geodesic k=2 (primary)</w:t>
                  </w:r>
                </w:p>
              </w:tc>
              <w:tc>
                <w:tcPr/>
                <w:p>
                  <w:pPr>
                    <w:pStyle w:val="Compact"/>
                    <w:jc w:val="left"/>
                    <w:jc w:val="left"/>
                  </w:pPr>
                  <w:r>
                    <w:t xml:space="preserve">objective_region</w:t>
                  </w:r>
                </w:p>
              </w:tc>
              <w:tc>
                <w:tcPr/>
                <w:p>
                  <w:pPr>
                    <w:pStyle w:val="Compact"/>
                    <w:jc w:val="left"/>
                    <w:jc w:val="left"/>
                  </w:pPr>
                  <w:r>
                    <w:t xml:space="preserve">0.088</w:t>
                  </w:r>
                </w:p>
              </w:tc>
              <w:tc>
                <w:tcPr/>
                <w:p>
                  <w:pPr>
                    <w:pStyle w:val="Compact"/>
                    <w:jc w:val="left"/>
                    <w:jc w:val="left"/>
                  </w:pPr>
                  <w:r>
                    <w:t xml:space="preserve">0.679</w:t>
                  </w:r>
                </w:p>
              </w:tc>
              <w:tc>
                <w:tcPr/>
                <w:p>
                  <w:pPr>
                    <w:pStyle w:val="Compact"/>
                    <w:jc w:val="left"/>
                    <w:jc w:val="left"/>
                  </w:pPr>
                  <w:r>
                    <w:t xml:space="preserve">0.783</w:t>
                  </w:r>
                </w:p>
              </w:tc>
              <w:tc>
                <w:tcPr/>
                <w:p>
                  <w:pPr>
                    <w:pStyle w:val="Compact"/>
                    <w:jc w:val="left"/>
                    <w:jc w:val="left"/>
                  </w:pPr>
                  <w:r>
                    <w:t xml:space="preserve">0.252</w:t>
                  </w:r>
                </w:p>
              </w:tc>
            </w:tr>
            <w:tr>
              <w:tc>
                <w:tcPr/>
                <w:p>
                  <w:pPr>
                    <w:pStyle w:val="Compact"/>
                    <w:jc w:val="left"/>
                    <w:jc w:val="left"/>
                  </w:pPr>
                  <w:r>
                    <w:t xml:space="preserve">Aur-P1</w:t>
                  </w:r>
                </w:p>
              </w:tc>
              <w:tc>
                <w:tcPr/>
                <w:p>
                  <w:pPr>
                    <w:pStyle w:val="Compact"/>
                    <w:jc w:val="left"/>
                    <w:jc w:val="left"/>
                  </w:pPr>
                  <w:r>
                    <w:t xml:space="preserve">country (sensitivity)</w:t>
                  </w:r>
                </w:p>
              </w:tc>
              <w:tc>
                <w:tcPr/>
                <w:p>
                  <w:pPr>
                    <w:pStyle w:val="Compact"/>
                    <w:jc w:val="left"/>
                    <w:jc w:val="left"/>
                  </w:pPr>
                  <w:r>
                    <w:t xml:space="preserve">country</w:t>
                  </w:r>
                </w:p>
              </w:tc>
              <w:tc>
                <w:tcPr/>
                <w:p>
                  <w:pPr>
                    <w:pStyle w:val="Compact"/>
                    <w:jc w:val="left"/>
                    <w:jc w:val="left"/>
                  </w:pPr>
                  <w:r>
                    <w:t xml:space="preserve">0.339</w:t>
                  </w:r>
                </w:p>
              </w:tc>
              <w:tc>
                <w:tcPr/>
                <w:p>
                  <w:pPr>
                    <w:pStyle w:val="Compact"/>
                    <w:jc w:val="left"/>
                    <w:jc w:val="left"/>
                  </w:pPr>
                  <w:r>
                    <w:t xml:space="preserve">1.433</w:t>
                  </w:r>
                </w:p>
              </w:tc>
              <w:tc>
                <w:tcPr/>
                <w:p>
                  <w:pPr>
                    <w:pStyle w:val="Compact"/>
                    <w:jc w:val="left"/>
                    <w:jc w:val="left"/>
                  </w:pPr>
                  <w:r>
                    <w:t xml:space="preserve">0.020</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country (sensitivity)</w:t>
                  </w:r>
                </w:p>
              </w:tc>
              <w:tc>
                <w:tcPr/>
                <w:p>
                  <w:pPr>
                    <w:pStyle w:val="Compact"/>
                    <w:jc w:val="left"/>
                    <w:jc w:val="left"/>
                  </w:pPr>
                  <w:r>
                    <w:t xml:space="preserve">country</w:t>
                  </w:r>
                </w:p>
              </w:tc>
              <w:tc>
                <w:tcPr/>
                <w:p>
                  <w:pPr>
                    <w:pStyle w:val="Compact"/>
                    <w:jc w:val="left"/>
                    <w:jc w:val="left"/>
                  </w:pPr>
                  <w:r>
                    <w:t xml:space="preserve">0.622</w:t>
                  </w:r>
                </w:p>
              </w:tc>
              <w:tc>
                <w:tcPr/>
                <w:p>
                  <w:pPr>
                    <w:pStyle w:val="Compact"/>
                    <w:jc w:val="left"/>
                    <w:jc w:val="left"/>
                  </w:pPr>
                  <w:r>
                    <w:t xml:space="preserve">0.988</w:t>
                  </w:r>
                </w:p>
              </w:tc>
              <w:tc>
                <w:tcPr/>
                <w:p>
                  <w:pPr>
                    <w:pStyle w:val="Compact"/>
                    <w:jc w:val="left"/>
                    <w:jc w:val="left"/>
                  </w:pPr>
                  <w:r>
                    <w:t xml:space="preserve">0.464</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marginal: region + group</w:t>
                  </w:r>
                </w:p>
              </w:tc>
              <w:tc>
                <w:tcPr/>
                <w:p>
                  <w:pPr>
                    <w:pStyle w:val="Compact"/>
                    <w:jc w:val="left"/>
                    <w:jc w:val="left"/>
                  </w:pPr>
                  <w:r>
                    <w:t xml:space="preserve">region|group (k=2)</w:t>
                  </w:r>
                </w:p>
              </w:tc>
              <w:tc>
                <w:tcPr/>
                <w:p>
                  <w:pPr>
                    <w:pStyle w:val="Compact"/>
                    <w:jc w:val="left"/>
                    <w:jc w:val="left"/>
                  </w:pPr>
                  <w:r>
                    <w:t xml:space="preserve">0.058</w:t>
                  </w:r>
                </w:p>
              </w:tc>
              <w:tc>
                <w:tcPr/>
                <w:p>
                  <w:pPr>
                    <w:pStyle w:val="Compact"/>
                    <w:jc w:val="left"/>
                    <w:jc w:val="left"/>
                  </w:pPr>
                  <w:r>
                    <w:t xml:space="preserve">1.319</w:t>
                  </w:r>
                </w:p>
              </w:tc>
              <w:tc>
                <w:tcPr/>
                <w:p>
                  <w:pPr>
                    <w:pStyle w:val="Compact"/>
                    <w:jc w:val="left"/>
                    <w:jc w:val="left"/>
                  </w:pPr>
                  <w:r>
                    <w:t xml:space="preserve">0.164</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marginal: region + group</w:t>
                  </w:r>
                </w:p>
              </w:tc>
              <w:tc>
                <w:tcPr/>
                <w:p>
                  <w:pPr>
                    <w:pStyle w:val="Compact"/>
                    <w:jc w:val="left"/>
                    <w:jc w:val="left"/>
                  </w:pPr>
                  <w:r>
                    <w:t xml:space="preserve">group|region (k=2)</w:t>
                  </w:r>
                </w:p>
              </w:tc>
              <w:tc>
                <w:tcPr/>
                <w:p>
                  <w:pPr>
                    <w:pStyle w:val="Compact"/>
                    <w:jc w:val="left"/>
                    <w:jc w:val="left"/>
                  </w:pPr>
                  <w:r>
                    <w:t xml:space="preserve">0.195</w:t>
                  </w:r>
                </w:p>
              </w:tc>
              <w:tc>
                <w:tcPr/>
                <w:p>
                  <w:pPr>
                    <w:pStyle w:val="Compact"/>
                    <w:jc w:val="left"/>
                    <w:jc w:val="left"/>
                  </w:pPr>
                  <w:r>
                    <w:t xml:space="preserve">4.442</w:t>
                  </w:r>
                </w:p>
              </w:tc>
              <w:tc>
                <w:tcPr/>
                <w:p>
                  <w:pPr>
                    <w:pStyle w:val="Compact"/>
                    <w:jc w:val="left"/>
                    <w:jc w:val="left"/>
                  </w:pPr>
                  <w:r>
                    <w:t xml:space="preserve">0.001</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marginal: region + group</w:t>
                  </w:r>
                </w:p>
              </w:tc>
              <w:tc>
                <w:tcPr/>
                <w:p>
                  <w:pPr>
                    <w:pStyle w:val="Compact"/>
                    <w:jc w:val="left"/>
                    <w:jc w:val="left"/>
                  </w:pPr>
                  <w:r>
                    <w:t xml:space="preserve">region|group (k=2)</w:t>
                  </w:r>
                </w:p>
              </w:tc>
              <w:tc>
                <w:tcPr/>
                <w:p>
                  <w:pPr>
                    <w:pStyle w:val="Compact"/>
                    <w:jc w:val="left"/>
                    <w:jc w:val="left"/>
                  </w:pPr>
                  <w:r>
                    <w:t xml:space="preserve">0.030</w:t>
                  </w:r>
                </w:p>
              </w:tc>
              <w:tc>
                <w:tcPr/>
                <w:p>
                  <w:pPr>
                    <w:pStyle w:val="Compact"/>
                    <w:jc w:val="left"/>
                    <w:jc w:val="left"/>
                  </w:pPr>
                  <w:r>
                    <w:t xml:space="preserve">0.237</w:t>
                  </w:r>
                </w:p>
              </w:tc>
              <w:tc>
                <w:tcPr/>
                <w:p>
                  <w:pPr>
                    <w:pStyle w:val="Compact"/>
                    <w:jc w:val="left"/>
                    <w:jc w:val="left"/>
                  </w:pPr>
                  <w:r>
                    <w:t xml:space="preserve">1.000</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marginal: region + group</w:t>
                  </w:r>
                </w:p>
              </w:tc>
              <w:tc>
                <w:tcPr/>
                <w:p>
                  <w:pPr>
                    <w:pStyle w:val="Compact"/>
                    <w:jc w:val="left"/>
                    <w:jc w:val="left"/>
                  </w:pPr>
                  <w:r>
                    <w:t xml:space="preserve">group|region (k=2)</w:t>
                  </w:r>
                </w:p>
              </w:tc>
              <w:tc>
                <w:tcPr/>
                <w:p>
                  <w:pPr>
                    <w:pStyle w:val="Compact"/>
                    <w:jc w:val="left"/>
                    <w:jc w:val="left"/>
                  </w:pPr>
                  <w:r>
                    <w:t xml:space="preserve">0.164</w:t>
                  </w:r>
                </w:p>
              </w:tc>
              <w:tc>
                <w:tcPr/>
                <w:p>
                  <w:pPr>
                    <w:pStyle w:val="Compact"/>
                    <w:jc w:val="left"/>
                    <w:jc w:val="left"/>
                  </w:pPr>
                  <w:r>
                    <w:t xml:space="preserve">1.316</w:t>
                  </w:r>
                </w:p>
              </w:tc>
              <w:tc>
                <w:tcPr/>
                <w:p>
                  <w:pPr>
                    <w:pStyle w:val="Compact"/>
                    <w:jc w:val="left"/>
                    <w:jc w:val="left"/>
                  </w:pPr>
                  <w:r>
                    <w:t xml:space="preserve">0.267</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PAM geodesic k=3</w:t>
                  </w:r>
                </w:p>
              </w:tc>
              <w:tc>
                <w:tcPr/>
                <w:p>
                  <w:pPr>
                    <w:pStyle w:val="Compact"/>
                    <w:jc w:val="left"/>
                    <w:jc w:val="left"/>
                  </w:pPr>
                  <w:r>
                    <w:t xml:space="preserve">objective_region</w:t>
                  </w:r>
                </w:p>
              </w:tc>
              <w:tc>
                <w:tcPr/>
                <w:p>
                  <w:pPr>
                    <w:pStyle w:val="Compact"/>
                    <w:jc w:val="left"/>
                    <w:jc w:val="left"/>
                  </w:pPr>
                  <w:r>
                    <w:t xml:space="preserve">0.107</w:t>
                  </w:r>
                </w:p>
              </w:tc>
              <w:tc>
                <w:tcPr/>
                <w:p>
                  <w:pPr>
                    <w:pStyle w:val="Compact"/>
                    <w:jc w:val="left"/>
                    <w:jc w:val="left"/>
                  </w:pPr>
                  <w:r>
                    <w:t xml:space="preserve">1.014</w:t>
                  </w:r>
                </w:p>
              </w:tc>
              <w:tc>
                <w:tcPr/>
                <w:p>
                  <w:pPr>
                    <w:pStyle w:val="Compact"/>
                    <w:jc w:val="left"/>
                    <w:jc w:val="left"/>
                  </w:pPr>
                  <w:r>
                    <w:t xml:space="preserve">0.410</w:t>
                  </w:r>
                </w:p>
              </w:tc>
              <w:tc>
                <w:tcPr/>
                <w:p>
                  <w:pPr>
                    <w:pStyle w:val="Compact"/>
                    <w:jc w:val="left"/>
                    <w:jc w:val="left"/>
                  </w:pPr>
                  <w:r>
                    <w:t xml:space="preserve">0.741</w:t>
                  </w:r>
                </w:p>
              </w:tc>
            </w:tr>
            <w:tr>
              <w:tc>
                <w:tcPr/>
                <w:p>
                  <w:pPr>
                    <w:pStyle w:val="Compact"/>
                    <w:jc w:val="left"/>
                    <w:jc w:val="left"/>
                  </w:pPr>
                  <w:r>
                    <w:t xml:space="preserve">Aur-P2</w:t>
                  </w:r>
                </w:p>
              </w:tc>
              <w:tc>
                <w:tcPr/>
                <w:p>
                  <w:pPr>
                    <w:pStyle w:val="Compact"/>
                    <w:jc w:val="left"/>
                    <w:jc w:val="left"/>
                  </w:pPr>
                  <w:r>
                    <w:t xml:space="preserve">PAM geodesic k=3</w:t>
                  </w:r>
                </w:p>
              </w:tc>
              <w:tc>
                <w:tcPr/>
                <w:p>
                  <w:pPr>
                    <w:pStyle w:val="Compact"/>
                    <w:jc w:val="left"/>
                    <w:jc w:val="left"/>
                  </w:pPr>
                  <w:r>
                    <w:t xml:space="preserve">objective_region</w:t>
                  </w:r>
                </w:p>
              </w:tc>
              <w:tc>
                <w:tcPr/>
                <w:p>
                  <w:pPr>
                    <w:pStyle w:val="Compact"/>
                    <w:jc w:val="left"/>
                    <w:jc w:val="left"/>
                  </w:pPr>
                  <w:r>
                    <w:t xml:space="preserve">0.226</w:t>
                  </w:r>
                </w:p>
              </w:tc>
              <w:tc>
                <w:tcPr/>
                <w:p>
                  <w:pPr>
                    <w:pStyle w:val="Compact"/>
                    <w:jc w:val="left"/>
                    <w:jc w:val="left"/>
                  </w:pPr>
                  <w:r>
                    <w:t xml:space="preserve">0.876</w:t>
                  </w:r>
                </w:p>
              </w:tc>
              <w:tc>
                <w:tcPr/>
                <w:p>
                  <w:pPr>
                    <w:pStyle w:val="Compact"/>
                    <w:jc w:val="left"/>
                    <w:jc w:val="left"/>
                  </w:pPr>
                  <w:r>
                    <w:t xml:space="preserve">0.595</w:t>
                  </w:r>
                </w:p>
              </w:tc>
              <w:tc>
                <w:tcPr/>
                <w:p>
                  <w:pPr>
                    <w:pStyle w:val="Compact"/>
                    <w:jc w:val="left"/>
                    <w:jc w:val="left"/>
                  </w:pPr>
                  <w:r>
                    <w:t xml:space="preserve">0.517</w:t>
                  </w:r>
                </w:p>
              </w:tc>
            </w:tr>
          </w:tbl>
          <w:p>
            <w:pPr>
              <w:jc w:val="left"/>
            </w:pPr>
            <w:pPr>
              <w:jc w:val="start"/>
              <w:spacing w:before="200"/>
              <w:pStyle w:val="ImageCaption"/>
            </w:pPr>
            <w:r>
              <w:t xml:space="preserve">Table AE. Sign composition (Jaccard, sqrt.dist=TRUE, 999 permutations) across objective geographic regions. PAM geodesic k=2 is primary; k=3 and modern country are sensitivity rows. Marginal rows are from adonis2(J ~ region + group, by=</w:t>
            </w:r>
            <w:r>
              <w:t xml:space="preserve">‘</w:t>
            </w:r>
            <w:r>
              <w:t xml:space="preserve">margin</w:t>
            </w:r>
            <w:r>
              <w:t xml:space="preserve">’</w:t>
            </w:r>
            <w:r>
              <w:t xml:space="preserve">). Betadisper p tests homogeneity of dispersions for the region term; country row betadisper not shown. Aur-P2 has few sites, so k&gt;=4 and all Aur-P2 PERMANOVAs are indicative</w:t>
            </w:r>
            <w:r>
              <w:t xml:space="preserve"> </w:t>
            </w:r>
            <w:r>
              <w:t xml:space="preserve">[17]</w:t>
            </w:r>
            <w:r>
              <w:t xml:space="preserve">.</w:t>
            </w:r>
          </w:p>
          <w:bookmarkEnd w:id="158"/>
        </w:tc>
      </w:tr>
    </w:tbl>
    <w:tbl>
      <w:tblPr>
        <w:tblStyle w:val="Table"/>
        <w:tblW w:type="pct" w:w="5000"/>
        <w:tblLook w:firstRow="0" w:lastRow="0" w:firstColumn="0" w:lastColumn="0" w:noHBand="0" w:noVBand="0" w:val="0000"/>
        <w:jc w:val="start"/>
        <w:tblLayout w:type="fixed"/>
      </w:tblPr>
      <w:tblGrid>
        <w:gridCol w:w="7920"/>
      </w:tblGrid>
      <w:tr>
        <w:tc>
          <w:tcPr/>
          <w:bookmarkStart w:id="162" w:name="fig-region-map"/>
          <w:p>
            <w:pPr>
              <w:pStyle w:val="Compact"/>
              <w:jc w:val="left"/>
            </w:pPr>
            <w:r>
              <w:drawing>
                <wp:inline>
                  <wp:extent cx="5943600" cy="4457699"/>
                  <wp:effectExtent b="0" l="0" r="0" t="0"/>
                  <wp:docPr descr="" title="" id="160" name="Picture"/>
                  <a:graphic>
                    <a:graphicData uri="http://schemas.openxmlformats.org/drawingml/2006/picture">
                      <pic:pic>
                        <pic:nvPicPr>
                          <pic:cNvPr descr="../figures/s513-region-map.png" id="161" name="Picture"/>
                          <pic:cNvPicPr>
                            <a:picLocks noChangeArrowheads="1" noChangeAspect="1"/>
                          </pic:cNvPicPr>
                        </pic:nvPicPr>
                        <pic:blipFill>
                          <a:blip r:embed="rId159"/>
                          <a:stretch>
                            <a:fillRect/>
                          </a:stretch>
                        </pic:blipFill>
                        <pic:spPr bwMode="auto">
                          <a:xfrm>
                            <a:off x="0" y="0"/>
                            <a:ext cx="5943600" cy="4457699"/>
                          </a:xfrm>
                          <a:prstGeom prst="rect">
                            <a:avLst/>
                          </a:prstGeom>
                          <a:noFill/>
                          <a:ln w="9525">
                            <a:noFill/>
                            <a:headEnd/>
                            <a:tailEnd/>
                          </a:ln>
                        </pic:spPr>
                      </pic:pic>
                    </a:graphicData>
                  </a:graphic>
                </wp:inline>
              </w:drawing>
            </w:r>
          </w:p>
          <w:p>
            <w:pPr>
              <w:jc w:val="left"/>
            </w:pPr>
            <w:pPr>
              <w:jc w:val="start"/>
              <w:spacing w:before="200"/>
              <w:pStyle w:val="ImageCaption"/>
            </w:pPr>
            <w:r>
              <w:t xml:space="preserve">Fig G. Objective geographic regions discovered by PAM on geodesic distances (primary, k=2). Sites coloured by region; Jaccard sign data not used. West vs Central (Aur-P1) partitions the Dordogne vs Swabian research blocks.</w:t>
            </w:r>
          </w:p>
          <w:bookmarkEnd w:id="162"/>
        </w:tc>
      </w:tr>
    </w:tbl>
    <w:bookmarkEnd w:id="163"/>
    <w:bookmarkStart w:id="164" w:name="interpretation-12"/>
    <w:p>
      <w:pPr>
        <w:pStyle w:val="Heading3"/>
      </w:pPr>
      <w:r>
        <w:t xml:space="preserve">Interpretation</w:t>
      </w:r>
    </w:p>
    <w:p>
      <w:pPr>
        <w:pStyle w:val="FirstParagraph"/>
      </w:pPr>
      <w:r>
        <w:rPr>
          <w:bCs/>
          <w:b/>
        </w:rPr>
        <w:t xml:space="preserve">Question: does a geography-first regional partition explain sign-composition variation in either phase?</w:t>
      </w:r>
      <w:r>
        <w:t xml:space="preserve"> </w:t>
      </w:r>
      <w:r>
        <w:t xml:space="preserve">No. The silhouette criterion selects k = 5 in Aur-P1 (mean silhouette 0.574, PAM geodesic), but k = 2 is retained as the interpretive partition because k = 5 splits the Swabian block into singletons. The k = 2 partition — West versus Central — separates the Dordogne bloc tradition from the Swabian ivory tradition. At k = 2, the mean silhouette of flat k-means differs from that of PAM by 0.001 in Aur-P1, and the agreement between the two geography clusterings is ARI = 0.8 (Aur-P1) and 1 (Aur-P2). The flat version changes R² by at most 0.020, so it does not alter the conclusion. In Aur-P2 (n = 9 sites), k = 4 and k = 5 leave singleton regions and are flagged unstable; they are shown only for completeness and are not interpreted.</w:t>
      </w:r>
    </w:p>
    <w:p>
      <w:pPr>
        <w:pStyle w:val="BodyText"/>
      </w:pPr>
      <w:r>
        <w:t xml:space="preserve">Signs do not form Vanhaeren-style regional provinces. For Aur-P1 the geography-first region explains R² = 0.059 (F = 1.122, p = 0.287, betadisper p = 0.989) at k = 2. At k = 3 the objective region explains R² = 0.107 (p = 0.41), no stronger. In the marginal model</w:t>
      </w:r>
      <w:r>
        <w:t xml:space="preserve"> </w:t>
      </w:r>
      <w:r>
        <w:rPr>
          <w:rStyle w:val="VerbatimChar"/>
        </w:rPr>
        <w:t xml:space="preserve">J ~ region + group</w:t>
      </w:r>
      <w:r>
        <w:t xml:space="preserve"> </w:t>
      </w:r>
      <w:r>
        <w:t xml:space="preserve">(by margin), region has R² = 0.058 (p = 0.164) and group has R² = 0.195 (p = 0.001) for Aur-P1, so group is not subsumed by geography — consistent with</w:t>
      </w:r>
      <w:r>
        <w:t xml:space="preserve"> </w:t>
      </w:r>
      <w:r>
        <w:t xml:space="preserve">Section S1.12.4</w:t>
      </w:r>
      <w:r>
        <w:t xml:space="preserve">–</w:t>
      </w:r>
      <w:r>
        <w:t xml:space="preserve">Section S1.12.5</w:t>
      </w:r>
      <w:r>
        <w:t xml:space="preserve"> </w:t>
      </w:r>
      <w:r>
        <w:t xml:space="preserve">where broad sites remain richer at equal coverage and saturating effort. The Louvain sign communities do not align with the geographic regions (ARI = -0.03 in Aur-P1 and 0 in Aur-P2), and the manual restricted/broad groups do not align with them either (ARI = -0.04 and 0). Thus the sign-based groups do not follow these regions.</w:t>
      </w:r>
    </w:p>
    <w:p>
      <w:pPr>
        <w:pStyle w:val="BodyText"/>
      </w:pPr>
      <w:r>
        <w:t xml:space="preserve">Aur-P2 results are indicative. With n = 9 sites, the PAM k = 2 region explains R² = 0.088 (p = 0.783, betadisper p = 0.252); in the marginal model, region given group has R² = 0.03 (p = 1) and group given region has R² = 0.164 (p = 0.267), all with low power. PerMANOVA results for small, unbalanced designs such as Aur-P2 (6 restricted versus 3 broad sites) must be interpreted with caution</w:t>
      </w:r>
      <w:r>
        <w:t xml:space="preserve"> </w:t>
      </w:r>
      <w:r>
        <w:t xml:space="preserve">[17]</w:t>
      </w:r>
      <w:r>
        <w:t xml:space="preserve">. The weak east–west signal in Aur-P1 (</w:t>
      </w:r>
      <w:r>
        <w:t xml:space="preserve">Section S1.3.3</w:t>
      </w:r>
      <w:r>
        <w:t xml:space="preserve">;</w:t>
      </w:r>
      <w:r>
        <w:t xml:space="preserve"> </w:t>
      </w:r>
      <w:r>
        <w:t xml:space="preserve">Section S1.4.4</w:t>
      </w:r>
      <w:r>
        <w:t xml:space="preserve">) coincides with differences in object types and research history: 144 of the 346 Aur-P1 objects are ivory objects from Germany, and 38 are limestone blocks from France.</w:t>
      </w:r>
    </w:p>
    <w:p>
      <w:pPr>
        <w:pStyle w:val="BodyText"/>
      </w:pPr>
      <w:r>
        <w:rPr>
          <w:bCs/>
          <w:b/>
        </w:rPr>
        <w:t xml:space="preserve">Implication for the main text.</w:t>
      </w:r>
      <w:r>
        <w:t xml:space="preserve"> </w:t>
      </w:r>
      <w:r>
        <w:t xml:space="preserve">Objective regions do not explain sign composition; the restricted/broad contrast is not a geographic province effect.</w:t>
      </w:r>
    </w:p>
    <w:bookmarkEnd w:id="164"/>
    <w:bookmarkEnd w:id="165"/>
    <w:bookmarkEnd w:id="166"/>
    <w:bookmarkStart w:id="206" w:name="sec-s9"/>
    <w:p>
      <w:pPr>
        <w:pStyle w:val="Heading1"/>
      </w:pPr>
      <w:r>
        <w:t xml:space="preserve">S1.9 Partition Stability and Generative Models</w:t>
      </w:r>
    </w:p>
    <w:bookmarkStart w:id="167" w:name="sec-s9-1"/>
    <w:p>
      <w:pPr>
        <w:pStyle w:val="Heading2"/>
      </w:pPr>
      <w:r>
        <w:t xml:space="preserve">S1.9.1 Rationale</w:t>
      </w:r>
    </w:p>
    <w:p>
      <w:pPr>
        <w:pStyle w:val="FirstParagraph"/>
      </w:pPr>
      <w:r>
        <w:t xml:space="preserve">The main-text contrast between two imposed sign-repertoire groups, restricted-range versus broader-range sign repertoires, depends on a single Brower-Kile seriation run followed by manual block assignment (see the main text and</w:t>
      </w:r>
      <w:r>
        <w:t xml:space="preserve"> </w:t>
      </w:r>
      <w:r>
        <w:t xml:space="preserve">Section S1.6</w:t>
      </w:r>
      <w:r>
        <w:t xml:space="preserve">). Two limitations remain unaddressed by</w:t>
      </w:r>
      <w:r>
        <w:t xml:space="preserve"> </w:t>
      </w:r>
      <w:r>
        <w:t xml:space="preserve">Section S1.2</w:t>
      </w:r>
      <w:r>
        <w:t xml:space="preserve">–</w:t>
      </w:r>
      <w:r>
        <w:t xml:space="preserve">Section S1.8</w:t>
      </w:r>
      <w:r>
        <w:t xml:space="preserve">. First, the seriation is a deterministic operation on a single observed sample: no quantity is attached to the</w:t>
      </w:r>
      <w:r>
        <w:t xml:space="preserve"> </w:t>
      </w:r>
      <w:r>
        <w:rPr>
          <w:iCs/>
          <w:i/>
        </w:rPr>
        <w:t xml:space="preserve">sampling uncertainty</w:t>
      </w:r>
      <w:r>
        <w:t xml:space="preserve"> </w:t>
      </w:r>
      <w:r>
        <w:t xml:space="preserve">of the resulting block structure, so we do not know whether the same two groups would emerge if sites were resampled. Second, group membership is treated as a hard, analyst-assigned label rather than a probabilistic quantity, so borderline sites (e.g. Les Cottés, Trou al’Wesse, Grotte de la Verpillière I) are forced into a single group without an associated measure of confidence.</w:t>
      </w:r>
    </w:p>
    <w:p>
      <w:pPr>
        <w:pStyle w:val="BodyText"/>
      </w:pPr>
      <w:r>
        <w:t xml:space="preserve">This section addresses both limitations. In</w:t>
      </w:r>
      <w:r>
        <w:t xml:space="preserve"> </w:t>
      </w:r>
      <w:r>
        <w:t xml:space="preserve">Section S1.9.2</w:t>
      </w:r>
      <w:r>
        <w:t xml:space="preserve"> </w:t>
      </w:r>
      <w:r>
        <w:t xml:space="preserve">we use bootstrap resampling of sites within each phase to build a</w:t>
      </w:r>
      <w:r>
        <w:t xml:space="preserve"> </w:t>
      </w:r>
      <w:r>
        <w:rPr>
          <w:bCs/>
          <w:b/>
        </w:rPr>
        <w:t xml:space="preserve">consensus co-clustering matrix</w:t>
      </w:r>
      <w:r>
        <w:t xml:space="preserve"> </w:t>
      </w:r>
      <w:r>
        <w:t xml:space="preserve">[18]</w:t>
      </w:r>
      <w:r>
        <w:t xml:space="preserve">, quantifying the stability of the two-group partition as a whole and of each site’s assignment. In</w:t>
      </w:r>
      <w:r>
        <w:t xml:space="preserve"> </w:t>
      </w:r>
      <w:r>
        <w:t xml:space="preserve">Section S1.9.3</w:t>
      </w:r>
      <w:r>
        <w:t xml:space="preserve"> </w:t>
      </w:r>
      <w:r>
        <w:t xml:space="preserve">we fit</w:t>
      </w:r>
      <w:r>
        <w:t xml:space="preserve"> </w:t>
      </w:r>
      <w:r>
        <w:rPr>
          <w:bCs/>
          <w:b/>
        </w:rPr>
        <w:t xml:space="preserve">stochastic block models (SBM)</w:t>
      </w:r>
      <w:r>
        <w:t xml:space="preserve"> </w:t>
      </w:r>
      <w:r>
        <w:t xml:space="preserve">using the</w:t>
      </w:r>
      <w:r>
        <w:t xml:space="preserve"> </w:t>
      </w:r>
      <w:r>
        <w:rPr>
          <w:rStyle w:val="VerbatimChar"/>
        </w:rPr>
        <w:t xml:space="preserve">blockmodels</w:t>
      </w:r>
      <w:r>
        <w:t xml:space="preserve"> </w:t>
      </w:r>
      <w:r>
        <w:t xml:space="preserve">R package</w:t>
      </w:r>
      <w:r>
        <w:t xml:space="preserve"> </w:t>
      </w:r>
      <w:r>
        <w:t xml:space="preserve">[19]</w:t>
      </w:r>
      <w:r>
        <w:t xml:space="preserve">, which treat block membership as a latent variable, select the number of blocks via the Integrated Classification Likelihood (ICL), and return posterior membership probabilities for every site. In</w:t>
      </w:r>
      <w:r>
        <w:t xml:space="preserve"> </w:t>
      </w:r>
      <w:r>
        <w:t xml:space="preserve">Section S1.9.4</w:t>
      </w:r>
      <w:r>
        <w:t xml:space="preserve"> </w:t>
      </w:r>
      <w:r>
        <w:t xml:space="preserve">we test the SBM block recovery against a Curveball null model. In</w:t>
      </w:r>
      <w:r>
        <w:t xml:space="preserve"> </w:t>
      </w:r>
      <w:r>
        <w:t xml:space="preserve">Section S1.9.6</w:t>
      </w:r>
      <w:r>
        <w:t xml:space="preserve"> </w:t>
      </w:r>
      <w:r>
        <w:t xml:space="preserve">we cross-validate the bootstrap and SBM assignments against the main-text restricted/broad groups using the Adjusted Rand Index (ARI)</w:t>
      </w:r>
      <w:r>
        <w:t xml:space="preserve"> </w:t>
      </w:r>
      <w:r>
        <w:t xml:space="preserve">[20]</w:t>
      </w:r>
      <w:r>
        <w:t xml:space="preserve">.</w:t>
      </w:r>
    </w:p>
    <w:bookmarkEnd w:id="167"/>
    <w:bookmarkStart w:id="176" w:name="sec-s9-2"/>
    <w:p>
      <w:pPr>
        <w:pStyle w:val="Heading2"/>
      </w:pPr>
      <w:r>
        <w:t xml:space="preserve">S1.9.2 Bootstrap Consensus Analysis</w:t>
      </w:r>
    </w:p>
    <w:bookmarkStart w:id="174" w:name="rationale-14"/>
    <w:p>
      <w:pPr>
        <w:pStyle w:val="Heading3"/>
      </w:pPr>
      <w:r>
        <w:t xml:space="preserve">Rationale</w:t>
      </w:r>
    </w:p>
    <w:p>
      <w:pPr>
        <w:pStyle w:val="FirstParagraph"/>
      </w:pPr>
      <w:r>
        <w:t xml:space="preserve">For each phase we assess the stability of the two-group partition by subsampling sites without replacement (80% of sites per replicate). We do not resample sites with replacement, because duplicate sites always co-cluster (similarity 1) and inflate within-block co-clustering. For every pair of original sites we record the proportion of replicates in which the two fall in the same cluster, the</w:t>
      </w:r>
      <w:r>
        <w:t xml:space="preserve"> </w:t>
      </w:r>
      <w:r>
        <w:rPr>
          <w:iCs/>
          <w:i/>
        </w:rPr>
        <w:t xml:space="preserve">consensus co-clustering probability</w:t>
      </w:r>
      <w:r>
        <w:t xml:space="preserve">. If the two-group structure is genuine, mean co-clustering</w:t>
      </w:r>
      <w:r>
        <w:t xml:space="preserve"> </w:t>
      </w:r>
      <w:r>
        <w:rPr>
          <w:iCs/>
          <w:i/>
        </w:rPr>
        <w:t xml:space="preserve">within</w:t>
      </w:r>
      <w:r>
        <w:t xml:space="preserve"> </w:t>
      </w:r>
      <w:r>
        <w:t xml:space="preserve">each block (restricted/broad) should substantially exceed mean co-clustering</w:t>
      </w:r>
      <w:r>
        <w:t xml:space="preserve"> </w:t>
      </w:r>
      <w:r>
        <w:rPr>
          <w:iCs/>
          <w:i/>
        </w:rPr>
        <w:t xml:space="preserve">across</w:t>
      </w:r>
      <w:r>
        <w:t xml:space="preserve"> </w:t>
      </w:r>
      <w:r>
        <w:t xml:space="preserve">the two blocks, and sites central to a block should show high per-site consistency (the proportion of replicates in which the site is assigned to its modal block).</w:t>
      </w:r>
    </w:p>
    <w:p>
      <w:pPr>
        <w:pStyle w:val="BodyText"/>
      </w:pPr>
      <w:r>
        <w:rPr>
          <w:bCs/>
          <w:b/>
        </w:rPr>
        <w:t xml:space="preserve">Question: does within-block co-clustering exceed across-block co-clustering under site resampling, and which sites hold stable assignments?</w:t>
      </w:r>
    </w:p>
    <w:tbl>
      <w:tblPr>
        <w:tblStyle w:val="Table"/>
        <w:tblW w:type="pct" w:w="5000"/>
        <w:tblLook w:firstRow="0" w:lastRow="0" w:firstColumn="0" w:lastColumn="0" w:noHBand="0" w:noVBand="0" w:val="0000"/>
        <w:jc w:val="start"/>
        <w:tblLayout w:type="fixed"/>
      </w:tblPr>
      <w:tblGrid>
        <w:gridCol w:w="7920"/>
      </w:tblGrid>
      <w:tr>
        <w:tc>
          <w:tcPr/>
          <w:bookmarkStart w:id="168" w:name="tbl-bootstrap-summary"/>
          <w:tbl>
            <w:tblPr>
              <w:tblStyle w:val="Table"/>
              <w:tblW w:type="pct" w:w="5000"/>
              <w:tblLook w:firstRow="1" w:lastRow="0" w:firstColumn="0" w:lastColumn="0" w:noHBand="0" w:noVBand="0" w:val="0020"/>
              <w:jc w:val="start"/>
              <w:tblLayout w:type="fixed"/>
            </w:tblPr>
            <w:tblGrid>
              <w:gridCol w:w="1108"/>
              <w:gridCol w:w="950"/>
              <w:gridCol w:w="792"/>
              <w:gridCol w:w="1267"/>
              <w:gridCol w:w="1188"/>
              <w:gridCol w:w="1346"/>
              <w:gridCol w:w="1267"/>
            </w:tblGrid>
            <w:tr>
              <w:trPr>
                <w:tblHeader w:val="true"/>
              </w:trPr>
              <w:tc>
                <w:tcPr/>
                <w:p>
                  <w:pPr>
                    <w:pStyle w:val="Compact"/>
                    <w:jc w:val="left"/>
                    <w:jc w:val="left"/>
                  </w:pPr>
                  <w:r>
                    <w:t xml:space="preserve">Phase</w:t>
                  </w:r>
                </w:p>
              </w:tc>
              <w:tc>
                <w:tcPr/>
                <w:p>
                  <w:pPr>
                    <w:pStyle w:val="Compact"/>
                    <w:jc w:val="left"/>
                    <w:jc w:val="left"/>
                  </w:pPr>
                  <w:r>
                    <w:t xml:space="preserve">Restricted n</w:t>
                  </w:r>
                </w:p>
              </w:tc>
              <w:tc>
                <w:tcPr/>
                <w:p>
                  <w:pPr>
                    <w:pStyle w:val="Compact"/>
                    <w:jc w:val="left"/>
                    <w:jc w:val="left"/>
                  </w:pPr>
                  <w:r>
                    <w:t xml:space="preserve">Broad n</w:t>
                  </w:r>
                </w:p>
              </w:tc>
              <w:tc>
                <w:tcPr/>
                <w:p>
                  <w:pPr>
                    <w:pStyle w:val="Compact"/>
                    <w:jc w:val="left"/>
                    <w:jc w:val="left"/>
                  </w:pPr>
                  <w:r>
                    <w:t xml:space="preserve">Within restricted</w:t>
                  </w:r>
                </w:p>
              </w:tc>
              <w:tc>
                <w:tcPr/>
                <w:p>
                  <w:pPr>
                    <w:pStyle w:val="Compact"/>
                    <w:jc w:val="left"/>
                    <w:jc w:val="left"/>
                  </w:pPr>
                  <w:r>
                    <w:t xml:space="preserve">Within broad</w:t>
                  </w:r>
                </w:p>
              </w:tc>
              <w:tc>
                <w:tcPr/>
                <w:p>
                  <w:pPr>
                    <w:pStyle w:val="Compact"/>
                    <w:jc w:val="left"/>
                    <w:jc w:val="left"/>
                  </w:pPr>
                  <w:r>
                    <w:t xml:space="preserve">Overall within</w:t>
                  </w:r>
                </w:p>
              </w:tc>
              <w:tc>
                <w:tcPr/>
                <w:p>
                  <w:pPr>
                    <w:pStyle w:val="Compact"/>
                    <w:jc w:val="left"/>
                    <w:jc w:val="left"/>
                  </w:pPr>
                  <w:r>
                    <w:t xml:space="preserve">Across</w:t>
                  </w:r>
                </w:p>
              </w:tc>
            </w:tr>
            <w:tr>
              <w:tc>
                <w:tcPr/>
                <w:p>
                  <w:pPr>
                    <w:pStyle w:val="Compact"/>
                    <w:jc w:val="left"/>
                    <w:jc w:val="left"/>
                  </w:pPr>
                  <w:r>
                    <w:t xml:space="preserve">Aur-P1</w:t>
                  </w:r>
                </w:p>
              </w:tc>
              <w:tc>
                <w:tcPr/>
                <w:p>
                  <w:pPr>
                    <w:pStyle w:val="Compact"/>
                    <w:jc w:val="left"/>
                    <w:jc w:val="left"/>
                  </w:pPr>
                  <w:r>
                    <w:t xml:space="preserve">9</w:t>
                  </w:r>
                </w:p>
              </w:tc>
              <w:tc>
                <w:tcPr/>
                <w:p>
                  <w:pPr>
                    <w:pStyle w:val="Compact"/>
                    <w:jc w:val="left"/>
                    <w:jc w:val="left"/>
                  </w:pPr>
                  <w:r>
                    <w:t xml:space="preserve">11</w:t>
                  </w:r>
                </w:p>
              </w:tc>
              <w:tc>
                <w:tcPr/>
                <w:p>
                  <w:pPr>
                    <w:pStyle w:val="Compact"/>
                    <w:jc w:val="left"/>
                    <w:jc w:val="left"/>
                  </w:pPr>
                  <w:r>
                    <w:t xml:space="preserve">0.75</w:t>
                  </w:r>
                </w:p>
              </w:tc>
              <w:tc>
                <w:tcPr/>
                <w:p>
                  <w:pPr>
                    <w:pStyle w:val="Compact"/>
                    <w:jc w:val="left"/>
                    <w:jc w:val="left"/>
                  </w:pPr>
                  <w:r>
                    <w:t xml:space="preserve">0.97</w:t>
                  </w:r>
                </w:p>
              </w:tc>
              <w:tc>
                <w:tcPr/>
                <w:p>
                  <w:pPr>
                    <w:pStyle w:val="Compact"/>
                    <w:jc w:val="left"/>
                    <w:jc w:val="left"/>
                  </w:pPr>
                  <w:r>
                    <w:t xml:space="preserve">0.88</w:t>
                  </w:r>
                </w:p>
              </w:tc>
              <w:tc>
                <w:tcPr/>
                <w:p>
                  <w:pPr>
                    <w:pStyle w:val="Compact"/>
                    <w:jc w:val="left"/>
                    <w:jc w:val="left"/>
                  </w:pPr>
                  <w:r>
                    <w:t xml:space="preserve">0.2</w:t>
                  </w:r>
                </w:p>
              </w:tc>
            </w:tr>
            <w:tr>
              <w:tc>
                <w:tcPr/>
                <w:p>
                  <w:pPr>
                    <w:pStyle w:val="Compact"/>
                    <w:jc w:val="left"/>
                    <w:jc w:val="left"/>
                  </w:pPr>
                  <w:r>
                    <w:t xml:space="preserve">Aur-P2</w:t>
                  </w:r>
                </w:p>
              </w:tc>
              <w:tc>
                <w:tcPr/>
                <w:p>
                  <w:pPr>
                    <w:pStyle w:val="Compact"/>
                    <w:jc w:val="left"/>
                    <w:jc w:val="left"/>
                  </w:pPr>
                  <w:r>
                    <w:t xml:space="preserve">6</w:t>
                  </w:r>
                </w:p>
              </w:tc>
              <w:tc>
                <w:tcPr/>
                <w:p>
                  <w:pPr>
                    <w:pStyle w:val="Compact"/>
                    <w:jc w:val="left"/>
                    <w:jc w:val="left"/>
                  </w:pPr>
                  <w:r>
                    <w:t xml:space="preserve">3</w:t>
                  </w:r>
                </w:p>
              </w:tc>
              <w:tc>
                <w:tcPr/>
                <w:p>
                  <w:pPr>
                    <w:pStyle w:val="Compact"/>
                    <w:jc w:val="left"/>
                    <w:jc w:val="left"/>
                  </w:pPr>
                  <w:r>
                    <w:t xml:space="preserve">0.49</w:t>
                  </w:r>
                </w:p>
              </w:tc>
              <w:tc>
                <w:tcPr/>
                <w:p>
                  <w:pPr>
                    <w:pStyle w:val="Compact"/>
                    <w:jc w:val="left"/>
                    <w:jc w:val="left"/>
                  </w:pPr>
                  <w:r>
                    <w:t xml:space="preserve">0.92</w:t>
                  </w:r>
                </w:p>
              </w:tc>
              <w:tc>
                <w:tcPr/>
                <w:p>
                  <w:pPr>
                    <w:pStyle w:val="Compact"/>
                    <w:jc w:val="left"/>
                    <w:jc w:val="left"/>
                  </w:pPr>
                  <w:r>
                    <w:t xml:space="preserve">0.56</w:t>
                  </w:r>
                </w:p>
              </w:tc>
              <w:tc>
                <w:tcPr/>
                <w:p>
                  <w:pPr>
                    <w:pStyle w:val="Compact"/>
                    <w:jc w:val="left"/>
                    <w:jc w:val="left"/>
                  </w:pPr>
                  <w:r>
                    <w:t xml:space="preserve">0.4</w:t>
                  </w:r>
                </w:p>
              </w:tc>
            </w:tr>
          </w:tbl>
          <w:p>
            <w:pPr>
              <w:jc w:val="left"/>
            </w:pPr>
            <w:pPr>
              <w:jc w:val="start"/>
              <w:spacing w:before="200"/>
              <w:pStyle w:val="ImageCaption"/>
            </w:pPr>
            <w:r>
              <w:t xml:space="preserve">Table AF. Bootstrap consensus co-clustering within and across the main-text restricted/broad blocks, by phase (n = 1000 resamples). Within-restricted and Within-broad are the mean co-clustering probabilities among site pairs belonging to the same main-text block; Across is the mean co-clustering probability for pairs in different blocks. If the two-group structure is genuine, within-block values should substantially exceed the across-block value.</w:t>
            </w:r>
          </w:p>
          <w:bookmarkEnd w:id="168"/>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69" w:name="tbl-bootstrap-sites"/>
          <w:tbl>
            <w:tblPr>
              <w:tblStyle w:val="Table"/>
              <w:tblW w:type="pct" w:w="5000"/>
              <w:tblLook w:firstRow="1" w:lastRow="0" w:firstColumn="0" w:lastColumn="0" w:noHBand="0" w:noVBand="0" w:val="0020"/>
              <w:jc w:val="start"/>
              <w:tblLayout w:type="fixed"/>
            </w:tblPr>
            <w:tblGrid>
              <w:gridCol w:w="1188"/>
              <w:gridCol w:w="3564"/>
              <w:gridCol w:w="1584"/>
              <w:gridCol w:w="1584"/>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Modal block</w:t>
                  </w:r>
                </w:p>
              </w:tc>
              <w:tc>
                <w:tcPr/>
                <w:p>
                  <w:pPr>
                    <w:pStyle w:val="Compact"/>
                    <w:jc w:val="left"/>
                    <w:jc w:val="left"/>
                  </w:pPr>
                  <w:r>
                    <w:t xml:space="preserve">Consistency</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2</w:t>
                  </w:r>
                </w:p>
              </w:tc>
              <w:tc>
                <w:tcPr/>
                <w:p>
                  <w:pPr>
                    <w:pStyle w:val="Compact"/>
                    <w:jc w:val="left"/>
                    <w:jc w:val="left"/>
                  </w:pPr>
                  <w:r>
                    <w:t xml:space="preserve">0.95</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2</w:t>
                  </w:r>
                </w:p>
              </w:tc>
              <w:tc>
                <w:tcPr/>
                <w:p>
                  <w:pPr>
                    <w:pStyle w:val="Compact"/>
                    <w:jc w:val="left"/>
                    <w:jc w:val="left"/>
                  </w:pPr>
                  <w:r>
                    <w:t xml:space="preserve">0.96</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2</w:t>
                  </w:r>
                </w:p>
              </w:tc>
              <w:tc>
                <w:tcPr/>
                <w:p>
                  <w:pPr>
                    <w:pStyle w:val="Compact"/>
                    <w:jc w:val="left"/>
                    <w:jc w:val="left"/>
                  </w:pPr>
                  <w:r>
                    <w:t xml:space="preserve">0.93</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1</w:t>
                  </w:r>
                </w:p>
              </w:tc>
              <w:tc>
                <w:tcPr/>
                <w:p>
                  <w:pPr>
                    <w:pStyle w:val="Compact"/>
                    <w:jc w:val="left"/>
                    <w:jc w:val="left"/>
                  </w:pPr>
                  <w:r>
                    <w:t xml:space="preserve">0.61</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2</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1</w:t>
                  </w:r>
                </w:p>
              </w:tc>
              <w:tc>
                <w:tcPr/>
                <w:p>
                  <w:pPr>
                    <w:pStyle w:val="Compact"/>
                    <w:jc w:val="left"/>
                    <w:jc w:val="left"/>
                  </w:pPr>
                  <w:r>
                    <w:t xml:space="preserve">0.65</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2</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2</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1</w:t>
                  </w:r>
                </w:p>
              </w:tc>
              <w:tc>
                <w:tcPr/>
                <w:p>
                  <w:pPr>
                    <w:pStyle w:val="Compact"/>
                    <w:jc w:val="left"/>
                    <w:jc w:val="left"/>
                  </w:pPr>
                  <w:r>
                    <w:t xml:space="preserve">0.65</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2</w:t>
                  </w:r>
                </w:p>
              </w:tc>
              <w:tc>
                <w:tcPr/>
                <w:p>
                  <w:pPr>
                    <w:pStyle w:val="Compact"/>
                    <w:jc w:val="left"/>
                    <w:jc w:val="left"/>
                  </w:pPr>
                  <w:r>
                    <w:t xml:space="preserve">0.97</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2</w:t>
                  </w:r>
                </w:p>
              </w:tc>
              <w:tc>
                <w:tcPr/>
                <w:p>
                  <w:pPr>
                    <w:pStyle w:val="Compact"/>
                    <w:jc w:val="left"/>
                    <w:jc w:val="left"/>
                  </w:pPr>
                  <w:r>
                    <w:t xml:space="preserve">0.52</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2</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2</w:t>
                  </w:r>
                </w:p>
              </w:tc>
              <w:tc>
                <w:tcPr/>
                <w:p>
                  <w:pPr>
                    <w:pStyle w:val="Compact"/>
                    <w:jc w:val="left"/>
                    <w:jc w:val="left"/>
                  </w:pPr>
                  <w:r>
                    <w:t xml:space="preserve">0.95</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2</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2</w:t>
                  </w:r>
                </w:p>
              </w:tc>
              <w:tc>
                <w:tcPr/>
                <w:p>
                  <w:pPr>
                    <w:pStyle w:val="Compact"/>
                    <w:jc w:val="left"/>
                    <w:jc w:val="left"/>
                  </w:pPr>
                  <w:r>
                    <w:t xml:space="preserve">1.00</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1</w:t>
                  </w:r>
                </w:p>
              </w:tc>
              <w:tc>
                <w:tcPr/>
                <w:p>
                  <w:pPr>
                    <w:pStyle w:val="Compact"/>
                    <w:jc w:val="left"/>
                    <w:jc w:val="left"/>
                  </w:pPr>
                  <w:r>
                    <w:t xml:space="preserve">0.58</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2</w:t>
                  </w:r>
                </w:p>
              </w:tc>
              <w:tc>
                <w:tcPr/>
                <w:p>
                  <w:pPr>
                    <w:pStyle w:val="Compact"/>
                    <w:jc w:val="left"/>
                    <w:jc w:val="left"/>
                  </w:pPr>
                  <w:r>
                    <w:t xml:space="preserve">0.83</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0.81</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2</w:t>
                  </w:r>
                </w:p>
              </w:tc>
              <w:tc>
                <w:tcPr/>
                <w:p>
                  <w:pPr>
                    <w:pStyle w:val="Compact"/>
                    <w:jc w:val="left"/>
                    <w:jc w:val="left"/>
                  </w:pPr>
                  <w:r>
                    <w:t xml:space="preserve">0.98</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1</w:t>
                  </w:r>
                </w:p>
              </w:tc>
              <w:tc>
                <w:tcPr/>
                <w:p>
                  <w:pPr>
                    <w:pStyle w:val="Compact"/>
                    <w:jc w:val="left"/>
                    <w:jc w:val="left"/>
                  </w:pPr>
                  <w:r>
                    <w:t xml:space="preserve">0.82</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2</w:t>
                  </w:r>
                </w:p>
              </w:tc>
              <w:tc>
                <w:tcPr/>
                <w:p>
                  <w:pPr>
                    <w:pStyle w:val="Compact"/>
                    <w:jc w:val="left"/>
                    <w:jc w:val="left"/>
                  </w:pPr>
                  <w:r>
                    <w:t xml:space="preserve">0.84</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2</w:t>
                  </w:r>
                </w:p>
              </w:tc>
              <w:tc>
                <w:tcPr/>
                <w:p>
                  <w:pPr>
                    <w:pStyle w:val="Compact"/>
                    <w:jc w:val="left"/>
                    <w:jc w:val="left"/>
                  </w:pPr>
                  <w:r>
                    <w:t xml:space="preserve">0.98</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1</w:t>
                  </w:r>
                </w:p>
              </w:tc>
              <w:tc>
                <w:tcPr/>
                <w:p>
                  <w:pPr>
                    <w:pStyle w:val="Compact"/>
                    <w:jc w:val="left"/>
                    <w:jc w:val="left"/>
                  </w:pPr>
                  <w:r>
                    <w:t xml:space="preserve">0.81</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1</w:t>
                  </w:r>
                </w:p>
              </w:tc>
              <w:tc>
                <w:tcPr/>
                <w:p>
                  <w:pPr>
                    <w:pStyle w:val="Compact"/>
                    <w:jc w:val="left"/>
                    <w:jc w:val="left"/>
                  </w:pPr>
                  <w:r>
                    <w:t xml:space="preserve">0.94</w:t>
                  </w:r>
                </w:p>
              </w:tc>
            </w:tr>
          </w:tbl>
          <w:p>
            <w:pPr>
              <w:jc w:val="left"/>
            </w:pPr>
            <w:pPr>
              <w:jc w:val="start"/>
              <w:spacing w:before="200"/>
              <w:pStyle w:val="ImageCaption"/>
            </w:pPr>
            <w:r>
              <w:t xml:space="preserve">Table AG. Per-site bootstrap consistency: proportion of 1000 resamples in which each site is assigned to its modal (most frequent) block. Consistency near 1 indicates robust assignment; values near 0.5 indicate sites whose group membership flips across resamples.</w:t>
            </w:r>
          </w:p>
          <w:bookmarkEnd w:id="169"/>
        </w:tc>
      </w:tr>
    </w:tbl>
    <w:tbl>
      <w:tblPr>
        <w:tblStyle w:val="Table"/>
        <w:tblW w:type="pct" w:w="5000"/>
        <w:tblLook w:firstRow="0" w:lastRow="0" w:firstColumn="0" w:lastColumn="0" w:noHBand="0" w:noVBand="0" w:val="0000"/>
        <w:jc w:val="start"/>
        <w:tblLayout w:type="fixed"/>
      </w:tblPr>
      <w:tblGrid>
        <w:gridCol w:w="7920"/>
      </w:tblGrid>
      <w:tr>
        <w:tc>
          <w:tcPr/>
          <w:bookmarkStart w:id="173" w:name="fig-bootstrap-consensus"/>
          <w:p>
            <w:pPr>
              <w:pStyle w:val="Compact"/>
              <w:jc w:val="left"/>
            </w:pPr>
            <w:r>
              <w:drawing>
                <wp:inline>
                  <wp:extent cx="5943600" cy="6604000"/>
                  <wp:effectExtent b="0" l="0" r="0" t="0"/>
                  <wp:docPr descr="" title="" id="171" name="Picture"/>
                  <a:graphic>
                    <a:graphicData uri="http://schemas.openxmlformats.org/drawingml/2006/picture">
                      <pic:pic>
                        <pic:nvPicPr>
                          <pic:cNvPr descr="../figures/bootstrap-consensus-plot.png" id="172" name="Picture"/>
                          <pic:cNvPicPr>
                            <a:picLocks noChangeArrowheads="1" noChangeAspect="1"/>
                          </pic:cNvPicPr>
                        </pic:nvPicPr>
                        <pic:blipFill>
                          <a:blip r:embed="rId170"/>
                          <a:stretch>
                            <a:fillRect/>
                          </a:stretch>
                        </pic:blipFill>
                        <pic:spPr bwMode="auto">
                          <a:xfrm>
                            <a:off x="0" y="0"/>
                            <a:ext cx="5943600" cy="6604000"/>
                          </a:xfrm>
                          <a:prstGeom prst="rect">
                            <a:avLst/>
                          </a:prstGeom>
                          <a:noFill/>
                          <a:ln w="9525">
                            <a:noFill/>
                            <a:headEnd/>
                            <a:tailEnd/>
                          </a:ln>
                        </pic:spPr>
                      </pic:pic>
                    </a:graphicData>
                  </a:graphic>
                </wp:inline>
              </w:drawing>
            </w:r>
          </w:p>
          <w:p>
            <w:pPr>
              <w:jc w:val="left"/>
            </w:pPr>
            <w:pPr>
              <w:jc w:val="start"/>
              <w:spacing w:before="200"/>
              <w:pStyle w:val="ImageCaption"/>
            </w:pPr>
            <w:r>
              <w:t xml:space="preserve">Fig H. Consensus co-clustering matrices from 1000 bootstrap resamples of sites within each phase. Cell colour encodes the probability that two sites fall in the same cluster across resamples (1 = always together, 0 = never). Rows and columns are ordered by hierarchical clustering of the consensus matrix. Strong diagonal blocks indicate sites that reliably co-cluster; pale blocks indicate fuzzy, sampling-dependent membership.</w:t>
            </w:r>
          </w:p>
          <w:bookmarkEnd w:id="173"/>
        </w:tc>
      </w:tr>
    </w:tbl>
    <w:bookmarkEnd w:id="174"/>
    <w:bookmarkStart w:id="175" w:name="interpretation-13"/>
    <w:p>
      <w:pPr>
        <w:pStyle w:val="Heading3"/>
      </w:pPr>
      <w:r>
        <w:t xml:space="preserve">Interpretation</w:t>
      </w:r>
    </w:p>
    <w:p>
      <w:pPr>
        <w:pStyle w:val="FirstParagraph"/>
      </w:pPr>
      <w:r>
        <w:rPr>
          <w:bCs/>
          <w:b/>
        </w:rPr>
        <w:t xml:space="preserve">Question: does within-block co-clustering exceed across-block co-clustering under site resampling, and which sites hold stable assignments?</w:t>
      </w:r>
      <w:r>
        <w:t xml:space="preserve"> </w:t>
      </w:r>
      <w:r>
        <w:t xml:space="preserve">Within-block co-clustering exceeds across-block co-clustering in both phases, but in Aur-P2 the difference is small for the restricted-range block. In</w:t>
      </w:r>
      <w:r>
        <w:t xml:space="preserve"> </w:t>
      </w:r>
      <w:r>
        <w:rPr>
          <w:bCs/>
          <w:b/>
        </w:rPr>
        <w:t xml:space="preserve">Aur-P1</w:t>
      </w:r>
      <w:r>
        <w:t xml:space="preserve">, mean within-block co-clustering is 0.75 for the restricted-range block and 0.97 for the broader-range block, against 0.2 across the two blocks. In</w:t>
      </w:r>
      <w:r>
        <w:t xml:space="preserve"> </w:t>
      </w:r>
      <w:r>
        <w:rPr>
          <w:bCs/>
          <w:b/>
        </w:rPr>
        <w:t xml:space="preserve">Aur-P2</w:t>
      </w:r>
      <w:r>
        <w:t xml:space="preserve">, the values are 0.49 within the restricted block and 0.92 within the broader block, against 0.4 across the blocks. Thus the restricted-range sites of Aur-P2 cluster with each other only slightly more often than with broad-range sites.</w:t>
      </w:r>
    </w:p>
    <w:p>
      <w:pPr>
        <w:pStyle w:val="BodyText"/>
      </w:pPr>
      <w:r>
        <w:rPr>
          <w:bCs/>
          <w:b/>
        </w:rPr>
        <w:t xml:space="preserve">Per-site stability.</w:t>
      </w:r>
      <w:r>
        <w:t xml:space="preserve"> </w:t>
      </w:r>
      <w:r>
        <w:t xml:space="preserve">The site-level consistency values (</w:t>
      </w:r>
      <w:hyperlink w:anchor="tbl-bootstrap-sites">
        <w:r>
          <w:rPr>
            <w:rStyle w:val="Hyperlink"/>
          </w:rPr>
          <w:t xml:space="preserve">Table AG</w:t>
        </w:r>
      </w:hyperlink>
      <w:r>
        <w:t xml:space="preserve">) show that the strength of the two-group structure is not uniform across sites. Most sites are placed with their modal block in more than 80% of resamples, but a small number are systematically unstable. The least stable sites are the small, low-richness assemblages whose assignment flips across resamples; per-site consistency values in</w:t>
      </w:r>
      <w:r>
        <w:t xml:space="preserve"> </w:t>
      </w:r>
      <w:hyperlink w:anchor="tbl-bootstrap-sites">
        <w:r>
          <w:rPr>
            <w:rStyle w:val="Hyperlink"/>
          </w:rPr>
          <w:t xml:space="preserve">Table AG</w:t>
        </w:r>
      </w:hyperlink>
      <w:r>
        <w:t xml:space="preserve"> </w:t>
      </w:r>
      <w:r>
        <w:t xml:space="preserve">identify the sites whose block assignment should be read as provisional in the main text. For the reader, the consensus matrices in</w:t>
      </w:r>
      <w:r>
        <w:t xml:space="preserve"> </w:t>
      </w:r>
      <w:hyperlink w:anchor="fig-bootstrap-consensus">
        <w:r>
          <w:rPr>
            <w:rStyle w:val="Hyperlink"/>
          </w:rPr>
          <w:t xml:space="preserve">Fig H</w:t>
        </w:r>
      </w:hyperlink>
      <w:r>
        <w:t xml:space="preserve"> </w:t>
      </w:r>
      <w:r>
        <w:t xml:space="preserve">provide a direct visual measure of where the two-block structure is tight (dark blocks) and where it dissolves (pale blocks).</w:t>
      </w:r>
    </w:p>
    <w:p>
      <w:pPr>
        <w:pStyle w:val="BodyText"/>
      </w:pPr>
      <w:r>
        <w:rPr>
          <w:bCs/>
          <w:b/>
        </w:rPr>
        <w:t xml:space="preserve">Implication for the main text.</w:t>
      </w:r>
      <w:r>
        <w:t xml:space="preserve"> </w:t>
      </w:r>
      <w:r>
        <w:t xml:space="preserve">The restricted/broad labels are stable when sites are subsampled, most clearly in Aur-P1. This stability does not show that two discrete groups exist, because a continuous richness gradient that is divided at one point also gives stable clusters. The null tests in</w:t>
      </w:r>
      <w:r>
        <w:t xml:space="preserve"> </w:t>
      </w:r>
      <w:r>
        <w:t xml:space="preserve">Section S1.9.4</w:t>
      </w:r>
      <w:r>
        <w:t xml:space="preserve"> </w:t>
      </w:r>
      <w:r>
        <w:t xml:space="preserve">and</w:t>
      </w:r>
      <w:r>
        <w:t xml:space="preserve"> </w:t>
      </w:r>
      <w:r>
        <w:t xml:space="preserve">Section S1.9.5</w:t>
      </w:r>
      <w:r>
        <w:t xml:space="preserve"> </w:t>
      </w:r>
      <w:r>
        <w:t xml:space="preserve">show that the pattern does not exceed what site richness and sign-type frequencies alone produce. Some sites have ambiguous membership; per-site consistency values are in</w:t>
      </w:r>
      <w:r>
        <w:t xml:space="preserve"> </w:t>
      </w:r>
      <w:hyperlink w:anchor="tbl-bootstrap-sites">
        <w:r>
          <w:rPr>
            <w:rStyle w:val="Hyperlink"/>
          </w:rPr>
          <w:t xml:space="preserve">Table AG</w:t>
        </w:r>
      </w:hyperlink>
      <w:r>
        <w:t xml:space="preserve">.</w:t>
      </w:r>
    </w:p>
    <w:bookmarkEnd w:id="175"/>
    <w:bookmarkEnd w:id="176"/>
    <w:bookmarkStart w:id="185" w:name="sec-s9-3"/>
    <w:p>
      <w:pPr>
        <w:pStyle w:val="Heading2"/>
      </w:pPr>
      <w:r>
        <w:t xml:space="preserve">S1.9.3 Stochastic Block Models</w:t>
      </w:r>
    </w:p>
    <w:bookmarkStart w:id="183" w:name="rationale-15"/>
    <w:p>
      <w:pPr>
        <w:pStyle w:val="Heading3"/>
      </w:pPr>
      <w:r>
        <w:t xml:space="preserve">Rationale</w:t>
      </w:r>
    </w:p>
    <w:p>
      <w:pPr>
        <w:pStyle w:val="FirstParagraph"/>
      </w:pPr>
      <w:r>
        <w:t xml:space="preserve">The bootstrap treats block structure as a resampling artefact of an observed partition. The stochastic block model (SBM) takes a different route: it treats block membership as an unobserved latent variable and asks which</w:t>
      </w:r>
      <w:r>
        <w:t xml:space="preserve"> </w:t>
      </w:r>
      <w:r>
        <w:rPr>
          <w:iCs/>
          <w:i/>
        </w:rPr>
        <w:t xml:space="preserve">generative</w:t>
      </w:r>
      <w:r>
        <w:t xml:space="preserve"> </w:t>
      </w:r>
      <w:r>
        <w:t xml:space="preserve">model of network structure best explains the observed pattern of sign sharing. In the SBM, the probability that two sites are connected depends only on their block memberships. We fit three variants of the symmetric stochastic block model (</w:t>
      </w:r>
      <w:r>
        <w:rPr>
          <w:rStyle w:val="VerbatimChar"/>
        </w:rPr>
        <w:t xml:space="preserve">SBM_sym</w:t>
      </w:r>
      <w:r>
        <w:t xml:space="preserve">) with the</w:t>
      </w:r>
      <w:r>
        <w:t xml:space="preserve"> </w:t>
      </w:r>
      <w:r>
        <w:rPr>
          <w:rStyle w:val="VerbatimChar"/>
        </w:rPr>
        <w:t xml:space="preserve">blockmodels</w:t>
      </w:r>
      <w:r>
        <w:t xml:space="preserve"> </w:t>
      </w:r>
      <w:r>
        <w:t xml:space="preserve">package: (1) a</w:t>
      </w:r>
      <w:r>
        <w:t xml:space="preserve"> </w:t>
      </w:r>
      <w:r>
        <w:rPr>
          <w:bCs/>
          <w:b/>
        </w:rPr>
        <w:t xml:space="preserve">Bernoulli SBM</w:t>
      </w:r>
      <w:r>
        <w:t xml:space="preserve"> </w:t>
      </w:r>
      <w:r>
        <w:t xml:space="preserve">on a binarized adjacency matrix where an edge exists if Jaccard similarity ≥ 0.2, (2) a</w:t>
      </w:r>
      <w:r>
        <w:t xml:space="preserve"> </w:t>
      </w:r>
      <w:r>
        <w:rPr>
          <w:bCs/>
          <w:b/>
        </w:rPr>
        <w:t xml:space="preserve">Gaussian SBM</w:t>
      </w:r>
      <w:r>
        <w:t xml:space="preserve"> </w:t>
      </w:r>
      <w:r>
        <w:t xml:space="preserve">on the unthresholded weighted adjacency matrix (Jaccard similarity, that is, 1 − Jaccard dissimilarity, with values in [0, 1]), and (3) a</w:t>
      </w:r>
      <w:r>
        <w:t xml:space="preserve"> </w:t>
      </w:r>
      <w:r>
        <w:rPr>
          <w:bCs/>
          <w:b/>
        </w:rPr>
        <w:t xml:space="preserve">Poisson SBM</w:t>
      </w:r>
      <w:r>
        <w:t xml:space="preserve"> </w:t>
      </w:r>
      <w:r>
        <w:t xml:space="preserve">on a count adjacency matrix where each edge weight is the number of shared sign types between two sites; the Poisson and negative-binomial families are designed for count data such as shared-repertoire overlap, and the Poisson variant lets us assess whether the intensity of shared sign types, rather than mere presence/absence of an edge, identifies multi-block structure. Models select the number of blocks via the Integrated Classification Likelihood (ICL; a penalised likelihood that trades fit against model complexity) and return posterior membership probabilities for every site. Because ICL is a model-selection criterion, the SBM provides a statistical answer to</w:t>
      </w:r>
      <w:r>
        <w:t xml:space="preserve"> </w:t>
      </w:r>
      <w:r>
        <w:t xml:space="preserve">“</w:t>
      </w:r>
      <w:r>
        <w:t xml:space="preserve">how many groups are there?</w:t>
      </w:r>
      <w:r>
        <w:t xml:space="preserve">”</w:t>
      </w:r>
      <w:r>
        <w:t xml:space="preserve"> </w:t>
      </w:r>
      <w:r>
        <w:t xml:space="preserve">rather than the visual answer provided by seriation.</w:t>
      </w:r>
    </w:p>
    <w:p>
      <w:pPr>
        <w:pStyle w:val="BodyText"/>
      </w:pPr>
      <w:r>
        <w:rPr>
          <w:bCs/>
          <w:b/>
        </w:rPr>
        <w:t xml:space="preserve">Question: how many blocks does a generative model support in each phase, and how do posterior memberships qualify the manual assignments?</w:t>
      </w:r>
    </w:p>
    <w:tbl>
      <w:tblPr>
        <w:tblStyle w:val="Table"/>
        <w:tblW w:type="pct" w:w="5000"/>
        <w:tblLook w:firstRow="0" w:lastRow="0" w:firstColumn="0" w:lastColumn="0" w:noHBand="0" w:noVBand="0" w:val="0000"/>
        <w:jc w:val="start"/>
        <w:tblLayout w:type="fixed"/>
      </w:tblPr>
      <w:tblGrid>
        <w:gridCol w:w="7920"/>
      </w:tblGrid>
      <w:tr>
        <w:tc>
          <w:tcPr/>
          <w:bookmarkStart w:id="177" w:name="tbl-sbm-icl"/>
          <w:tbl>
            <w:tblPr>
              <w:tblStyle w:val="Table"/>
              <w:tblW w:type="pct" w:w="5000"/>
              <w:tblLook w:firstRow="1" w:lastRow="0" w:firstColumn="0" w:lastColumn="0" w:noHBand="0" w:noVBand="0" w:val="0020"/>
              <w:jc w:val="start"/>
              <w:tblLayout w:type="fixed"/>
            </w:tblPr>
            <w:tblGrid>
              <w:gridCol w:w="1108"/>
              <w:gridCol w:w="1267"/>
              <w:gridCol w:w="792"/>
              <w:gridCol w:w="792"/>
              <w:gridCol w:w="792"/>
              <w:gridCol w:w="792"/>
              <w:gridCol w:w="792"/>
              <w:gridCol w:w="1584"/>
            </w:tblGrid>
            <w:tr>
              <w:trPr>
                <w:tblHeader w:val="true"/>
              </w:trPr>
              <w:tc>
                <w:tcPr/>
                <w:p>
                  <w:pPr>
                    <w:pStyle w:val="Compact"/>
                    <w:jc w:val="left"/>
                    <w:jc w:val="left"/>
                  </w:pPr>
                  <w:r>
                    <w:t xml:space="preserve">Phase</w:t>
                  </w:r>
                </w:p>
              </w:tc>
              <w:tc>
                <w:tcPr/>
                <w:p>
                  <w:pPr>
                    <w:pStyle w:val="Compact"/>
                    <w:jc w:val="left"/>
                    <w:jc w:val="left"/>
                  </w:pPr>
                  <w:r>
                    <w:t xml:space="preserve">Model</w:t>
                  </w:r>
                </w:p>
              </w:tc>
              <w:tc>
                <w:tcPr/>
                <w:p>
                  <w:pPr>
                    <w:pStyle w:val="Compact"/>
                    <w:jc w:val="left"/>
                    <w:jc w:val="left"/>
                  </w:pPr>
                  <w:r>
                    <w:t xml:space="preserve">K = 1</w:t>
                  </w:r>
                </w:p>
              </w:tc>
              <w:tc>
                <w:tcPr/>
                <w:p>
                  <w:pPr>
                    <w:pStyle w:val="Compact"/>
                    <w:jc w:val="left"/>
                    <w:jc w:val="left"/>
                  </w:pPr>
                  <w:r>
                    <w:t xml:space="preserve">K = 2</w:t>
                  </w:r>
                </w:p>
              </w:tc>
              <w:tc>
                <w:tcPr/>
                <w:p>
                  <w:pPr>
                    <w:pStyle w:val="Compact"/>
                    <w:jc w:val="left"/>
                    <w:jc w:val="left"/>
                  </w:pPr>
                  <w:r>
                    <w:t xml:space="preserve">K = 3</w:t>
                  </w:r>
                </w:p>
              </w:tc>
              <w:tc>
                <w:tcPr/>
                <w:p>
                  <w:pPr>
                    <w:pStyle w:val="Compact"/>
                    <w:jc w:val="left"/>
                    <w:jc w:val="left"/>
                  </w:pPr>
                  <w:r>
                    <w:t xml:space="preserve">K = 4</w:t>
                  </w:r>
                </w:p>
              </w:tc>
              <w:tc>
                <w:tcPr/>
                <w:p>
                  <w:pPr>
                    <w:pStyle w:val="Compact"/>
                    <w:jc w:val="left"/>
                    <w:jc w:val="left"/>
                  </w:pPr>
                  <w:r>
                    <w:t xml:space="preserve">K = 5</w:t>
                  </w:r>
                </w:p>
              </w:tc>
              <w:tc>
                <w:tcPr/>
                <w:p>
                  <w:pPr>
                    <w:pStyle w:val="Compact"/>
                    <w:jc w:val="left"/>
                    <w:jc w:val="left"/>
                  </w:pPr>
                  <w:r>
                    <w:t xml:space="preserve">Best K</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-130.1</w:t>
                  </w:r>
                </w:p>
              </w:tc>
              <w:tc>
                <w:tcPr/>
                <w:p>
                  <w:pPr>
                    <w:pStyle w:val="Compact"/>
                    <w:jc w:val="left"/>
                    <w:jc w:val="left"/>
                  </w:pPr>
                  <w:r>
                    <w:t xml:space="preserve">-115.7</w:t>
                  </w:r>
                </w:p>
              </w:tc>
              <w:tc>
                <w:tcPr/>
                <w:p>
                  <w:pPr>
                    <w:pStyle w:val="Compact"/>
                    <w:jc w:val="left"/>
                    <w:jc w:val="left"/>
                  </w:pPr>
                  <w:r>
                    <w:t xml:space="preserve">-110.1</w:t>
                  </w:r>
                </w:p>
              </w:tc>
              <w:tc>
                <w:tcPr/>
                <w:p>
                  <w:pPr>
                    <w:pStyle w:val="Compact"/>
                    <w:jc w:val="left"/>
                    <w:jc w:val="left"/>
                  </w:pPr>
                  <w:r>
                    <w:t xml:space="preserve">-114.9</w:t>
                  </w:r>
                </w:p>
              </w:tc>
              <w:tc>
                <w:tcPr/>
                <w:p>
                  <w:pPr>
                    <w:pStyle w:val="Compact"/>
                    <w:jc w:val="left"/>
                    <w:jc w:val="left"/>
                  </w:pPr>
                  <w:r>
                    <w:t xml:space="preserve">-120.0</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8.2</w:t>
                  </w:r>
                </w:p>
              </w:tc>
              <w:tc>
                <w:tcPr/>
                <w:p>
                  <w:pPr>
                    <w:pStyle w:val="Compact"/>
                    <w:jc w:val="left"/>
                    <w:jc w:val="left"/>
                  </w:pPr>
                  <w:r>
                    <w:t xml:space="preserve">47.2</w:t>
                  </w:r>
                </w:p>
              </w:tc>
              <w:tc>
                <w:tcPr/>
                <w:p>
                  <w:pPr>
                    <w:pStyle w:val="Compact"/>
                    <w:jc w:val="left"/>
                    <w:jc w:val="left"/>
                  </w:pPr>
                  <w:r>
                    <w:t xml:space="preserve">59.8</w:t>
                  </w:r>
                </w:p>
              </w:tc>
              <w:tc>
                <w:tcPr/>
                <w:p>
                  <w:pPr>
                    <w:pStyle w:val="Compact"/>
                    <w:jc w:val="left"/>
                    <w:jc w:val="left"/>
                  </w:pPr>
                  <w:r>
                    <w:t xml:space="preserve">73.5</w:t>
                  </w:r>
                </w:p>
              </w:tc>
              <w:tc>
                <w:tcPr/>
                <w:p>
                  <w:pPr>
                    <w:pStyle w:val="Compact"/>
                    <w:jc w:val="left"/>
                    <w:jc w:val="left"/>
                  </w:pPr>
                  <w:r>
                    <w:t xml:space="preserve">70.1</w:t>
                  </w:r>
                </w:p>
              </w:tc>
              <w:tc>
                <w:tcPr/>
                <w:p>
                  <w:pPr>
                    <w:pStyle w:val="Compact"/>
                    <w:jc w:val="left"/>
                    <w:jc w:val="left"/>
                  </w:pPr>
                  <w:r>
                    <w:t xml:space="preserve">4</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-326.0</w:t>
                  </w:r>
                </w:p>
              </w:tc>
              <w:tc>
                <w:tcPr/>
                <w:p>
                  <w:pPr>
                    <w:pStyle w:val="Compact"/>
                    <w:jc w:val="left"/>
                    <w:jc w:val="left"/>
                  </w:pPr>
                  <w:r>
                    <w:t xml:space="preserve">-265.9</w:t>
                  </w:r>
                </w:p>
              </w:tc>
              <w:tc>
                <w:tcPr/>
                <w:p>
                  <w:pPr>
                    <w:pStyle w:val="Compact"/>
                    <w:jc w:val="left"/>
                    <w:jc w:val="left"/>
                  </w:pPr>
                  <w:r>
                    <w:t xml:space="preserve">-263.3</w:t>
                  </w:r>
                </w:p>
              </w:tc>
              <w:tc>
                <w:tcPr/>
                <w:p>
                  <w:pPr>
                    <w:pStyle w:val="Compact"/>
                    <w:jc w:val="left"/>
                    <w:jc w:val="left"/>
                  </w:pPr>
                  <w:r>
                    <w:t xml:space="preserve">-272.0</w:t>
                  </w:r>
                </w:p>
              </w:tc>
              <w:tc>
                <w:tcPr/>
                <w:p>
                  <w:pPr>
                    <w:pStyle w:val="Compact"/>
                    <w:jc w:val="left"/>
                    <w:jc w:val="left"/>
                  </w:pPr>
                  <w:r>
                    <w:t xml:space="preserve">-286.0</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-26.7</w:t>
                  </w:r>
                </w:p>
              </w:tc>
              <w:tc>
                <w:tcPr/>
                <w:p>
                  <w:pPr>
                    <w:pStyle w:val="Compact"/>
                    <w:jc w:val="left"/>
                    <w:jc w:val="left"/>
                  </w:pPr>
                  <w:r>
                    <w:t xml:space="preserve">-30.2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-2.2</w:t>
                  </w:r>
                </w:p>
              </w:tc>
              <w:tc>
                <w:tcPr/>
                <w:p>
                  <w:pPr>
                    <w:pStyle w:val="Compact"/>
                    <w:jc w:val="left"/>
                    <w:jc w:val="left"/>
                  </w:pPr>
                  <w:r>
                    <w:t xml:space="preserve">-1.3</w:t>
                  </w:r>
                </w:p>
              </w:tc>
              <w:tc>
                <w:tcPr/>
                <w:p>
                  <w:pPr>
                    <w:pStyle w:val="Compact"/>
                    <w:jc w:val="left"/>
                    <w:jc w:val="left"/>
                  </w:pPr>
                  <w:r>
                    <w:t xml:space="preserve">-9.9</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-49.0</w:t>
                  </w:r>
                </w:p>
              </w:tc>
              <w:tc>
                <w:tcPr/>
                <w:p>
                  <w:pPr>
                    <w:pStyle w:val="Compact"/>
                    <w:jc w:val="left"/>
                    <w:jc w:val="left"/>
                  </w:pPr>
                  <w:r>
                    <w:t xml:space="preserve">-53.2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w:t>
                  </w:r>
                </w:p>
              </w:tc>
            </w:tr>
          </w:tbl>
          <w:p>
            <w:pPr>
              <w:jc w:val="left"/>
            </w:pPr>
            <w:pPr>
              <w:jc w:val="start"/>
              <w:spacing w:before="200"/>
              <w:pStyle w:val="ImageCaption"/>
            </w:pPr>
            <w:r>
              <w:t xml:space="preserve">Table AH. Integrated Classification Likelihood (ICL) for stochastic block models with K = 1 to 5 blocks, by phase and emission model. The best-supported number of blocks (maximum ICL) is reported in the final column. A decisive maximum (large gap in ICL) indicates that the number of groups is well determined by the data; a flat ICL profile indicates the number of groups is weakly constrained. Higher-K fits fail for the small Aur-P2 sample (NA). Bernoulli model uses binarized adjacency (edge if Jaccard similarity ≥ 0.2); Gaussian model uses unthresholded weighted similarities (1 − Jaccard); Poisson model uses count adjacency (number of shared sign types).</w:t>
            </w:r>
          </w:p>
          <w:bookmarkEnd w:id="177"/>
        </w:tc>
      </w:tr>
    </w:tbl>
    <w:tbl>
      <w:tblPr>
        <w:tblStyle w:val="Table"/>
        <w:tblW w:type="pct" w:w="5000"/>
        <w:tblLook w:firstRow="0" w:lastRow="0" w:firstColumn="0" w:lastColumn="0" w:noHBand="0" w:noVBand="0" w:val="0000"/>
        <w:jc w:val="start"/>
        <w:tblLayout w:type="fixed"/>
      </w:tblPr>
      <w:tblGrid>
        <w:gridCol w:w="7920"/>
      </w:tblGrid>
      <w:tr>
        <w:tc>
          <w:tcPr/>
          <w:bookmarkStart w:id="181" w:name="fig-sbm-icl"/>
          <w:p>
            <w:pPr>
              <w:pStyle w:val="Compact"/>
              <w:jc w:val="left"/>
            </w:pPr>
            <w:r>
              <w:drawing>
                <wp:inline>
                  <wp:extent cx="5943600" cy="2971800"/>
                  <wp:effectExtent b="0" l="0" r="0" t="0"/>
                  <wp:docPr descr="" title="" id="179" name="Picture"/>
                  <a:graphic>
                    <a:graphicData uri="http://schemas.openxmlformats.org/drawingml/2006/picture">
                      <pic:pic>
                        <pic:nvPicPr>
                          <pic:cNvPr descr="S1_File_files/figure-docx/fig-sbm-icl-1.png" id="180" name="Picture"/>
                          <pic:cNvPicPr>
                            <a:picLocks noChangeArrowheads="1" noChangeAspect="1"/>
                          </pic:cNvPicPr>
                        </pic:nvPicPr>
                        <pic:blipFill>
                          <a:blip r:embed="rId178"/>
                          <a:stretch>
                            <a:fillRect/>
                          </a:stretch>
                        </pic:blipFill>
                        <pic:spPr bwMode="auto">
                          <a:xfrm>
                            <a:off x="0" y="0"/>
                            <a:ext cx="5943600" cy="2971800"/>
                          </a:xfrm>
                          <a:prstGeom prst="rect">
                            <a:avLst/>
                          </a:prstGeom>
                          <a:noFill/>
                          <a:ln w="9525">
                            <a:noFill/>
                            <a:headEnd/>
                            <a:tailEnd/>
                          </a:ln>
                        </pic:spPr>
                      </pic:pic>
                    </a:graphicData>
                  </a:graphic>
                </wp:inline>
              </w:drawing>
            </w:r>
          </w:p>
          <w:p>
            <w:pPr>
              <w:jc w:val="left"/>
            </w:pPr>
            <w:pPr>
              <w:jc w:val="start"/>
              <w:spacing w:before="200"/>
              <w:pStyle w:val="ImageCaption"/>
            </w:pPr>
            <w:r>
              <w:t xml:space="preserve">Fig I. Integrated Classification Likelihood (ICL) by number of blocks (K) for Bernoulli, Gaussian, and Poisson stochastic block models, by phase. Higher ICL marks stronger support. Large dots mark the best-supported K within each curve. Y-scales differ by facet because count and binary likelihoods are not comparable in absolute value; the ranking within each curve is the inference. Bernoulli uses binarized adjacency (edge if Jaccard similarity ≥ 0.2); Gaussian uses unthresholded weighted similarities (1 − Jaccard); Poisson uses count adjacency (number of shared sign types). Curves stop early where higher-K fits fail (small Aur-P2 sample).</w:t>
            </w:r>
          </w:p>
          <w:bookmarkEnd w:id="181"/>
        </w:tc>
      </w:tr>
    </w:tbl>
    <w:tbl>
      <w:tblPr>
        <w:tblStyle w:val="Table"/>
        <w:tblW w:type="pct" w:w="5000"/>
        <w:tblLook w:firstRow="0" w:lastRow="0" w:firstColumn="0" w:lastColumn="0" w:noHBand="0" w:noVBand="0" w:val="0000"/>
        <w:jc w:val="start"/>
        <w:tblLayout w:type="fixed"/>
      </w:tblPr>
      <w:tblGrid>
        <w:gridCol w:w="7920"/>
      </w:tblGrid>
      <w:tr>
        <w:tc>
          <w:tcPr/>
          <w:bookmarkStart w:id="182" w:name="tbl-sbm-membership"/>
          <w:tbl>
            <w:tblPr>
              <w:tblStyle w:val="Table"/>
              <w:tblW w:type="pct" w:w="5000"/>
              <w:tblLook w:firstRow="1" w:lastRow="0" w:firstColumn="0" w:lastColumn="0" w:noHBand="0" w:noVBand="0" w:val="0020"/>
              <w:jc w:val="start"/>
              <w:tblLayout w:type="fixed"/>
            </w:tblPr>
            <w:tblGrid>
              <w:gridCol w:w="792"/>
              <w:gridCol w:w="950"/>
              <w:gridCol w:w="2376"/>
              <w:gridCol w:w="950"/>
              <w:gridCol w:w="712"/>
              <w:gridCol w:w="712"/>
              <w:gridCol w:w="712"/>
              <w:gridCol w:w="712"/>
            </w:tblGrid>
            <w:tr>
              <w:trPr>
                <w:tblHeader w:val="true"/>
              </w:trPr>
              <w:tc>
                <w:tcPr/>
                <w:p>
                  <w:pPr>
                    <w:pStyle w:val="Compact"/>
                    <w:jc w:val="left"/>
                    <w:jc w:val="left"/>
                  </w:pPr>
                  <w:r>
                    <w:t xml:space="preserve">Phase</w:t>
                  </w:r>
                </w:p>
              </w:tc>
              <w:tc>
                <w:tcPr/>
                <w:p>
                  <w:pPr>
                    <w:pStyle w:val="Compact"/>
                    <w:jc w:val="left"/>
                    <w:jc w:val="left"/>
                  </w:pPr>
                  <w:r>
                    <w:t xml:space="preserve">Model</w:t>
                  </w:r>
                </w:p>
              </w:tc>
              <w:tc>
                <w:tcPr/>
                <w:p>
                  <w:pPr>
                    <w:pStyle w:val="Compact"/>
                    <w:jc w:val="left"/>
                    <w:jc w:val="left"/>
                  </w:pPr>
                  <w:r>
                    <w:t xml:space="preserve">Site</w:t>
                  </w:r>
                </w:p>
              </w:tc>
              <w:tc>
                <w:tcPr/>
                <w:p>
                  <w:pPr>
                    <w:pStyle w:val="Compact"/>
                    <w:jc w:val="left"/>
                    <w:jc w:val="left"/>
                  </w:pPr>
                  <w:r>
                    <w:t xml:space="preserve">Modal block</w:t>
                  </w:r>
                </w:p>
              </w:tc>
              <w:tc>
                <w:tcPr/>
                <w:p>
                  <w:pPr>
                    <w:pStyle w:val="Compact"/>
                    <w:jc w:val="left"/>
                    <w:jc w:val="left"/>
                  </w:pPr>
                  <w:r>
                    <w:t xml:space="preserve">P(B1)</w:t>
                  </w:r>
                </w:p>
              </w:tc>
              <w:tc>
                <w:tcPr/>
                <w:p>
                  <w:pPr>
                    <w:pStyle w:val="Compact"/>
                    <w:jc w:val="left"/>
                    <w:jc w:val="left"/>
                  </w:pPr>
                  <w:r>
                    <w:t xml:space="preserve">P(B2)</w:t>
                  </w:r>
                </w:p>
              </w:tc>
              <w:tc>
                <w:tcPr/>
                <w:p>
                  <w:pPr>
                    <w:pStyle w:val="Compact"/>
                    <w:jc w:val="left"/>
                    <w:jc w:val="left"/>
                  </w:pPr>
                  <w:r>
                    <w:t xml:space="preserve">P(B3)</w:t>
                  </w:r>
                </w:p>
              </w:tc>
              <w:tc>
                <w:tcPr/>
                <w:p>
                  <w:pPr>
                    <w:pStyle w:val="Compact"/>
                    <w:jc w:val="left"/>
                    <w:jc w:val="left"/>
                  </w:pPr>
                  <w:r>
                    <w:t xml:space="preserve">P(B4)</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Abri Pataud</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Blanchard</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Castanet</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Cellier</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Fumane</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Gatzarria</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Geissenklösterle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Grotte de la Verpillière I</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Grotte du Renne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Grottes de Fonds-de-Forêt</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Hohlenstein-Stadel</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La Ferrassie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Labeko Koba</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Les Cottés</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Pod Hradem</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Riparo Bombrini</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Solutré</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Trou al’Wesse</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Vogelherd</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Abri Pataud</w:t>
                  </w:r>
                </w:p>
              </w:tc>
              <w:tc>
                <w:tcPr/>
                <w:p>
                  <w:pPr>
                    <w:pStyle w:val="Compact"/>
                    <w:jc w:val="left"/>
                    <w:jc w:val="left"/>
                  </w:pPr>
                  <w:r>
                    <w:t xml:space="preserve">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Blanchard</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Castanet</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Cellier</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Fumane</w:t>
                  </w:r>
                </w:p>
              </w:tc>
              <w:tc>
                <w:tcPr/>
                <w:p>
                  <w:pPr>
                    <w:pStyle w:val="Compact"/>
                    <w:jc w:val="left"/>
                    <w:jc w:val="left"/>
                  </w:pPr>
                  <w:r>
                    <w:t xml:space="preserve">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Gatzarria</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Geissenklösterle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Grotte de la Verpillière I</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Grotte du Renne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Grottes de Fonds-de-Forêt</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Hohlenstein-Stadel</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La Ferrassie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Labeko Koba</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Les Cottés</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Pod Hradem</w:t>
                  </w:r>
                </w:p>
              </w:tc>
              <w:tc>
                <w:tcPr/>
                <w:p>
                  <w:pPr>
                    <w:pStyle w:val="Compact"/>
                    <w:jc w:val="left"/>
                    <w:jc w:val="left"/>
                  </w:pPr>
                  <w:r>
                    <w:t xml:space="preserve">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Riparo Bombrini</w:t>
                  </w:r>
                </w:p>
              </w:tc>
              <w:tc>
                <w:tcPr/>
                <w:p>
                  <w:pPr>
                    <w:pStyle w:val="Compact"/>
                    <w:jc w:val="left"/>
                    <w:jc w:val="left"/>
                  </w:pPr>
                  <w:r>
                    <w:t xml:space="preserve">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Solutré</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Trou al’Wesse</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Vogelherd</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Abri Pataud</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Blanchard</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Castanet</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Cellier</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0.01</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Fumane</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Gatzarria</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Geissenklösterle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Grotte de la Verpillière I</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Grotte du Renne</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Grottes de Fonds-de-Forêt</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Hohlenstein-Stadel</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La Ferrassie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Labeko Koba</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Les Cottés</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Pod Hradem</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Riparo Bombrini</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Solutré</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Trou al’Wesse</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Vogelherd</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Bockstein-Törle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Gargas</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La Viña</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Les Rois</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Mladeč</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Sirgenstein Cave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Trou Magrite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Vindija Cave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Bockstein-Törle</w:t>
                  </w:r>
                </w:p>
              </w:tc>
              <w:tc>
                <w:tcPr/>
                <w:p>
                  <w:pPr>
                    <w:pStyle w:val="Compact"/>
                    <w:jc w:val="left"/>
                    <w:jc w:val="left"/>
                  </w:pPr>
                  <w:r>
                    <w:t xml:space="preserve">2</w:t>
                  </w:r>
                </w:p>
              </w:tc>
              <w:tc>
                <w:tcPr/>
                <w:p>
                  <w:pPr>
                    <w:pStyle w:val="Compact"/>
                    <w:jc w:val="left"/>
                    <w:jc w:val="left"/>
                  </w:pPr>
                  <w:r>
                    <w:t xml:space="preserve">0.01</w:t>
                  </w:r>
                </w:p>
              </w:tc>
              <w:tc>
                <w:tcPr/>
                <w:p>
                  <w:pPr>
                    <w:pStyle w:val="Compact"/>
                    <w:jc w:val="left"/>
                    <w:jc w:val="left"/>
                  </w:pPr>
                  <w:r>
                    <w:t xml:space="preserve">0.99</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Gargas</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0.01</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Hohle Fels</w:t>
                  </w:r>
                </w:p>
              </w:tc>
              <w:tc>
                <w:tcPr/>
                <w:p>
                  <w:pPr>
                    <w:pStyle w:val="Compact"/>
                    <w:jc w:val="left"/>
                    <w:jc w:val="left"/>
                  </w:pPr>
                  <w:r>
                    <w:t xml:space="preserve">2</w:t>
                  </w:r>
                </w:p>
              </w:tc>
              <w:tc>
                <w:tcPr/>
                <w:p>
                  <w:pPr>
                    <w:pStyle w:val="Compact"/>
                    <w:jc w:val="left"/>
                    <w:jc w:val="left"/>
                  </w:pPr>
                  <w:r>
                    <w:t xml:space="preserve">0.01</w:t>
                  </w:r>
                </w:p>
              </w:tc>
              <w:tc>
                <w:tcPr/>
                <w:p>
                  <w:pPr>
                    <w:pStyle w:val="Compact"/>
                    <w:jc w:val="left"/>
                    <w:jc w:val="left"/>
                  </w:pPr>
                  <w:r>
                    <w:t xml:space="preserve">0.99</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La Viña</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0.01</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Les Rois</w:t>
                  </w:r>
                </w:p>
              </w:tc>
              <w:tc>
                <w:tcPr/>
                <w:p>
                  <w:pPr>
                    <w:pStyle w:val="Compact"/>
                    <w:jc w:val="left"/>
                    <w:jc w:val="left"/>
                  </w:pPr>
                  <w:r>
                    <w:t xml:space="preserve">2</w:t>
                  </w:r>
                </w:p>
              </w:tc>
              <w:tc>
                <w:tcPr/>
                <w:p>
                  <w:pPr>
                    <w:pStyle w:val="Compact"/>
                    <w:jc w:val="left"/>
                    <w:jc w:val="left"/>
                  </w:pPr>
                  <w:r>
                    <w:t xml:space="preserve">0.01</w:t>
                  </w:r>
                </w:p>
              </w:tc>
              <w:tc>
                <w:tcPr/>
                <w:p>
                  <w:pPr>
                    <w:pStyle w:val="Compact"/>
                    <w:jc w:val="left"/>
                    <w:jc w:val="left"/>
                  </w:pPr>
                  <w:r>
                    <w:t xml:space="preserve">0.99</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Mladeč</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0.01</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Sirgenstein Cave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0.01</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Trou Magrite</w:t>
                  </w:r>
                </w:p>
              </w:tc>
              <w:tc>
                <w:tcPr/>
                <w:p>
                  <w:pPr>
                    <w:pStyle w:val="Compact"/>
                    <w:jc w:val="left"/>
                    <w:jc w:val="left"/>
                  </w:pPr>
                  <w:r>
                    <w:t xml:space="preserve">2</w:t>
                  </w:r>
                </w:p>
              </w:tc>
              <w:tc>
                <w:tcPr/>
                <w:p>
                  <w:pPr>
                    <w:pStyle w:val="Compact"/>
                    <w:jc w:val="left"/>
                    <w:jc w:val="left"/>
                  </w:pPr>
                  <w:r>
                    <w:t xml:space="preserve">0.01</w:t>
                  </w:r>
                </w:p>
              </w:tc>
              <w:tc>
                <w:tcPr/>
                <w:p>
                  <w:pPr>
                    <w:pStyle w:val="Compact"/>
                    <w:jc w:val="left"/>
                    <w:jc w:val="left"/>
                  </w:pPr>
                  <w:r>
                    <w:t xml:space="preserve">0.99</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Vindija Cave</w:t>
                  </w:r>
                </w:p>
              </w:tc>
              <w:tc>
                <w:tcPr/>
                <w:p>
                  <w:pPr>
                    <w:pStyle w:val="Compact"/>
                    <w:jc w:val="left"/>
                    <w:jc w:val="left"/>
                  </w:pPr>
                  <w:r>
                    <w:t xml:space="preserve">2</w:t>
                  </w:r>
                </w:p>
              </w:tc>
              <w:tc>
                <w:tcPr/>
                <w:p>
                  <w:pPr>
                    <w:pStyle w:val="Compact"/>
                    <w:jc w:val="left"/>
                    <w:jc w:val="left"/>
                  </w:pPr>
                  <w:r>
                    <w:t xml:space="preserve">0.01</w:t>
                  </w:r>
                </w:p>
              </w:tc>
              <w:tc>
                <w:tcPr/>
                <w:p>
                  <w:pPr>
                    <w:pStyle w:val="Compact"/>
                    <w:jc w:val="left"/>
                    <w:jc w:val="left"/>
                  </w:pPr>
                  <w:r>
                    <w:t xml:space="preserve">0.99</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Bockstein-Törle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Gargas</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La Viña</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Les Rois</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Mladeč</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Sirgenstein Cave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Trou Magrite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Vindija Cave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bl>
          <w:p>
            <w:pPr>
              <w:jc w:val="left"/>
            </w:pPr>
            <w:pPr>
              <w:jc w:val="start"/>
              <w:spacing w:before="200"/>
              <w:pStyle w:val="ImageCaption"/>
            </w:pPr>
            <w:r>
              <w:t xml:space="preserve">Table AI. Posterior block-membership probabilities and modal (hard) assignment from the best-fitting stochastic block model for each phase and emission model. Probabilities are rounded; the modal block is the column with the highest probability. Sites with probability spread across blocks (e.g. no entry above 0.7) have ambiguous membership. Bernoulli model uses binarized adjacency (edge if similarity ≥ 0.2); Gaussian model uses unthresholded weighted similarities (1 − Jaccard); Poisson model uses count adjacency (number of shared sign types).</w:t>
            </w:r>
          </w:p>
          <w:bookmarkEnd w:id="182"/>
        </w:tc>
      </w:tr>
    </w:tbl>
    <w:bookmarkEnd w:id="183"/>
    <w:bookmarkStart w:id="184" w:name="interpretation-14"/>
    <w:p>
      <w:pPr>
        <w:pStyle w:val="Heading3"/>
      </w:pPr>
      <w:r>
        <w:t xml:space="preserve">Interpretation</w:t>
      </w:r>
    </w:p>
    <w:p>
      <w:pPr>
        <w:pStyle w:val="FirstParagraph"/>
      </w:pPr>
      <w:r>
        <w:rPr>
          <w:bCs/>
          <w:b/>
        </w:rPr>
        <w:t xml:space="preserve">Question: how many blocks does a generative model support in each phase, and how do posterior memberships qualify the manual assignments?</w:t>
      </w:r>
      <w:r>
        <w:t xml:space="preserve"> </w:t>
      </w:r>
      <w:r>
        <w:t xml:space="preserve">The ICL model-selection results (</w:t>
      </w:r>
      <w:hyperlink w:anchor="tbl-sbm-icl">
        <w:r>
          <w:rPr>
            <w:rStyle w:val="Hyperlink"/>
          </w:rPr>
          <w:t xml:space="preserve">Table AH</w:t>
        </w:r>
      </w:hyperlink>
      <w:r>
        <w:t xml:space="preserve">;</w:t>
      </w:r>
      <w:r>
        <w:t xml:space="preserve"> </w:t>
      </w:r>
      <w:hyperlink w:anchor="fig-sbm-icl">
        <w:r>
          <w:rPr>
            <w:rStyle w:val="Hyperlink"/>
          </w:rPr>
          <w:t xml:space="preserve">Fig I</w:t>
        </w:r>
      </w:hyperlink>
      <w:r>
        <w:t xml:space="preserve">) report the number of blocks best supported by the sign-sharing network in each phase for three model families: a Bernoulli SBM on binarized adjacency (edge if Jaccard similarity ≥ 0.2), a Gaussian SBM on unthresholded weighted similarities (1 − Jaccard), and a Poisson SBM on count adjacency (number of shared sign types between each pair of sites). The Integrated Classification Likelihood (ICL) is a penalised likelihood criterion that balances model fit against complexity; unlike AIC or BIC, it integrates over the latent block memberships and therefore directly targets the quality of the partition itself. A negative-binomial SBM would be the natural next step for count data with overdispersion, but the</w:t>
      </w:r>
      <w:r>
        <w:t xml:space="preserve"> </w:t>
      </w:r>
      <w:r>
        <w:rPr>
          <w:rStyle w:val="VerbatimChar"/>
        </w:rPr>
        <w:t xml:space="preserve">blockmodels</w:t>
      </w:r>
      <w:r>
        <w:t xml:space="preserve"> </w:t>
      </w:r>
      <w:r>
        <w:t xml:space="preserve">package does not currently implement a negative-binomial emission family; we note this limitation.</w:t>
      </w:r>
    </w:p>
    <w:p>
      <w:pPr>
        <w:pStyle w:val="BodyText"/>
      </w:pPr>
      <w:r>
        <w:t xml:space="preserve">In</w:t>
      </w:r>
      <w:r>
        <w:t xml:space="preserve"> </w:t>
      </w:r>
      <w:r>
        <w:rPr>
          <w:bCs/>
          <w:b/>
        </w:rPr>
        <w:t xml:space="preserve">Aur-P1</w:t>
      </w:r>
      <w:r>
        <w:t xml:space="preserve">, the Bernoulli model’s best-supported solution contains 3 blocks (ICL = -110.05), while the one-block solution scores -130.08 and the two-block solution -115.68. The ICL gap between the best and second-best K is 4.84. The Gaussian model selects best K = 4 (ICL = 73.54), with two-block ICL = 47.19 and three-block ICL = 59.76, gap = 3.40. The Poisson model selects best K = 3 (ICL = -263.31), with two-block ICL = -265.95 and three-block ICL = -263.31, gap = 2.64. The three models therefore agree that Aur-P1 contains more than one block (best K = 3, 4, and 3 respectively), while the modest gaps leave the exact block count weakly constrained. The Poisson model’s ICL values sit on a different absolute scale (count-data likelihood), but its ranking agrees with Bernoulli in preferring K = 3 over K = 2.</w:t>
      </w:r>
    </w:p>
    <w:p>
      <w:pPr>
        <w:pStyle w:val="BodyText"/>
      </w:pPr>
      <w:r>
        <w:t xml:space="preserve">In</w:t>
      </w:r>
      <w:r>
        <w:t xml:space="preserve"> </w:t>
      </w:r>
      <w:r>
        <w:rPr>
          <w:bCs/>
          <w:b/>
        </w:rPr>
        <w:t xml:space="preserve">Aur-P2</w:t>
      </w:r>
      <w:r>
        <w:t xml:space="preserve">, Bernoulli and Poisson favour a single block. Bernoulli: one-block -26.69, two-block -30.23, gap 3.54. Gaussian: one-block -2.23, two-block -1.33, gap 0.90. Poisson: one-block -48.98, two-block -53.15, gap 4.17. Only the Gaussian model prefers two blocks in Aur-P2, and it does so by the smallest margin in the set (0.90 ICL points). Higher-K fits fail for the 9-site Aur-P2 sample (</w:t>
      </w:r>
      <w:hyperlink w:anchor="tbl-sbm-icl">
        <w:r>
          <w:rPr>
            <w:rStyle w:val="Hyperlink"/>
          </w:rPr>
          <w:t xml:space="preserve">Table AH</w:t>
        </w:r>
      </w:hyperlink>
      <w:r>
        <w:t xml:space="preserve">, NA entries; truncated curves in</w:t>
      </w:r>
      <w:r>
        <w:t xml:space="preserve"> </w:t>
      </w:r>
      <w:hyperlink w:anchor="fig-sbm-icl">
        <w:r>
          <w:rPr>
            <w:rStyle w:val="Hyperlink"/>
          </w:rPr>
          <w:t xml:space="preserve">Fig I</w:t>
        </w:r>
      </w:hyperlink>
      <w:r>
        <w:t xml:space="preserve">), so the Aur-P2 block inference is indicative rather than conclusive. In Aur-P1, with 20 sites and 75 edges at threshold 0.2, all three emission models select more than one block;</w:t>
      </w:r>
      <w:r>
        <w:t xml:space="preserve"> </w:t>
      </w:r>
      <w:r>
        <w:t xml:space="preserve">Section S1.9.4</w:t>
      </w:r>
      <w:r>
        <w:t xml:space="preserve"> </w:t>
      </w:r>
      <w:r>
        <w:t xml:space="preserve">tests whether this preference exceeds a richness-preserving null.</w:t>
      </w:r>
    </w:p>
    <w:p>
      <w:pPr>
        <w:pStyle w:val="BodyText"/>
      </w:pPr>
      <w:r>
        <w:t xml:space="preserve">The membership table (</w:t>
      </w:r>
      <w:hyperlink w:anchor="tbl-sbm-membership">
        <w:r>
          <w:rPr>
            <w:rStyle w:val="Hyperlink"/>
          </w:rPr>
          <w:t xml:space="preserve">Table AI</w:t>
        </w:r>
      </w:hyperlink>
      <w:r>
        <w:t xml:space="preserve">) gives posterior probabilities that qualify the deterministic group assignments used in the main text. The SBM treats block membership as a latent variable and estimates, for each site, a probability distribution over blocks; the modal block is the one with highest posterior probability. In Aur-P1 the Bernoulli and Gaussian posteriors are decisive (minimum modal posterior 0.990 and 0.985 respectively). Under Bernoulli, the largest block contains only broad-range sites, the second block contains all restricted-range sites except Labeko Koba, and a third block holds Labeko Koba, Les Cottés and Trou al’Wesse. The Gaussian model has the same broad-range block and the same third block, and it divides the other restricted-range sites into two blocks: Gatzarria, Grotte de la Verpillière I, Grottes de Fonds-de-Forêt and Hohlenstein-Stadel; and Abri Pataud, Fumane, Pod Hradem and Riparo Bombrini. The Poisson model places Grotte du Renne in the same block as all the restricted-range sites, places Les Cottés and Trou al’Wesse in a block of their own, and places the other broad-range sites in a third block. In Aur-P2 the Bernoulli and Poisson posteriors are trivially 1.00 because a single block is selected. Only the Gaussian model divides the sites into two blocks: Gargas, La Viña, Mladeč and Sirgenstein Cave; and Bockstein-Törle, Hohle Fels, Les Rois, Trou Magrite and Vindija Cave. Thus in Aur-P1 the SBM separates most broad-range sites from most restricted-range sites, with additional small blocks, and in Aur-P2 it gives no support for the manual split.</w:t>
      </w:r>
    </w:p>
    <w:p>
      <w:pPr>
        <w:pStyle w:val="BodyText"/>
      </w:pPr>
      <w:r>
        <w:t xml:space="preserve">Where the number of blocks matches the seriation’s two-group structure and posterior probabilities are high, the two-group claim would be independently corroborated by a generative model that was never shown the seriation solution. In Aur-P1 this corroboration is partial rather than exact: all three models place most broad-range and most restricted-range sites in different blocks, and they add substructure. The Bernoulli and Gaussian models place Labeko Koba, Les Cottés and Trou al’Wesse in a small separate block, the Gaussian model also divides the remaining restricted-range sites into two blocks, and the Poisson model places Les Cottés and Trou al’Wesse in a block of their own and Grotte du Renne with the restricted-range sites (</w:t>
      </w:r>
      <w:hyperlink w:anchor="tbl-sbm-membership">
        <w:r>
          <w:rPr>
            <w:rStyle w:val="Hyperlink"/>
          </w:rPr>
          <w:t xml:space="preserve">Table AI</w:t>
        </w:r>
      </w:hyperlink>
      <w:r>
        <w:t xml:space="preserve">). This mirrors the Louvain finding of additional communities beyond the binary split. In Aur-P2 the SBM does not recover the two-group partition (Bernoulli K = 1, Poisson K = 1; Gaussian K = 2 by a margin of 0.90 ICL points). This does not imply the Aur-P2 groups are absent; rather, the 9-site sample provides too little information for the ICL criterion to warrant a multi-block model. The manual restricted/broad assignment, defined partly by sign-type</w:t>
      </w:r>
      <w:r>
        <w:t xml:space="preserve"> </w:t>
      </w:r>
      <w:r>
        <w:rPr>
          <w:iCs/>
          <w:i/>
        </w:rPr>
        <w:t xml:space="preserve">richness</w:t>
      </w:r>
      <w:r>
        <w:t xml:space="preserve"> </w:t>
      </w:r>
      <w:r>
        <w:t xml:space="preserve">rather than purely by compositional</w:t>
      </w:r>
      <w:r>
        <w:t xml:space="preserve"> </w:t>
      </w:r>
      <w:r>
        <w:rPr>
          <w:iCs/>
          <w:i/>
        </w:rPr>
        <w:t xml:space="preserve">similarity</w:t>
      </w:r>
      <w:r>
        <w:t xml:space="preserve">, captures a real contrast (rich vs. poor sign repertoires) that the SBM resolves into blocks only where sampling supports it. The Poisson SBM confirms the Aur-P1 multi-block result for the count-based representation of shared sign types, so this result does not depend on how the adjacency is encoded, but</w:t>
      </w:r>
      <w:r>
        <w:t xml:space="preserve"> </w:t>
      </w:r>
      <w:r>
        <w:t xml:space="preserve">Section S1.9.4</w:t>
      </w:r>
      <w:r>
        <w:t xml:space="preserve"> </w:t>
      </w:r>
      <w:r>
        <w:t xml:space="preserve">shows that it does not exceed the Curveball null.</w:t>
      </w:r>
    </w:p>
    <w:p>
      <w:pPr>
        <w:pStyle w:val="BodyText"/>
      </w:pPr>
      <w:r>
        <w:t xml:space="preserve">The SBM results must be interpreted alongside the bootstrap consensus (</w:t>
      </w:r>
      <w:r>
        <w:t xml:space="preserve">Section S1.9.2</w:t>
      </w:r>
      <w:r>
        <w:t xml:space="preserve">) and Louvain community detection (</w:t>
      </w:r>
      <w:r>
        <w:t xml:space="preserve">Section S1.6.2</w:t>
      </w:r>
      <w:r>
        <w:t xml:space="preserve">), as each method answers a different question. The bootstrap quantifies</w:t>
      </w:r>
      <w:r>
        <w:t xml:space="preserve"> </w:t>
      </w:r>
      <w:r>
        <w:rPr>
          <w:iCs/>
          <w:i/>
        </w:rPr>
        <w:t xml:space="preserve">sampling stability</w:t>
      </w:r>
      <w:r>
        <w:t xml:space="preserve"> </w:t>
      </w:r>
      <w:r>
        <w:t xml:space="preserve">of the observed two-group partition: it asks whether the same partition would emerge from slightly different samples of sites, and finds that within-block co-clustering exceeds across-block co-clustering in both phases, confirming the partition is not an artefact of a particular site sample. Louvain community detection (</w:t>
      </w:r>
      <w:r>
        <w:t xml:space="preserve">Section S1.6.2</w:t>
      </w:r>
      <w:r>
        <w:t xml:space="preserve">) is a descriptive modularity-optimisation algorithm that partitions the observed network without a generative model; it identifies 4 communities in Aur-P1 at threshold 0.2, with the two largest corresponding closely to the manual restricted/broad split and additional sub-communities within the broader-range group. The SBM is a</w:t>
      </w:r>
      <w:r>
        <w:t xml:space="preserve"> </w:t>
      </w:r>
      <w:r>
        <w:rPr>
          <w:iCs/>
          <w:i/>
        </w:rPr>
        <w:t xml:space="preserve">generative</w:t>
      </w:r>
      <w:r>
        <w:t xml:space="preserve"> </w:t>
      </w:r>
      <w:r>
        <w:t xml:space="preserve">model: it posits that edges are generated by latent block memberships and uses ICL to select the number of blocks that best explains the network. The three methods agree in Aur-P1 and diverge in Aur-P2.</w:t>
      </w:r>
    </w:p>
    <w:p>
      <w:pPr>
        <w:pStyle w:val="BodyText"/>
      </w:pPr>
      <w:r>
        <w:rPr>
          <w:bCs/>
          <w:b/>
        </w:rPr>
        <w:t xml:space="preserve">Implication for the main text.</w:t>
      </w:r>
      <w:r>
        <w:t xml:space="preserve"> </w:t>
      </w:r>
      <w:r>
        <w:t xml:space="preserve">In Aur-P1, all three emission models place most broad-range and most restricted-range sites in different blocks, and the Bernoulli and Gaussian models also isolate Labeko Koba, Les Cottés and Trou al’Wesse. In Aur-P2, the Bernoulli and Poisson models select a single block. The null test in</w:t>
      </w:r>
      <w:r>
        <w:t xml:space="preserve"> </w:t>
      </w:r>
      <w:r>
        <w:t xml:space="preserve">Section S1.9.4</w:t>
      </w:r>
      <w:r>
        <w:t xml:space="preserve"> </w:t>
      </w:r>
      <w:r>
        <w:t xml:space="preserve">shows that none of these multi-block preferences exceeds what site richness and sign-type frequencies alone produce. The restricted/broad division is therefore best read as the dominant axis of variation in repertoire size, not as evidence that a generative model supports two discrete groups.</w:t>
      </w:r>
    </w:p>
    <w:bookmarkEnd w:id="184"/>
    <w:bookmarkEnd w:id="185"/>
    <w:bookmarkStart w:id="193" w:name="sec-s9-4"/>
    <w:p>
      <w:pPr>
        <w:pStyle w:val="Heading2"/>
      </w:pPr>
      <w:r>
        <w:t xml:space="preserve">S1.9.4 SBM Block Recovery Null Test</w:t>
      </w:r>
    </w:p>
    <w:bookmarkStart w:id="191" w:name="rationale-16"/>
    <w:p>
      <w:pPr>
        <w:pStyle w:val="Heading3"/>
      </w:pPr>
      <w:r>
        <w:t xml:space="preserve">Rationale</w:t>
      </w:r>
    </w:p>
    <w:p>
      <w:pPr>
        <w:pStyle w:val="FirstParagraph"/>
      </w:pPr>
      <w:r>
        <w:t xml:space="preserve">The SBM analysis in</w:t>
      </w:r>
      <w:r>
        <w:t xml:space="preserve"> </w:t>
      </w:r>
      <w:r>
        <w:t xml:space="preserve">Section S1.9.3</w:t>
      </w:r>
      <w:r>
        <w:t xml:space="preserve"> </w:t>
      </w:r>
      <w:r>
        <w:t xml:space="preserve">selects the number of blocks by maximising the Integrated Classification Likelihood (ICL) for K = 1:5. The observed best K values (Aur-P1: Bernoulli 3, Gaussian 4, Poisson 3; Aur-P2: Bernoulli 1, Gaussian 2, Poisson 1) indicate a multi-block preference in Aur-P1 and a single-block preference in Aur-P2 (except Gaussian). However, ICL maximisation alone does not test whether the preference for K &gt; 1 exceeds what the same SBM pipeline would find on data where genuine block structure has been destroyed but site richness and sign-type frequency margins are preserved. Without such a null comparison, it is unclear whether the observed ICL gaps (best K versus K = 1) represent genuine structure or are consistent with chance variation from the marginal constraints alone.</w:t>
      </w:r>
    </w:p>
    <w:p>
      <w:pPr>
        <w:pStyle w:val="BodyText"/>
      </w:pPr>
      <w:r>
        <w:t xml:space="preserve">To address this, we test the null hypothesis that the observed preference for K &gt; 1 comes only from site richness and sign-type frequency margins, not from genuine block structure. We generate null site-by-sign matrices using the Curveball fixed-fixed algorithm</w:t>
      </w:r>
      <w:r>
        <w:t xml:space="preserve"> </w:t>
      </w:r>
      <w:r>
        <w:t xml:space="preserve">[21]</w:t>
      </w:r>
      <w:r>
        <w:t xml:space="preserve"> </w:t>
      </w:r>
      <w:r>
        <w:t xml:space="preserve">via</w:t>
      </w:r>
      <w:r>
        <w:t xml:space="preserve"> </w:t>
      </w:r>
      <w:r>
        <w:rPr>
          <w:rStyle w:val="VerbatimChar"/>
        </w:rPr>
        <w:t xml:space="preserve">vegan::nullmodel()</w:t>
      </w:r>
      <w:r>
        <w:t xml:space="preserve">, which preserves row sums (site richness) and column sums (sign-type frequencies) while randomising the rest. For each of B = 499 null replicates we rebuild the three SBM adjacencies (binarized for Bernoulli, weighted for Gaussian, count for Poisson) and refit the three emission models with K capped at 3 (to avoid failed higher-K fits in the small Aur-P2 sample). The primary test statistic is the ICL gap between the best K and K = 1: gap_K1 = ICL(bestK) - ICL(1). A secondary statistic is the K = 2 versus K = 1 gap: gap_K2 = ICL(2) - ICL(1). One-sided p-values are computed as (1 + sum(null &gt;= obs)) / (1 + B_finite) over finite null replicates. We apply Benjamini-Hochberg correction across the six phase-by-model tests.</w:t>
      </w:r>
    </w:p>
    <w:p>
      <w:pPr>
        <w:pStyle w:val="BodyText"/>
      </w:pPr>
      <w:r>
        <w:rPr>
          <w:bCs/>
          <w:b/>
        </w:rPr>
        <w:t xml:space="preserve">Question: does the SBM’s preference for multi-block structure exceed the Curveball null in either phase?</w:t>
      </w:r>
    </w:p>
    <w:tbl>
      <w:tblPr>
        <w:tblStyle w:val="Table"/>
        <w:tblW w:type="pct" w:w="5000"/>
        <w:tblLook w:firstRow="0" w:lastRow="0" w:firstColumn="0" w:lastColumn="0" w:noHBand="0" w:noVBand="0" w:val="0000"/>
        <w:jc w:val="start"/>
        <w:tblLayout w:type="fixed"/>
      </w:tblPr>
      <w:tblGrid>
        <w:gridCol w:w="7920"/>
      </w:tblGrid>
      <w:tr>
        <w:tc>
          <w:tcPr/>
          <w:bookmarkStart w:id="186" w:name="tbl-sbm-null"/>
          <w:tbl>
            <w:tblPr>
              <w:tblStyle w:val="Table"/>
              <w:tblW w:type="pct" w:w="5000"/>
              <w:tblLook w:firstRow="1" w:lastRow="0" w:firstColumn="0" w:lastColumn="0" w:noHBand="0" w:noVBand="0" w:val="0020"/>
              <w:jc w:val="start"/>
              <w:tblLayout w:type="fixed"/>
            </w:tblPr>
            <w:tblGrid>
              <w:gridCol w:w="633"/>
              <w:gridCol w:w="712"/>
              <w:gridCol w:w="475"/>
              <w:gridCol w:w="554"/>
              <w:gridCol w:w="554"/>
              <w:gridCol w:w="712"/>
              <w:gridCol w:w="633"/>
              <w:gridCol w:w="554"/>
              <w:gridCol w:w="633"/>
              <w:gridCol w:w="554"/>
              <w:gridCol w:w="633"/>
              <w:gridCol w:w="633"/>
              <w:gridCol w:w="396"/>
              <w:gridCol w:w="237"/>
            </w:tblGrid>
            <w:tr>
              <w:trPr>
                <w:tblHeader w:val="true"/>
              </w:trPr>
              <w:tc>
                <w:tcPr/>
                <w:p>
                  <w:pPr>
                    <w:pStyle w:val="Compact"/>
                    <w:jc w:val="left"/>
                    <w:jc w:val="left"/>
                  </w:pPr>
                  <w:r>
                    <w:t xml:space="preserve">Phase</w:t>
                  </w:r>
                </w:p>
              </w:tc>
              <w:tc>
                <w:tcPr/>
                <w:p>
                  <w:pPr>
                    <w:pStyle w:val="Compact"/>
                    <w:jc w:val="left"/>
                    <w:jc w:val="left"/>
                  </w:pPr>
                  <w:r>
                    <w:t xml:space="preserve">Model</w:t>
                  </w:r>
                </w:p>
              </w:tc>
              <w:tc>
                <w:tcPr/>
                <w:p>
                  <w:pPr>
                    <w:pStyle w:val="Compact"/>
                    <w:jc w:val="left"/>
                    <w:jc w:val="left"/>
                  </w:pPr>
                  <w:r>
                    <w:t xml:space="preserve">obs best K</w:t>
                  </w:r>
                </w:p>
              </w:tc>
              <w:tc>
                <w:tcPr/>
                <w:p>
                  <w:pPr>
                    <w:pStyle w:val="Compact"/>
                    <w:jc w:val="left"/>
                    <w:jc w:val="left"/>
                  </w:pPr>
                  <w:r>
                    <w:t xml:space="preserve">obs gap K1</w:t>
                  </w:r>
                </w:p>
              </w:tc>
              <w:tc>
                <w:tcPr/>
                <w:p>
                  <w:pPr>
                    <w:pStyle w:val="Compact"/>
                    <w:jc w:val="left"/>
                    <w:jc w:val="left"/>
                  </w:pPr>
                  <w:r>
                    <w:t xml:space="preserve">obs gap K2</w:t>
                  </w:r>
                </w:p>
              </w:tc>
              <w:tc>
                <w:tcPr/>
                <w:p>
                  <w:pPr>
                    <w:pStyle w:val="Compact"/>
                    <w:jc w:val="left"/>
                    <w:jc w:val="left"/>
                  </w:pPr>
                  <w:r>
                    <w:t xml:space="preserve">null mean gap K1</w:t>
                  </w:r>
                </w:p>
              </w:tc>
              <w:tc>
                <w:tcPr/>
                <w:p>
                  <w:pPr>
                    <w:pStyle w:val="Compact"/>
                    <w:jc w:val="left"/>
                    <w:jc w:val="left"/>
                  </w:pPr>
                  <w:r>
                    <w:t xml:space="preserve">null SD gap K1</w:t>
                  </w:r>
                </w:p>
              </w:tc>
              <w:tc>
                <w:tcPr/>
                <w:p>
                  <w:pPr>
                    <w:pStyle w:val="Compact"/>
                    <w:jc w:val="left"/>
                    <w:jc w:val="left"/>
                  </w:pPr>
                  <w:r>
                    <w:t xml:space="preserve">p (gap K1)</w:t>
                  </w:r>
                </w:p>
              </w:tc>
              <w:tc>
                <w:tcPr/>
                <w:p>
                  <w:pPr>
                    <w:pStyle w:val="Compact"/>
                    <w:jc w:val="left"/>
                    <w:jc w:val="left"/>
                  </w:pPr>
                  <w:r>
                    <w:t xml:space="preserve">p_BH (gap K1)</w:t>
                  </w:r>
                </w:p>
              </w:tc>
              <w:tc>
                <w:tcPr/>
                <w:p>
                  <w:pPr>
                    <w:pStyle w:val="Compact"/>
                    <w:jc w:val="left"/>
                    <w:jc w:val="left"/>
                  </w:pPr>
                  <w:r>
                    <w:t xml:space="preserve">p (gap K2)</w:t>
                  </w:r>
                </w:p>
              </w:tc>
              <w:tc>
                <w:tcPr/>
                <w:p>
                  <w:pPr>
                    <w:pStyle w:val="Compact"/>
                    <w:jc w:val="left"/>
                    <w:jc w:val="left"/>
                  </w:pPr>
                  <w:r>
                    <w:t xml:space="preserve">p_BH (gap K2)</w:t>
                  </w:r>
                </w:p>
              </w:tc>
              <w:tc>
                <w:tcPr/>
                <w:p>
                  <w:pPr>
                    <w:pStyle w:val="Compact"/>
                    <w:jc w:val="left"/>
                    <w:jc w:val="left"/>
                  </w:pPr>
                  <w:r>
                    <w:t xml:space="preserve">null bestK&gt;1 rate</w:t>
                  </w:r>
                </w:p>
              </w:tc>
              <w:tc>
                <w:tcPr/>
                <w:p>
                  <w:pPr>
                    <w:pStyle w:val="Compact"/>
                    <w:jc w:val="left"/>
                    <w:jc w:val="left"/>
                  </w:pPr>
                  <w:r>
                    <w:t xml:space="preserve">B_finite</w:t>
                  </w:r>
                </w:p>
              </w:tc>
              <w:tc>
                <w:tcPr/>
                <w:p>
                  <w:pPr>
                    <w:pStyle w:val="Compact"/>
                    <w:jc w:val="left"/>
                    <w:jc w:val="left"/>
                  </w:pPr>
                  <w:r>
                    <w:t xml:space="preserve">failures</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3</w:t>
                  </w:r>
                </w:p>
              </w:tc>
              <w:tc>
                <w:tcPr/>
                <w:p>
                  <w:pPr>
                    <w:pStyle w:val="Compact"/>
                    <w:jc w:val="left"/>
                    <w:jc w:val="left"/>
                  </w:pPr>
                  <w:r>
                    <w:t xml:space="preserve">20.03</w:t>
                  </w:r>
                </w:p>
              </w:tc>
              <w:tc>
                <w:tcPr/>
                <w:p>
                  <w:pPr>
                    <w:pStyle w:val="Compact"/>
                    <w:jc w:val="left"/>
                    <w:jc w:val="left"/>
                  </w:pPr>
                  <w:r>
                    <w:t xml:space="preserve">14.40</w:t>
                  </w:r>
                </w:p>
              </w:tc>
              <w:tc>
                <w:tcPr/>
                <w:p>
                  <w:pPr>
                    <w:pStyle w:val="Compact"/>
                    <w:jc w:val="left"/>
                    <w:jc w:val="left"/>
                  </w:pPr>
                  <w:r>
                    <w:t xml:space="preserve">15.11</w:t>
                  </w:r>
                </w:p>
              </w:tc>
              <w:tc>
                <w:tcPr/>
                <w:p>
                  <w:pPr>
                    <w:pStyle w:val="Compact"/>
                    <w:jc w:val="left"/>
                    <w:jc w:val="left"/>
                  </w:pPr>
                  <w:r>
                    <w:t xml:space="preserve">5.37</w:t>
                  </w:r>
                </w:p>
              </w:tc>
              <w:tc>
                <w:tcPr/>
                <w:p>
                  <w:pPr>
                    <w:pStyle w:val="Compact"/>
                    <w:jc w:val="left"/>
                    <w:jc w:val="left"/>
                  </w:pPr>
                  <w:r>
                    <w:t xml:space="preserve">0.160</w:t>
                  </w:r>
                </w:p>
              </w:tc>
              <w:tc>
                <w:tcPr/>
                <w:p>
                  <w:pPr>
                    <w:pStyle w:val="Compact"/>
                    <w:jc w:val="left"/>
                    <w:jc w:val="left"/>
                  </w:pPr>
                  <w:r>
                    <w:t xml:space="preserve">0.320</w:t>
                  </w:r>
                </w:p>
              </w:tc>
              <w:tc>
                <w:tcPr/>
                <w:p>
                  <w:pPr>
                    <w:pStyle w:val="Compact"/>
                    <w:jc w:val="left"/>
                    <w:jc w:val="left"/>
                  </w:pPr>
                  <w:r>
                    <w:t xml:space="preserve">0.270</w:t>
                  </w:r>
                </w:p>
              </w:tc>
              <w:tc>
                <w:tcPr/>
                <w:p>
                  <w:pPr>
                    <w:pStyle w:val="Compact"/>
                    <w:jc w:val="left"/>
                    <w:jc w:val="left"/>
                  </w:pPr>
                  <w:r>
                    <w:t xml:space="preserve">0.552</w:t>
                  </w:r>
                </w:p>
              </w:tc>
              <w:tc>
                <w:tcPr/>
                <w:p>
                  <w:pPr>
                    <w:pStyle w:val="Compact"/>
                    <w:jc w:val="left"/>
                    <w:jc w:val="left"/>
                  </w:pPr>
                  <w:r>
                    <w:t xml:space="preserve">1.00</w:t>
                  </w:r>
                </w:p>
              </w:tc>
              <w:tc>
                <w:tcPr/>
                <w:p>
                  <w:pPr>
                    <w:pStyle w:val="Compact"/>
                    <w:jc w:val="left"/>
                    <w:jc w:val="left"/>
                  </w:pPr>
                  <w:r>
                    <w:t xml:space="preserve">499</w:t>
                  </w:r>
                </w:p>
              </w:tc>
              <w:tc>
                <w:tcPr/>
                <w:p>
                  <w:pPr>
                    <w:pStyle w:val="Compact"/>
                    <w:jc w:val="left"/>
                    <w:jc w:val="left"/>
                  </w:pPr>
                  <w:r>
                    <w:t xml:space="preserve">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4</w:t>
                  </w:r>
                </w:p>
              </w:tc>
              <w:tc>
                <w:tcPr/>
                <w:p>
                  <w:pPr>
                    <w:pStyle w:val="Compact"/>
                    <w:jc w:val="left"/>
                    <w:jc w:val="left"/>
                  </w:pPr>
                  <w:r>
                    <w:t xml:space="preserve">65.31</w:t>
                  </w:r>
                </w:p>
              </w:tc>
              <w:tc>
                <w:tcPr/>
                <w:p>
                  <w:pPr>
                    <w:pStyle w:val="Compact"/>
                    <w:jc w:val="left"/>
                    <w:jc w:val="left"/>
                  </w:pPr>
                  <w:r>
                    <w:t xml:space="preserve">38.97</w:t>
                  </w:r>
                </w:p>
              </w:tc>
              <w:tc>
                <w:tcPr/>
                <w:p>
                  <w:pPr>
                    <w:pStyle w:val="Compact"/>
                    <w:jc w:val="left"/>
                    <w:jc w:val="left"/>
                  </w:pPr>
                  <w:r>
                    <w:t xml:space="preserve">45.24</w:t>
                  </w:r>
                </w:p>
              </w:tc>
              <w:tc>
                <w:tcPr/>
                <w:p>
                  <w:pPr>
                    <w:pStyle w:val="Compact"/>
                    <w:jc w:val="left"/>
                    <w:jc w:val="left"/>
                  </w:pPr>
                  <w:r>
                    <w:t xml:space="preserve">19.58</w:t>
                  </w:r>
                </w:p>
              </w:tc>
              <w:tc>
                <w:tcPr/>
                <w:p>
                  <w:pPr>
                    <w:pStyle w:val="Compact"/>
                    <w:jc w:val="left"/>
                    <w:jc w:val="left"/>
                  </w:pPr>
                  <w:r>
                    <w:t xml:space="preserve">0.086</w:t>
                  </w:r>
                </w:p>
              </w:tc>
              <w:tc>
                <w:tcPr/>
                <w:p>
                  <w:pPr>
                    <w:pStyle w:val="Compact"/>
                    <w:jc w:val="left"/>
                    <w:jc w:val="left"/>
                  </w:pPr>
                  <w:r>
                    <w:t xml:space="preserve">0.312</w:t>
                  </w:r>
                </w:p>
              </w:tc>
              <w:tc>
                <w:tcPr/>
                <w:p>
                  <w:pPr>
                    <w:pStyle w:val="Compact"/>
                    <w:jc w:val="left"/>
                    <w:jc w:val="left"/>
                  </w:pPr>
                  <w:r>
                    <w:t xml:space="preserve">0.276</w:t>
                  </w:r>
                </w:p>
              </w:tc>
              <w:tc>
                <w:tcPr/>
                <w:p>
                  <w:pPr>
                    <w:pStyle w:val="Compact"/>
                    <w:jc w:val="left"/>
                    <w:jc w:val="left"/>
                  </w:pPr>
                  <w:r>
                    <w:t xml:space="preserve">0.552</w:t>
                  </w:r>
                </w:p>
              </w:tc>
              <w:tc>
                <w:tcPr/>
                <w:p>
                  <w:pPr>
                    <w:pStyle w:val="Compact"/>
                    <w:jc w:val="left"/>
                    <w:jc w:val="left"/>
                  </w:pPr>
                  <w:r>
                    <w:t xml:space="preserve">1.00</w:t>
                  </w:r>
                </w:p>
              </w:tc>
              <w:tc>
                <w:tcPr/>
                <w:p>
                  <w:pPr>
                    <w:pStyle w:val="Compact"/>
                    <w:jc w:val="left"/>
                    <w:jc w:val="left"/>
                  </w:pPr>
                  <w:r>
                    <w:t xml:space="preserve">499</w:t>
                  </w:r>
                </w:p>
              </w:tc>
              <w:tc>
                <w:tcPr/>
                <w:p>
                  <w:pPr>
                    <w:pStyle w:val="Compact"/>
                    <w:jc w:val="left"/>
                    <w:jc w:val="left"/>
                  </w:pPr>
                  <w:r>
                    <w:t xml:space="preserve">0</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3</w:t>
                  </w:r>
                </w:p>
              </w:tc>
              <w:tc>
                <w:tcPr/>
                <w:p>
                  <w:pPr>
                    <w:pStyle w:val="Compact"/>
                    <w:jc w:val="left"/>
                    <w:jc w:val="left"/>
                  </w:pPr>
                  <w:r>
                    <w:t xml:space="preserve">62.68</w:t>
                  </w:r>
                </w:p>
              </w:tc>
              <w:tc>
                <w:tcPr/>
                <w:p>
                  <w:pPr>
                    <w:pStyle w:val="Compact"/>
                    <w:jc w:val="left"/>
                    <w:jc w:val="left"/>
                  </w:pPr>
                  <w:r>
                    <w:t xml:space="preserve">60.04</w:t>
                  </w:r>
                </w:p>
              </w:tc>
              <w:tc>
                <w:tcPr/>
                <w:p>
                  <w:pPr>
                    <w:pStyle w:val="Compact"/>
                    <w:jc w:val="left"/>
                    <w:jc w:val="left"/>
                  </w:pPr>
                  <w:r>
                    <w:t xml:space="preserve">50.82</w:t>
                  </w:r>
                </w:p>
              </w:tc>
              <w:tc>
                <w:tcPr/>
                <w:p>
                  <w:pPr>
                    <w:pStyle w:val="Compact"/>
                    <w:jc w:val="left"/>
                    <w:jc w:val="left"/>
                  </w:pPr>
                  <w:r>
                    <w:t xml:space="preserve">7.38</w:t>
                  </w:r>
                </w:p>
              </w:tc>
              <w:tc>
                <w:tcPr/>
                <w:p>
                  <w:pPr>
                    <w:pStyle w:val="Compact"/>
                    <w:jc w:val="left"/>
                    <w:jc w:val="left"/>
                  </w:pPr>
                  <w:r>
                    <w:t xml:space="preserve">0.104</w:t>
                  </w:r>
                </w:p>
              </w:tc>
              <w:tc>
                <w:tcPr/>
                <w:p>
                  <w:pPr>
                    <w:pStyle w:val="Compact"/>
                    <w:jc w:val="left"/>
                    <w:jc w:val="left"/>
                  </w:pPr>
                  <w:r>
                    <w:t xml:space="preserve">0.312</w:t>
                  </w:r>
                </w:p>
              </w:tc>
              <w:tc>
                <w:tcPr/>
                <w:p>
                  <w:pPr>
                    <w:pStyle w:val="Compact"/>
                    <w:jc w:val="left"/>
                    <w:jc w:val="left"/>
                  </w:pPr>
                  <w:r>
                    <w:t xml:space="preserve">0.118</w:t>
                  </w:r>
                </w:p>
              </w:tc>
              <w:tc>
                <w:tcPr/>
                <w:p>
                  <w:pPr>
                    <w:pStyle w:val="Compact"/>
                    <w:jc w:val="left"/>
                    <w:jc w:val="left"/>
                  </w:pPr>
                  <w:r>
                    <w:t xml:space="preserve">0.552</w:t>
                  </w:r>
                </w:p>
              </w:tc>
              <w:tc>
                <w:tcPr/>
                <w:p>
                  <w:pPr>
                    <w:pStyle w:val="Compact"/>
                    <w:jc w:val="left"/>
                    <w:jc w:val="left"/>
                  </w:pPr>
                  <w:r>
                    <w:t xml:space="preserve">1.00</w:t>
                  </w:r>
                </w:p>
              </w:tc>
              <w:tc>
                <w:tcPr/>
                <w:p>
                  <w:pPr>
                    <w:pStyle w:val="Compact"/>
                    <w:jc w:val="left"/>
                    <w:jc w:val="left"/>
                  </w:pPr>
                  <w:r>
                    <w:t xml:space="preserve">499</w:t>
                  </w:r>
                </w:p>
              </w:tc>
              <w:tc>
                <w:tcPr/>
                <w:p>
                  <w:pPr>
                    <w:pStyle w:val="Compact"/>
                    <w:jc w:val="left"/>
                    <w:jc w:val="left"/>
                  </w:pPr>
                  <w:r>
                    <w:t xml:space="preserve">0</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1</w:t>
                  </w:r>
                </w:p>
              </w:tc>
              <w:tc>
                <w:tcPr/>
                <w:p>
                  <w:pPr>
                    <w:pStyle w:val="Compact"/>
                    <w:jc w:val="left"/>
                    <w:jc w:val="left"/>
                  </w:pPr>
                  <w:r>
                    <w:t xml:space="preserve">0.00</w:t>
                  </w:r>
                </w:p>
              </w:tc>
              <w:tc>
                <w:tcPr/>
                <w:p>
                  <w:pPr>
                    <w:pStyle w:val="Compact"/>
                    <w:jc w:val="left"/>
                    <w:jc w:val="left"/>
                  </w:pPr>
                  <w:r>
                    <w:t xml:space="preserve">-3.54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1.000</w:t>
                  </w:r>
                </w:p>
              </w:tc>
              <w:tc>
                <w:tcPr/>
                <w:p>
                  <w:pPr>
                    <w:pStyle w:val="Compact"/>
                    <w:jc w:val="left"/>
                    <w:jc w:val="left"/>
                  </w:pPr>
                  <w:r>
                    <w:t xml:space="preserve">1.000</w:t>
                  </w:r>
                </w:p>
              </w:tc>
              <w:tc>
                <w:tcPr/>
                <w:p>
                  <w:pPr>
                    <w:pStyle w:val="Compact"/>
                    <w:jc w:val="left"/>
                    <w:jc w:val="left"/>
                  </w:pPr>
                  <w:r>
                    <w:t xml:space="preserve">0.804</w:t>
                  </w:r>
                </w:p>
              </w:tc>
              <w:tc>
                <w:tcPr/>
                <w:p>
                  <w:pPr>
                    <w:pStyle w:val="Compact"/>
                    <w:jc w:val="left"/>
                    <w:jc w:val="left"/>
                  </w:pPr>
                  <w:r>
                    <w:t xml:space="preserve">0.804</w:t>
                  </w:r>
                </w:p>
              </w:tc>
              <w:tc>
                <w:tcPr/>
                <w:p>
                  <w:pPr>
                    <w:pStyle w:val="Compact"/>
                    <w:jc w:val="left"/>
                    <w:jc w:val="left"/>
                  </w:pPr>
                  <w:r>
                    <w:t xml:space="preserve">0.00</w:t>
                  </w:r>
                </w:p>
              </w:tc>
              <w:tc>
                <w:tcPr/>
                <w:p>
                  <w:pPr>
                    <w:pStyle w:val="Compact"/>
                    <w:jc w:val="left"/>
                    <w:jc w:val="left"/>
                  </w:pPr>
                  <w:r>
                    <w:t xml:space="preserve">499</w:t>
                  </w:r>
                </w:p>
              </w:tc>
              <w:tc>
                <w:tcPr/>
                <w:p>
                  <w:pPr>
                    <w:pStyle w:val="Compact"/>
                    <w:jc w:val="left"/>
                    <w:jc w:val="left"/>
                  </w:pPr>
                  <w:r>
                    <w:t xml:space="preserve">0</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2</w:t>
                  </w:r>
                </w:p>
              </w:tc>
              <w:tc>
                <w:tcPr/>
                <w:p>
                  <w:pPr>
                    <w:pStyle w:val="Compact"/>
                    <w:jc w:val="left"/>
                    <w:jc w:val="left"/>
                  </w:pPr>
                  <w:r>
                    <w:t xml:space="preserve">0.90</w:t>
                  </w:r>
                </w:p>
              </w:tc>
              <w:tc>
                <w:tcPr/>
                <w:p>
                  <w:pPr>
                    <w:pStyle w:val="Compact"/>
                    <w:jc w:val="left"/>
                    <w:jc w:val="left"/>
                  </w:pPr>
                  <w:r>
                    <w:t xml:space="preserve">0.90</w:t>
                  </w:r>
                </w:p>
              </w:tc>
              <w:tc>
                <w:tcPr/>
                <w:p>
                  <w:pPr>
                    <w:pStyle w:val="Compact"/>
                    <w:jc w:val="left"/>
                    <w:jc w:val="left"/>
                  </w:pPr>
                  <w:r>
                    <w:t xml:space="preserve">3.18</w:t>
                  </w:r>
                </w:p>
              </w:tc>
              <w:tc>
                <w:tcPr/>
                <w:p>
                  <w:pPr>
                    <w:pStyle w:val="Compact"/>
                    <w:jc w:val="left"/>
                    <w:jc w:val="left"/>
                  </w:pPr>
                  <w:r>
                    <w:t xml:space="preserve">3.93</w:t>
                  </w:r>
                </w:p>
              </w:tc>
              <w:tc>
                <w:tcPr/>
                <w:p>
                  <w:pPr>
                    <w:pStyle w:val="Compact"/>
                    <w:jc w:val="left"/>
                    <w:jc w:val="left"/>
                  </w:pPr>
                  <w:r>
                    <w:t xml:space="preserve">0.390</w:t>
                  </w:r>
                </w:p>
              </w:tc>
              <w:tc>
                <w:tcPr/>
                <w:p>
                  <w:pPr>
                    <w:pStyle w:val="Compact"/>
                    <w:jc w:val="left"/>
                    <w:jc w:val="left"/>
                  </w:pPr>
                  <w:r>
                    <w:t xml:space="preserve">0.585</w:t>
                  </w:r>
                </w:p>
              </w:tc>
              <w:tc>
                <w:tcPr/>
                <w:p>
                  <w:pPr>
                    <w:pStyle w:val="Compact"/>
                    <w:jc w:val="left"/>
                    <w:jc w:val="left"/>
                  </w:pPr>
                  <w:r>
                    <w:t xml:space="preserve">0.390</w:t>
                  </w:r>
                </w:p>
              </w:tc>
              <w:tc>
                <w:tcPr/>
                <w:p>
                  <w:pPr>
                    <w:pStyle w:val="Compact"/>
                    <w:jc w:val="left"/>
                    <w:jc w:val="left"/>
                  </w:pPr>
                  <w:r>
                    <w:t xml:space="preserve">0.585</w:t>
                  </w:r>
                </w:p>
              </w:tc>
              <w:tc>
                <w:tcPr/>
                <w:p>
                  <w:pPr>
                    <w:pStyle w:val="Compact"/>
                    <w:jc w:val="left"/>
                    <w:jc w:val="left"/>
                  </w:pPr>
                  <w:r>
                    <w:t xml:space="preserve">0.98</w:t>
                  </w:r>
                </w:p>
              </w:tc>
              <w:tc>
                <w:tcPr/>
                <w:p>
                  <w:pPr>
                    <w:pStyle w:val="Compact"/>
                    <w:jc w:val="left"/>
                    <w:jc w:val="left"/>
                  </w:pPr>
                  <w:r>
                    <w:t xml:space="preserve">499</w:t>
                  </w:r>
                </w:p>
              </w:tc>
              <w:tc>
                <w:tcPr/>
                <w:p>
                  <w:pPr>
                    <w:pStyle w:val="Compact"/>
                    <w:jc w:val="left"/>
                    <w:jc w:val="left"/>
                  </w:pPr>
                  <w:r>
                    <w:t xml:space="preserve">0</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1</w:t>
                  </w:r>
                </w:p>
              </w:tc>
              <w:tc>
                <w:tcPr/>
                <w:p>
                  <w:pPr>
                    <w:pStyle w:val="Compact"/>
                    <w:jc w:val="left"/>
                    <w:jc w:val="left"/>
                  </w:pPr>
                  <w:r>
                    <w:t xml:space="preserve">0.00</w:t>
                  </w:r>
                </w:p>
              </w:tc>
              <w:tc>
                <w:tcPr/>
                <w:p>
                  <w:pPr>
                    <w:pStyle w:val="Compact"/>
                    <w:jc w:val="left"/>
                    <w:jc w:val="left"/>
                  </w:pPr>
                  <w:r>
                    <w:t xml:space="preserve">-4.17</w:t>
                  </w:r>
                </w:p>
              </w:tc>
              <w:tc>
                <w:tcPr/>
                <w:p>
                  <w:pPr>
                    <w:pStyle w:val="Compact"/>
                    <w:jc w:val="left"/>
                    <w:jc w:val="left"/>
                  </w:pPr>
                  <w:r>
                    <w:t xml:space="preserve">0.14</w:t>
                  </w:r>
                </w:p>
              </w:tc>
              <w:tc>
                <w:tcPr/>
                <w:p>
                  <w:pPr>
                    <w:pStyle w:val="Compact"/>
                    <w:jc w:val="left"/>
                    <w:jc w:val="left"/>
                  </w:pPr>
                  <w:r>
                    <w:t xml:space="preserve">0.42</w:t>
                  </w:r>
                </w:p>
              </w:tc>
              <w:tc>
                <w:tcPr/>
                <w:p>
                  <w:pPr>
                    <w:pStyle w:val="Compact"/>
                    <w:jc w:val="left"/>
                    <w:jc w:val="left"/>
                  </w:pPr>
                  <w:r>
                    <w:t xml:space="preserve">1.000</w:t>
                  </w:r>
                </w:p>
              </w:tc>
              <w:tc>
                <w:tcPr/>
                <w:p>
                  <w:pPr>
                    <w:pStyle w:val="Compact"/>
                    <w:jc w:val="left"/>
                    <w:jc w:val="left"/>
                  </w:pPr>
                  <w:r>
                    <w:t xml:space="preserve">1.000</w:t>
                  </w:r>
                </w:p>
              </w:tc>
              <w:tc>
                <w:tcPr/>
                <w:p>
                  <w:pPr>
                    <w:pStyle w:val="Compact"/>
                    <w:jc w:val="left"/>
                    <w:jc w:val="left"/>
                  </w:pPr>
                  <w:r>
                    <w:t xml:space="preserve">0.804</w:t>
                  </w:r>
                </w:p>
              </w:tc>
              <w:tc>
                <w:tcPr/>
                <w:p>
                  <w:pPr>
                    <w:pStyle w:val="Compact"/>
                    <w:jc w:val="left"/>
                    <w:jc w:val="left"/>
                  </w:pPr>
                  <w:r>
                    <w:t xml:space="preserve">0.804</w:t>
                  </w:r>
                </w:p>
              </w:tc>
              <w:tc>
                <w:tcPr/>
                <w:p>
                  <w:pPr>
                    <w:pStyle w:val="Compact"/>
                    <w:jc w:val="left"/>
                    <w:jc w:val="left"/>
                  </w:pPr>
                  <w:r>
                    <w:t xml:space="preserve">0.10</w:t>
                  </w:r>
                </w:p>
              </w:tc>
              <w:tc>
                <w:tcPr/>
                <w:p>
                  <w:pPr>
                    <w:pStyle w:val="Compact"/>
                    <w:jc w:val="left"/>
                    <w:jc w:val="left"/>
                  </w:pPr>
                  <w:r>
                    <w:t xml:space="preserve">499</w:t>
                  </w:r>
                </w:p>
              </w:tc>
              <w:tc>
                <w:tcPr/>
                <w:p>
                  <w:pPr>
                    <w:pStyle w:val="Compact"/>
                    <w:jc w:val="left"/>
                    <w:jc w:val="left"/>
                  </w:pPr>
                  <w:r>
                    <w:t xml:space="preserve">0</w:t>
                  </w:r>
                </w:p>
              </w:tc>
            </w:tr>
          </w:tbl>
          <w:p>
            <w:pPr>
              <w:jc w:val="left"/>
            </w:pPr>
            <w:pPr>
              <w:jc w:val="start"/>
              <w:spacing w:before="200"/>
              <w:pStyle w:val="ImageCaption"/>
            </w:pPr>
            <w:r>
              <w:t xml:space="preserve">Table AJ. SBM block recovery null test results (B = 499 Curveball replicates, max K = 3 for null fits, seed = 7). Observed gap_K1 = ICL(bestK) - ICL(1); null mean/SD from 499 replicates. p_gap_K1 is the one-sided upper-tail p-value; p_gap_K1_bh is Benjamini-Hochberg adjusted across the six phase-by-model tests. null_bestK_gt1_rate is the proportion of null replicates where bestK &gt; 1. B_finite counts the null replicates that produced a finite statistic; failures counts those that failed to fit.</w:t>
            </w:r>
          </w:p>
          <w:bookmarkEnd w:id="186"/>
        </w:tc>
      </w:tr>
    </w:tbl>
    <w:tbl>
      <w:tblPr>
        <w:tblStyle w:val="Table"/>
        <w:tblW w:type="pct" w:w="5000"/>
        <w:tblLook w:firstRow="0" w:lastRow="0" w:firstColumn="0" w:lastColumn="0" w:noHBand="0" w:noVBand="0" w:val="0000"/>
        <w:jc w:val="start"/>
        <w:tblLayout w:type="fixed"/>
      </w:tblPr>
      <w:tblGrid>
        <w:gridCol w:w="7920"/>
      </w:tblGrid>
      <w:tr>
        <w:tc>
          <w:tcPr/>
          <w:bookmarkStart w:id="190" w:name="fig-sbm-null"/>
          <w:p>
            <w:pPr>
              <w:pStyle w:val="Compact"/>
              <w:jc w:val="left"/>
            </w:pPr>
            <w:r>
              <w:drawing>
                <wp:inline>
                  <wp:extent cx="5943600" cy="2971800"/>
                  <wp:effectExtent b="0" l="0" r="0" t="0"/>
                  <wp:docPr descr="" title="" id="188" name="Picture"/>
                  <a:graphic>
                    <a:graphicData uri="http://schemas.openxmlformats.org/drawingml/2006/picture">
                      <pic:pic>
                        <pic:nvPicPr>
                          <pic:cNvPr descr="S1_File_files/figure-docx/fig-sbm-null-1.png" id="189" name="Picture"/>
                          <pic:cNvPicPr>
                            <a:picLocks noChangeArrowheads="1" noChangeAspect="1"/>
                          </pic:cNvPicPr>
                        </pic:nvPicPr>
                        <pic:blipFill>
                          <a:blip r:embed="rId187"/>
                          <a:stretch>
                            <a:fillRect/>
                          </a:stretch>
                        </pic:blipFill>
                        <pic:spPr bwMode="auto">
                          <a:xfrm>
                            <a:off x="0" y="0"/>
                            <a:ext cx="5943600" cy="2971800"/>
                          </a:xfrm>
                          <a:prstGeom prst="rect">
                            <a:avLst/>
                          </a:prstGeom>
                          <a:noFill/>
                          <a:ln w="9525">
                            <a:noFill/>
                            <a:headEnd/>
                            <a:tailEnd/>
                          </a:ln>
                        </pic:spPr>
                      </pic:pic>
                    </a:graphicData>
                  </a:graphic>
                </wp:inline>
              </w:drawing>
            </w:r>
          </w:p>
          <w:p>
            <w:pPr>
              <w:jc w:val="left"/>
            </w:pPr>
            <w:pPr>
              <w:jc w:val="start"/>
              <w:spacing w:before="200"/>
              <w:pStyle w:val="ImageCaption"/>
            </w:pPr>
            <w:r>
              <w:t xml:space="preserve">Fig J. Observed ICL gap_K1 (best K vs K=1) against the null distribution from 499 Curveball-randomised site-by-sign matrices (B = 499, seed = 7, max K = 3 for null fits), by phase and emission model. Vertical lines mark the observed gap_K1; histograms show the null distribution. Y-scales are free because Bernoulli, Gaussian, and Poisson likelihoods are on different absolute scales. None of the six phase-by-model combinations has a Benjamini-Hochberg adjusted p-value below 0.05.</w:t>
            </w:r>
          </w:p>
          <w:bookmarkEnd w:id="190"/>
        </w:tc>
      </w:tr>
    </w:tbl>
    <w:bookmarkEnd w:id="191"/>
    <w:bookmarkStart w:id="192" w:name="interpretation-15"/>
    <w:p>
      <w:pPr>
        <w:pStyle w:val="Heading3"/>
      </w:pPr>
      <w:r>
        <w:t xml:space="preserve">Interpretation</w:t>
      </w:r>
    </w:p>
    <w:p>
      <w:pPr>
        <w:pStyle w:val="FirstParagraph"/>
      </w:pPr>
      <w:r>
        <w:rPr>
          <w:bCs/>
          <w:b/>
        </w:rPr>
        <w:t xml:space="preserve">Question: does the SBM’s preference for multi-block structure exceed the Curveball null in either phase?</w:t>
      </w:r>
      <w:r>
        <w:t xml:space="preserve"> </w:t>
      </w:r>
      <w:r>
        <w:t xml:space="preserve">No. Across the six phase-by-model cells, B_finite ranges from 499 to 499 and the total number of failed fits is 0 (</w:t>
      </w:r>
      <w:hyperlink w:anchor="tbl-sbm-null">
        <w:r>
          <w:rPr>
            <w:rStyle w:val="Hyperlink"/>
          </w:rPr>
          <w:t xml:space="preserve">Table AJ</w:t>
        </w:r>
      </w:hyperlink>
      <w:r>
        <w:t xml:space="preserve">), so no p-value below is affected by dropped replicates. In</w:t>
      </w:r>
      <w:r>
        <w:t xml:space="preserve"> </w:t>
      </w:r>
      <w:r>
        <w:rPr>
          <w:bCs/>
          <w:b/>
        </w:rPr>
        <w:t xml:space="preserve">Aur-P1</w:t>
      </w:r>
      <w:r>
        <w:t xml:space="preserve">, all three emission models select best K &gt; 1 (Bernoulli K = 3, Gaussian K = 4, Poisson K = 3), and the observed ICL gaps (Bernoulli gap_K1 = 20.03; Gaussian gap_K1 = 65.31; Poisson gap_K1 = 62.68) exceed their respective null means (Bernoulli null mean = 15.11; Gaussian null mean = 45.24; Poisson null mean = 50.82). However, the one-sided p-values are 0.160 (Bernoulli), 0.086 (Gaussian), and 0.104 (Poisson). After Benjamini-Hochberg correction across the six phase-by-model tests, the adjusted p-values are 0.320 (Bernoulli), 0.312 (Gaussian), and 0.312 (Poisson). None falls below 0.05. The null distributions also show that the Curveball null frequently selects best K &gt; 1 (Bernoulli rate = 1.00; Gaussian rate = 1.00; Poisson rate = 1.00), indicating that the observed multi-block preference is consistent with what richness and frequency margins alone produce.</w:t>
      </w:r>
    </w:p>
    <w:p>
      <w:pPr>
        <w:pStyle w:val="BodyText"/>
      </w:pPr>
      <w:r>
        <w:t xml:space="preserve">In</w:t>
      </w:r>
      <w:r>
        <w:t xml:space="preserve"> </w:t>
      </w:r>
      <w:r>
        <w:rPr>
          <w:bCs/>
          <w:b/>
        </w:rPr>
        <w:t xml:space="preserve">Aur-P2</w:t>
      </w:r>
      <w:r>
        <w:t xml:space="preserve">, the Bernoulli and Poisson models select a single block (Bernoulli best K = 1, Poisson best K = 1; gap_K1 = 0). The Gaussian model selects K = 2 with gap_K1 = 0.90, but its p-value is 0.390 (BH-adjusted 0.585), well above 0.05. The Bernoulli and Poisson null means are effectively zero because the null fits almost always return K = 1. The Gaussian null frequently selects best K &gt; 1 (rate = 0.98), again indicating the observed K = 2 preference is not exceptional.</w:t>
      </w:r>
    </w:p>
    <w:p>
      <w:pPr>
        <w:pStyle w:val="BodyText"/>
      </w:pPr>
      <w:r>
        <w:rPr>
          <w:bCs/>
          <w:b/>
        </w:rPr>
        <w:t xml:space="preserve">Implication for the main text.</w:t>
      </w:r>
      <w:r>
        <w:t xml:space="preserve"> </w:t>
      </w:r>
      <w:r>
        <w:t xml:space="preserve">The SBM block recovery null test shows that none of the six phase-by-model combinations has a statistically significant preference for K &gt; 1 after accounting for site richness and sign-type frequency margins. The multi-block solutions in Aur-P1 (Bernoulli K = 3, Gaussian K = 4, Poisson K = 3) and the Gaussian K = 2 in Aur-P2 are consistent with what the Curveball null produces. This does not mean the SBM blocks are meaningless—bootstrap consensus (</w:t>
      </w:r>
      <w:r>
        <w:t xml:space="preserve">Section S1.9.2</w:t>
      </w:r>
      <w:r>
        <w:t xml:space="preserve">) and Louvain community detection (</w:t>
      </w:r>
      <w:r>
        <w:t xml:space="preserve">Section S1.6.2</w:t>
      </w:r>
      <w:r>
        <w:t xml:space="preserve">) both find coherent substructure—but it means the</w:t>
      </w:r>
      <w:r>
        <w:t xml:space="preserve"> </w:t>
      </w:r>
      <w:r>
        <w:rPr>
          <w:iCs/>
          <w:i/>
        </w:rPr>
        <w:t xml:space="preserve">generative</w:t>
      </w:r>
      <w:r>
        <w:t xml:space="preserve"> </w:t>
      </w:r>
      <w:r>
        <w:t xml:space="preserve">SBM’s ICL criterion does not distinguish the observed block structure from the marginal constraints alone at conventional significance levels. The restricted/broad dichotomy and its SBM corroboration should therefore be read as a descriptive pattern supported by bootstrap stability and community detection, not as a generative model finding that exceeds chance expectations under the fixed-fixed null.</w:t>
      </w:r>
    </w:p>
    <w:bookmarkEnd w:id="192"/>
    <w:bookmarkEnd w:id="193"/>
    <w:bookmarkStart w:id="201" w:name="sec-s9-5"/>
    <w:p>
      <w:pPr>
        <w:pStyle w:val="Heading2"/>
      </w:pPr>
      <w:r>
        <w:t xml:space="preserve">S1.9.5 Seriation-Order Null Test</w:t>
      </w:r>
    </w:p>
    <w:bookmarkStart w:id="199" w:name="rationale-17"/>
    <w:p>
      <w:pPr>
        <w:pStyle w:val="Heading3"/>
      </w:pPr>
      <w:r>
        <w:t xml:space="preserve">Rationale</w:t>
      </w:r>
    </w:p>
    <w:p>
      <w:pPr>
        <w:pStyle w:val="FirstParagraph"/>
      </w:pPr>
      <w:r>
        <w:t xml:space="preserve">The seriation in the main text applies the Brower–Kile</w:t>
      </w:r>
      <w:r>
        <w:t xml:space="preserve"> </w:t>
      </w:r>
      <w:r>
        <w:rPr>
          <w:rStyle w:val="VerbatimChar"/>
        </w:rPr>
        <w:t xml:space="preserve">concentrate()</w:t>
      </w:r>
      <w:r>
        <w:t xml:space="preserve"> </w:t>
      </w:r>
      <w:r>
        <w:t xml:space="preserve">algorithm to the site × sign-type presence/absence matrix, producing a reordered matrix where presences cluster along the diagonal. This visual pattern is the starting point for the restricted/broad group hypothesis. However, a deterministic algorithm run on a single observed sample gives no measure of whether the diagonal concentration exceeds what richness margins alone would produce. The previous null tests (</w:t>
      </w:r>
      <w:r>
        <w:t xml:space="preserve">S1.9.4</w:t>
      </w:r>
      <w:r>
        <w:t xml:space="preserve">;</w:t>
      </w:r>
      <w:r>
        <w:t xml:space="preserve"> </w:t>
      </w:r>
      <w:r>
        <w:t xml:space="preserve">S1.10.2</w:t>
      </w:r>
      <w:r>
        <w:t xml:space="preserve">;</w:t>
      </w:r>
      <w:r>
        <w:t xml:space="preserve"> </w:t>
      </w:r>
      <w:r>
        <w:t xml:space="preserve">S1.10.3</w:t>
      </w:r>
      <w:r>
        <w:t xml:space="preserve">) test</w:t>
      </w:r>
      <w:r>
        <w:t xml:space="preserve"> </w:t>
      </w:r>
      <w:r>
        <w:rPr>
          <w:iCs/>
          <w:i/>
        </w:rPr>
        <w:t xml:space="preserve">downstream</w:t>
      </w:r>
      <w:r>
        <w:t xml:space="preserve"> </w:t>
      </w:r>
      <w:r>
        <w:t xml:space="preserve">partitions (SBM blocks, richness splits, manual groups), not the seriation ordering itself. This section fills that gap: we test whether the</w:t>
      </w:r>
      <w:r>
        <w:t xml:space="preserve"> </w:t>
      </w:r>
      <w:r>
        <w:rPr>
          <w:rStyle w:val="VerbatimChar"/>
        </w:rPr>
        <w:t xml:space="preserve">concentrate()</w:t>
      </w:r>
      <w:r>
        <w:t xml:space="preserve"> </w:t>
      </w:r>
      <w:r>
        <w:t xml:space="preserve">output is more ordered than the same pipeline applied to Curveball-fixed-fixed randomised matrices that preserve both site richness (row sums) and sign-type frequencies (column sums).</w:t>
      </w:r>
    </w:p>
    <w:p>
      <w:pPr>
        <w:pStyle w:val="BodyText"/>
      </w:pPr>
      <w:r>
        <w:rPr>
          <w:bCs/>
          <w:b/>
        </w:rPr>
        <w:t xml:space="preserve">Question: does the seriation diagonal concentration exceed the Curveball fixed-fixed null in either phase?</w:t>
      </w:r>
    </w:p>
    <w:tbl>
      <w:tblPr>
        <w:tblStyle w:val="Table"/>
        <w:tblW w:type="pct" w:w="5000"/>
        <w:tblLook w:firstRow="0" w:lastRow="0" w:firstColumn="0" w:lastColumn="0" w:noHBand="0" w:noVBand="0" w:val="0000"/>
        <w:jc w:val="start"/>
        <w:tblLayout w:type="fixed"/>
      </w:tblPr>
      <w:tblGrid>
        <w:gridCol w:w="7920"/>
      </w:tblGrid>
      <w:tr>
        <w:tc>
          <w:tcPr/>
          <w:bookmarkStart w:id="194" w:name="tbl-seriation-null"/>
          <w:tbl>
            <w:tblPr>
              <w:tblStyle w:val="Table"/>
              <w:tblW w:type="pct" w:w="5000"/>
              <w:tblLook w:firstRow="1" w:lastRow="0" w:firstColumn="0" w:lastColumn="0" w:noHBand="0" w:noVBand="0" w:val="0020"/>
              <w:jc w:val="start"/>
              <w:tblLayout w:type="fixed"/>
            </w:tblPr>
            <w:tblGrid>
              <w:gridCol w:w="792"/>
              <w:gridCol w:w="792"/>
              <w:gridCol w:w="792"/>
              <w:gridCol w:w="792"/>
              <w:gridCol w:w="792"/>
              <w:gridCol w:w="792"/>
              <w:gridCol w:w="792"/>
              <w:gridCol w:w="792"/>
              <w:gridCol w:w="792"/>
              <w:gridCol w:w="792"/>
            </w:tblGrid>
            <w:tr>
              <w:trPr>
                <w:tblHeader w:val="true"/>
              </w:trPr>
              <w:tc>
                <w:tcPr/>
                <w:p>
                  <w:pPr>
                    <w:pStyle w:val="Compact"/>
                    <w:jc w:val="left"/>
                    <w:jc w:val="left"/>
                  </w:pPr>
                  <w:r>
                    <w:t xml:space="preserve">Phase</w:t>
                  </w:r>
                </w:p>
              </w:tc>
              <w:tc>
                <w:tcPr/>
                <w:p>
                  <w:pPr>
                    <w:pStyle w:val="Compact"/>
                    <w:jc w:val="left"/>
                    <w:jc w:val="left"/>
                  </w:pPr>
                  <w:r>
                    <w:t xml:space="preserve">Obs_concentration</w:t>
                  </w:r>
                </w:p>
              </w:tc>
              <w:tc>
                <w:tcPr/>
                <w:p>
                  <w:pPr>
                    <w:pStyle w:val="Compact"/>
                    <w:jc w:val="left"/>
                    <w:jc w:val="left"/>
                  </w:pPr>
                  <w:r>
                    <w:t xml:space="preserve">Null_mean_conc</w:t>
                  </w:r>
                </w:p>
              </w:tc>
              <w:tc>
                <w:tcPr/>
                <w:p>
                  <w:pPr>
                    <w:pStyle w:val="Compact"/>
                    <w:jc w:val="left"/>
                    <w:jc w:val="left"/>
                  </w:pPr>
                  <w:r>
                    <w:t xml:space="preserve">Null_sd_conc</w:t>
                  </w:r>
                </w:p>
              </w:tc>
              <w:tc>
                <w:tcPr/>
                <w:p>
                  <w:pPr>
                    <w:pStyle w:val="Compact"/>
                    <w:jc w:val="left"/>
                    <w:jc w:val="left"/>
                  </w:pPr>
                  <w:r>
                    <w:t xml:space="preserve">p_concentration</w:t>
                  </w:r>
                </w:p>
              </w:tc>
              <w:tc>
                <w:tcPr/>
                <w:p>
                  <w:pPr>
                    <w:pStyle w:val="Compact"/>
                    <w:jc w:val="left"/>
                    <w:jc w:val="left"/>
                  </w:pPr>
                  <w:r>
                    <w:t xml:space="preserve">Obs_path_length</w:t>
                  </w:r>
                </w:p>
              </w:tc>
              <w:tc>
                <w:tcPr/>
                <w:p>
                  <w:pPr>
                    <w:pStyle w:val="Compact"/>
                    <w:jc w:val="left"/>
                    <w:jc w:val="left"/>
                  </w:pPr>
                  <w:r>
                    <w:t xml:space="preserve">Null_mean_path</w:t>
                  </w:r>
                </w:p>
              </w:tc>
              <w:tc>
                <w:tcPr/>
                <w:p>
                  <w:pPr>
                    <w:pStyle w:val="Compact"/>
                    <w:jc w:val="left"/>
                    <w:jc w:val="left"/>
                  </w:pPr>
                  <w:r>
                    <w:t xml:space="preserve">Null_sd_path</w:t>
                  </w:r>
                </w:p>
              </w:tc>
              <w:tc>
                <w:tcPr/>
                <w:p>
                  <w:pPr>
                    <w:pStyle w:val="Compact"/>
                    <w:jc w:val="left"/>
                    <w:jc w:val="left"/>
                  </w:pPr>
                  <w:r>
                    <w:t xml:space="preserve">p_path_length</w:t>
                  </w:r>
                </w:p>
              </w:tc>
              <w:tc>
                <w:tcPr/>
                <w:p>
                  <w:pPr>
                    <w:pStyle w:val="Compact"/>
                    <w:jc w:val="left"/>
                    <w:jc w:val="left"/>
                  </w:pPr>
                  <w:r>
                    <w:t xml:space="preserve">B_finite</w:t>
                  </w:r>
                </w:p>
              </w:tc>
            </w:tr>
            <w:tr>
              <w:tc>
                <w:tcPr/>
                <w:p>
                  <w:pPr>
                    <w:pStyle w:val="Compact"/>
                    <w:jc w:val="left"/>
                    <w:jc w:val="left"/>
                  </w:pPr>
                  <w:r>
                    <w:t xml:space="preserve">Aur-P1</w:t>
                  </w:r>
                </w:p>
              </w:tc>
              <w:tc>
                <w:tcPr/>
                <w:p>
                  <w:pPr>
                    <w:pStyle w:val="Compact"/>
                    <w:jc w:val="left"/>
                    <w:jc w:val="left"/>
                  </w:pPr>
                  <w:r>
                    <w:t xml:space="preserve">0.292</w:t>
                  </w:r>
                </w:p>
              </w:tc>
              <w:tc>
                <w:tcPr/>
                <w:p>
                  <w:pPr>
                    <w:pStyle w:val="Compact"/>
                    <w:jc w:val="left"/>
                    <w:jc w:val="left"/>
                  </w:pPr>
                  <w:r>
                    <w:t xml:space="preserve">0.314</w:t>
                  </w:r>
                </w:p>
              </w:tc>
              <w:tc>
                <w:tcPr/>
                <w:p>
                  <w:pPr>
                    <w:pStyle w:val="Compact"/>
                    <w:jc w:val="left"/>
                    <w:jc w:val="left"/>
                  </w:pPr>
                  <w:r>
                    <w:t xml:space="preserve">0.040</w:t>
                  </w:r>
                </w:p>
              </w:tc>
              <w:tc>
                <w:tcPr/>
                <w:p>
                  <w:pPr>
                    <w:pStyle w:val="Compact"/>
                    <w:jc w:val="left"/>
                    <w:jc w:val="left"/>
                  </w:pPr>
                  <w:r>
                    <w:t xml:space="preserve">0.311</w:t>
                  </w:r>
                </w:p>
              </w:tc>
              <w:tc>
                <w:tcPr/>
                <w:p>
                  <w:pPr>
                    <w:pStyle w:val="Compact"/>
                    <w:jc w:val="left"/>
                    <w:jc w:val="left"/>
                  </w:pPr>
                  <w:r>
                    <w:t xml:space="preserve">10.211</w:t>
                  </w:r>
                </w:p>
              </w:tc>
              <w:tc>
                <w:tcPr/>
                <w:p>
                  <w:pPr>
                    <w:pStyle w:val="Compact"/>
                    <w:jc w:val="left"/>
                    <w:jc w:val="left"/>
                  </w:pPr>
                  <w:r>
                    <w:t xml:space="preserve">11.213</w:t>
                  </w:r>
                </w:p>
              </w:tc>
              <w:tc>
                <w:tcPr/>
                <w:p>
                  <w:pPr>
                    <w:pStyle w:val="Compact"/>
                    <w:jc w:val="left"/>
                    <w:jc w:val="left"/>
                  </w:pPr>
                  <w:r>
                    <w:t xml:space="preserve">0.899</w:t>
                  </w:r>
                </w:p>
              </w:tc>
              <w:tc>
                <w:tcPr/>
                <w:p>
                  <w:pPr>
                    <w:pStyle w:val="Compact"/>
                    <w:jc w:val="left"/>
                    <w:jc w:val="left"/>
                  </w:pPr>
                  <w:r>
                    <w:t xml:space="preserve">0.169</w:t>
                  </w:r>
                </w:p>
              </w:tc>
              <w:tc>
                <w:tcPr/>
                <w:p>
                  <w:pPr>
                    <w:pStyle w:val="Compact"/>
                    <w:jc w:val="left"/>
                    <w:jc w:val="left"/>
                  </w:pPr>
                  <w:r>
                    <w:t xml:space="preserve">999</w:t>
                  </w:r>
                </w:p>
              </w:tc>
            </w:tr>
            <w:tr>
              <w:tc>
                <w:tcPr/>
                <w:p>
                  <w:pPr>
                    <w:pStyle w:val="Compact"/>
                    <w:jc w:val="left"/>
                    <w:jc w:val="left"/>
                  </w:pPr>
                  <w:r>
                    <w:t xml:space="preserve">Aur-P2</w:t>
                  </w:r>
                </w:p>
              </w:tc>
              <w:tc>
                <w:tcPr/>
                <w:p>
                  <w:pPr>
                    <w:pStyle w:val="Compact"/>
                    <w:jc w:val="left"/>
                    <w:jc w:val="left"/>
                  </w:pPr>
                  <w:r>
                    <w:t xml:space="preserve">0.415</w:t>
                  </w:r>
                </w:p>
              </w:tc>
              <w:tc>
                <w:tcPr/>
                <w:p>
                  <w:pPr>
                    <w:pStyle w:val="Compact"/>
                    <w:jc w:val="left"/>
                    <w:jc w:val="left"/>
                  </w:pPr>
                  <w:r>
                    <w:t xml:space="preserve">0.366</w:t>
                  </w:r>
                </w:p>
              </w:tc>
              <w:tc>
                <w:tcPr/>
                <w:p>
                  <w:pPr>
                    <w:pStyle w:val="Compact"/>
                    <w:jc w:val="left"/>
                    <w:jc w:val="left"/>
                  </w:pPr>
                  <w:r>
                    <w:t xml:space="preserve">0.035</w:t>
                  </w:r>
                </w:p>
              </w:tc>
              <w:tc>
                <w:tcPr/>
                <w:p>
                  <w:pPr>
                    <w:pStyle w:val="Compact"/>
                    <w:jc w:val="left"/>
                    <w:jc w:val="left"/>
                  </w:pPr>
                  <w:r>
                    <w:t xml:space="preserve">0.912</w:t>
                  </w:r>
                </w:p>
              </w:tc>
              <w:tc>
                <w:tcPr/>
                <w:p>
                  <w:pPr>
                    <w:pStyle w:val="Compact"/>
                    <w:jc w:val="left"/>
                    <w:jc w:val="left"/>
                  </w:pPr>
                  <w:r>
                    <w:t xml:space="preserve">4.381</w:t>
                  </w:r>
                </w:p>
              </w:tc>
              <w:tc>
                <w:tcPr/>
                <w:p>
                  <w:pPr>
                    <w:pStyle w:val="Compact"/>
                    <w:jc w:val="left"/>
                    <w:jc w:val="left"/>
                  </w:pPr>
                  <w:r>
                    <w:t xml:space="preserve">4.046</w:t>
                  </w:r>
                </w:p>
              </w:tc>
              <w:tc>
                <w:tcPr/>
                <w:p>
                  <w:pPr>
                    <w:pStyle w:val="Compact"/>
                    <w:jc w:val="left"/>
                    <w:jc w:val="left"/>
                  </w:pPr>
                  <w:r>
                    <w:t xml:space="preserve">0.359</w:t>
                  </w:r>
                </w:p>
              </w:tc>
              <w:tc>
                <w:tcPr/>
                <w:p>
                  <w:pPr>
                    <w:pStyle w:val="Compact"/>
                    <w:jc w:val="left"/>
                    <w:jc w:val="left"/>
                  </w:pPr>
                  <w:r>
                    <w:t xml:space="preserve">0.854</w:t>
                  </w:r>
                </w:p>
              </w:tc>
              <w:tc>
                <w:tcPr/>
                <w:p>
                  <w:pPr>
                    <w:pStyle w:val="Compact"/>
                    <w:jc w:val="left"/>
                    <w:jc w:val="left"/>
                  </w:pPr>
                  <w:r>
                    <w:t xml:space="preserve">999</w:t>
                  </w:r>
                </w:p>
              </w:tc>
            </w:tr>
          </w:tbl>
          <w:p>
            <w:pPr>
              <w:jc w:val="left"/>
            </w:pPr>
            <w:pPr>
              <w:jc w:val="start"/>
              <w:spacing w:before="200"/>
              <w:pStyle w:val="ImageCaption"/>
            </w:pPr>
            <w:r>
              <w:t xml:space="preserve">Table AK. Seriation-order null test results (B = 999 Curveball replicates per phase, seed = 1). Concentration = mean normalised distance of presences from diagonal; Path length = sum of consecutive Jaccard distances along seriated order. One-sided p-values: smaller observed statistic = more ordered. B_finite = replicates that converged.</w:t>
            </w:r>
          </w:p>
          <w:bookmarkEnd w:id="194"/>
        </w:tc>
      </w:tr>
    </w:tbl>
    <w:tbl>
      <w:tblPr>
        <w:tblStyle w:val="Table"/>
        <w:tblW w:type="pct" w:w="5000"/>
        <w:tblLook w:firstRow="0" w:lastRow="0" w:firstColumn="0" w:lastColumn="0" w:noHBand="0" w:noVBand="0" w:val="0000"/>
        <w:jc w:val="start"/>
        <w:tblLayout w:type="fixed"/>
      </w:tblPr>
      <w:tblGrid>
        <w:gridCol w:w="7920"/>
      </w:tblGrid>
      <w:tr>
        <w:tc>
          <w:tcPr/>
          <w:bookmarkStart w:id="198" w:name="fig-seriation-null"/>
          <w:p>
            <w:pPr>
              <w:pStyle w:val="Compact"/>
              <w:jc w:val="left"/>
            </w:pPr>
            <w:r>
              <w:drawing>
                <wp:inline>
                  <wp:extent cx="5943600" cy="2971800"/>
                  <wp:effectExtent b="0" l="0" r="0" t="0"/>
                  <wp:docPr descr="" title="" id="196" name="Picture"/>
                  <a:graphic>
                    <a:graphicData uri="http://schemas.openxmlformats.org/drawingml/2006/picture">
                      <pic:pic>
                        <pic:nvPicPr>
                          <pic:cNvPr descr="S1_File_files/figure-docx/fig-seriation-null-1.png" id="197" name="Picture"/>
                          <pic:cNvPicPr>
                            <a:picLocks noChangeArrowheads="1" noChangeAspect="1"/>
                          </pic:cNvPicPr>
                        </pic:nvPicPr>
                        <pic:blipFill>
                          <a:blip r:embed="rId195"/>
                          <a:stretch>
                            <a:fillRect/>
                          </a:stretch>
                        </pic:blipFill>
                        <pic:spPr bwMode="auto">
                          <a:xfrm>
                            <a:off x="0" y="0"/>
                            <a:ext cx="5943600" cy="2971800"/>
                          </a:xfrm>
                          <a:prstGeom prst="rect">
                            <a:avLst/>
                          </a:prstGeom>
                          <a:noFill/>
                          <a:ln w="9525">
                            <a:noFill/>
                            <a:headEnd/>
                            <a:tailEnd/>
                          </a:ln>
                        </pic:spPr>
                      </pic:pic>
                    </a:graphicData>
                  </a:graphic>
                </wp:inline>
              </w:drawing>
            </w:r>
          </w:p>
          <w:p>
            <w:pPr>
              <w:jc w:val="left"/>
            </w:pPr>
            <w:pPr>
              <w:jc w:val="start"/>
              <w:spacing w:before="200"/>
              <w:pStyle w:val="ImageCaption"/>
            </w:pPr>
            <w:r>
              <w:t xml:space="preserve">Fig K. Seriation concentration null distributions (B = 999 Curveball replicates). Vertical lines mark the observed concentration; smaller = tighter diagonal clustering. Aur-P1 (left) and Aur-P2 (right) shown separately. If the observed line falls in the left tail of the null, the seriation ordering exceeds what richness margins alone produce.</w:t>
            </w:r>
          </w:p>
          <w:bookmarkEnd w:id="198"/>
        </w:tc>
      </w:tr>
    </w:tbl>
    <w:bookmarkEnd w:id="199"/>
    <w:bookmarkStart w:id="200" w:name="interpretation-16"/>
    <w:p>
      <w:pPr>
        <w:pStyle w:val="Heading3"/>
      </w:pPr>
      <w:r>
        <w:t xml:space="preserve">Interpretation</w:t>
      </w:r>
    </w:p>
    <w:p>
      <w:pPr>
        <w:pStyle w:val="FirstParagraph"/>
      </w:pPr>
      <w:r>
        <w:rPr>
          <w:bCs/>
          <w:b/>
        </w:rPr>
        <w:t xml:space="preserve">Question: does the seriation diagonal concentration exceed the Curveball fixed-fixed null in either phase?</w:t>
      </w:r>
      <w:r>
        <w:t xml:space="preserve"> </w:t>
      </w:r>
      <w:r>
        <w:t xml:space="preserve">In</w:t>
      </w:r>
      <w:r>
        <w:t xml:space="preserve"> </w:t>
      </w:r>
      <w:r>
        <w:rPr>
          <w:bCs/>
          <w:b/>
        </w:rPr>
        <w:t xml:space="preserve">Aur-P1</w:t>
      </w:r>
      <w:r>
        <w:t xml:space="preserve">, the observed concentration is 0.292 against a null mean of 0.314 (SD 0.040, 999 finite replicates), giving a one-sided p-value of 0.311. The path-length statistic gives a congruent p-value of 0.169. In</w:t>
      </w:r>
      <w:r>
        <w:t xml:space="preserve"> </w:t>
      </w:r>
      <w:r>
        <w:rPr>
          <w:bCs/>
          <w:b/>
        </w:rPr>
        <w:t xml:space="preserve">Aur-P2</w:t>
      </w:r>
      <w:r>
        <w:t xml:space="preserve">, the observed concentration is 0.415 against a null mean of 0.366 (SD 0.035, 999 finite replicates), p = 0.912; path-length p = 0.854. Neither statistic reaches significance in either phase at α = 0.05.</w:t>
      </w:r>
    </w:p>
    <w:p>
      <w:pPr>
        <w:pStyle w:val="BodyText"/>
      </w:pPr>
      <w:r>
        <w:rPr>
          <w:bCs/>
          <w:b/>
        </w:rPr>
        <w:t xml:space="preserve">Implication for the main text.</w:t>
      </w:r>
      <w:r>
        <w:t xml:space="preserve"> </w:t>
      </w:r>
      <w:r>
        <w:t xml:space="preserve">The Brower–Kile seriation produces a visually compelling diagonal pattern in both phases, but this pattern is not statistically distinguishable from what the fixed-fixed Curveball null generates when only site richness and sign-type frequencies are preserved. The seriation should therefore be read as a descriptive ordering device that reveals a richness gradient, not as evidence for discrete structure exceeding marginal constraints. This is consistent with the SBM null (</w:t>
      </w:r>
      <w:r>
        <w:t xml:space="preserve">Section S1.9.4</w:t>
      </w:r>
      <w:r>
        <w:t xml:space="preserve">), the maximally-selected split null (</w:t>
      </w:r>
      <w:r>
        <w:t xml:space="preserve">Section S1.10.2</w:t>
      </w:r>
      <w:r>
        <w:t xml:space="preserve">), and the Simpson-turnover null (</w:t>
      </w:r>
      <w:r>
        <w:t xml:space="preserve">Section S1.10.3</w:t>
      </w:r>
      <w:r>
        <w:t xml:space="preserve">), which all fail to reject richness-preserving nulls. The two-group visual impression from the seriation is a real and reproducible gradient (supported by bootstrap consensus in</w:t>
      </w:r>
      <w:r>
        <w:t xml:space="preserve"> </w:t>
      </w:r>
      <w:r>
        <w:t xml:space="preserve">Section S1.9.2</w:t>
      </w:r>
      <w:r>
        <w:t xml:space="preserve">), but its independence from sampling effort is not demonstrated for small-assemblage sites.</w:t>
      </w:r>
    </w:p>
    <w:bookmarkEnd w:id="200"/>
    <w:bookmarkEnd w:id="201"/>
    <w:bookmarkStart w:id="205" w:name="sec-s9-6"/>
    <w:p>
      <w:pPr>
        <w:pStyle w:val="Heading2"/>
      </w:pPr>
      <w:r>
        <w:t xml:space="preserve">S1.9.6 Cross-Validation of Group Assignments (ARI)</w:t>
      </w:r>
    </w:p>
    <w:bookmarkStart w:id="203" w:name="rationale-18"/>
    <w:p>
      <w:pPr>
        <w:pStyle w:val="Heading3"/>
      </w:pPr>
      <w:r>
        <w:t xml:space="preserve">Rationale</w:t>
      </w:r>
    </w:p>
    <w:p>
      <w:pPr>
        <w:pStyle w:val="FirstParagraph"/>
      </w:pPr>
      <w:r>
        <w:t xml:space="preserve">To quantify overall agreement among the three ways of partitioning sites — the main-text manual restricted/broad groups, the bootstrap modal blocks (</w:t>
      </w:r>
      <w:r>
        <w:t xml:space="preserve">Section S1.9.2</w:t>
      </w:r>
      <w:r>
        <w:t xml:space="preserve">), and the SBM modal assignments (</w:t>
      </w:r>
      <w:r>
        <w:t xml:space="preserve">Section S1.9.3</w:t>
      </w:r>
      <w:r>
        <w:t xml:space="preserve">) under each emission model (Bernoulli, Gaussian, Poisson) — we compute the Adjusted Rand Index (ARI) between each pair of partitions for each phase. ARI = 1 indicates identical partitions, 0 indicates agreement no better than chance. We use a self-contained implementation of ARI (the</w:t>
      </w:r>
      <w:r>
        <w:t xml:space="preserve"> </w:t>
      </w:r>
      <w:r>
        <w:t xml:space="preserve">Section S1.6</w:t>
      </w:r>
      <w:r>
        <w:t xml:space="preserve"> </w:t>
      </w:r>
      <w:r>
        <w:t xml:space="preserve">analyses use</w:t>
      </w:r>
      <w:r>
        <w:t xml:space="preserve"> </w:t>
      </w:r>
      <w:r>
        <w:rPr>
          <w:rStyle w:val="VerbatimChar"/>
        </w:rPr>
        <w:t xml:space="preserve">mclust::adjustedRandIndex</w:t>
      </w:r>
      <w:r>
        <w:t xml:space="preserve">, which yields the same values). Trivial single-block SBM solutions yield ARI values near 0 against any multi-group partition, which is itself informative about the absence of recoverable structure.</w:t>
      </w:r>
    </w:p>
    <w:p>
      <w:pPr>
        <w:pStyle w:val="BodyText"/>
      </w:pPr>
      <w:r>
        <w:rPr>
          <w:bCs/>
          <w:b/>
        </w:rPr>
        <w:t xml:space="preserve">Question: how strongly do manual, bootstrap-modal, and SBM-modal partitions agree in each phase?</w:t>
      </w:r>
    </w:p>
    <w:tbl>
      <w:tblPr>
        <w:tblStyle w:val="Table"/>
        <w:tblW w:type="pct" w:w="5000"/>
        <w:tblLook w:firstRow="0" w:lastRow="0" w:firstColumn="0" w:lastColumn="0" w:noHBand="0" w:noVBand="0" w:val="0000"/>
        <w:jc w:val="start"/>
        <w:tblLayout w:type="fixed"/>
      </w:tblPr>
      <w:tblGrid>
        <w:gridCol w:w="7920"/>
      </w:tblGrid>
      <w:tr>
        <w:tc>
          <w:tcPr/>
          <w:bookmarkStart w:id="202" w:name="tbl-ari-bootstrap-sbm"/>
          <w:tbl>
            <w:tblPr>
              <w:tblStyle w:val="Table"/>
              <w:tblW w:type="pct" w:w="5000"/>
              <w:tblLook w:firstRow="1" w:lastRow="0" w:firstColumn="0" w:lastColumn="0" w:noHBand="0" w:noVBand="0" w:val="0020"/>
              <w:jc w:val="start"/>
              <w:tblLayout w:type="fixed"/>
            </w:tblPr>
            <w:tblGrid>
              <w:gridCol w:w="950"/>
              <w:gridCol w:w="1029"/>
              <w:gridCol w:w="1029"/>
              <w:gridCol w:w="950"/>
              <w:gridCol w:w="1029"/>
              <w:gridCol w:w="950"/>
              <w:gridCol w:w="1029"/>
              <w:gridCol w:w="950"/>
            </w:tblGrid>
            <w:tr>
              <w:trPr>
                <w:tblHeader w:val="true"/>
              </w:trPr>
              <w:tc>
                <w:tcPr/>
                <w:p>
                  <w:pPr>
                    <w:pStyle w:val="Compact"/>
                    <w:jc w:val="left"/>
                    <w:jc w:val="left"/>
                  </w:pPr>
                  <w:r>
                    <w:t xml:space="preserve">Phase</w:t>
                  </w:r>
                </w:p>
              </w:tc>
              <w:tc>
                <w:tcPr/>
                <w:p>
                  <w:pPr>
                    <w:pStyle w:val="Compact"/>
                    <w:jc w:val="left"/>
                    <w:jc w:val="left"/>
                  </w:pPr>
                  <w:r>
                    <w:t xml:space="preserve">ARI manual vs bootstrap</w:t>
                  </w:r>
                </w:p>
              </w:tc>
              <w:tc>
                <w:tcPr/>
                <w:p>
                  <w:pPr>
                    <w:pStyle w:val="Compact"/>
                    <w:jc w:val="left"/>
                    <w:jc w:val="left"/>
                  </w:pPr>
                  <w:r>
                    <w:t xml:space="preserve">ARI manual vs SBM (Bern)</w:t>
                  </w:r>
                </w:p>
              </w:tc>
              <w:tc>
                <w:tcPr/>
                <w:p>
                  <w:pPr>
                    <w:pStyle w:val="Compact"/>
                    <w:jc w:val="left"/>
                    <w:jc w:val="left"/>
                  </w:pPr>
                  <w:r>
                    <w:t xml:space="preserve">ARI boot vs SBM (Bern)</w:t>
                  </w:r>
                </w:p>
              </w:tc>
              <w:tc>
                <w:tcPr/>
                <w:p>
                  <w:pPr>
                    <w:pStyle w:val="Compact"/>
                    <w:jc w:val="left"/>
                    <w:jc w:val="left"/>
                  </w:pPr>
                  <w:r>
                    <w:t xml:space="preserve">ARI manual vs SBM (Gauss)</w:t>
                  </w:r>
                </w:p>
              </w:tc>
              <w:tc>
                <w:tcPr/>
                <w:p>
                  <w:pPr>
                    <w:pStyle w:val="Compact"/>
                    <w:jc w:val="left"/>
                    <w:jc w:val="left"/>
                  </w:pPr>
                  <w:r>
                    <w:t xml:space="preserve">ARI boot vs SBM (Gauss)</w:t>
                  </w:r>
                </w:p>
              </w:tc>
              <w:tc>
                <w:tcPr/>
                <w:p>
                  <w:pPr>
                    <w:pStyle w:val="Compact"/>
                    <w:jc w:val="left"/>
                    <w:jc w:val="left"/>
                  </w:pPr>
                  <w:r>
                    <w:t xml:space="preserve">ARI manual vs SBM (Pois)</w:t>
                  </w:r>
                </w:p>
              </w:tc>
              <w:tc>
                <w:tcPr/>
                <w:p>
                  <w:pPr>
                    <w:pStyle w:val="Compact"/>
                    <w:jc w:val="left"/>
                    <w:jc w:val="left"/>
                  </w:pPr>
                  <w:r>
                    <w:t xml:space="preserve">ARI boot vs SBM (Pois)</w:t>
                  </w:r>
                </w:p>
              </w:tc>
            </w:tr>
            <w:tr>
              <w:tc>
                <w:tcPr/>
                <w:p>
                  <w:pPr>
                    <w:pStyle w:val="Compact"/>
                    <w:jc w:val="left"/>
                    <w:jc w:val="left"/>
                  </w:pPr>
                  <w:r>
                    <w:t xml:space="preserve">Aur-P1</w:t>
                  </w:r>
                </w:p>
              </w:tc>
              <w:tc>
                <w:tcPr/>
                <w:p>
                  <w:pPr>
                    <w:pStyle w:val="Compact"/>
                    <w:jc w:val="left"/>
                    <w:jc w:val="left"/>
                  </w:pPr>
                  <w:r>
                    <w:t xml:space="preserve">0.80</w:t>
                  </w:r>
                </w:p>
              </w:tc>
              <w:tc>
                <w:tcPr/>
                <w:p>
                  <w:pPr>
                    <w:pStyle w:val="Compact"/>
                    <w:jc w:val="left"/>
                    <w:jc w:val="left"/>
                  </w:pPr>
                  <w:r>
                    <w:t xml:space="preserve">0.7</w:t>
                  </w:r>
                </w:p>
              </w:tc>
              <w:tc>
                <w:tcPr/>
                <w:p>
                  <w:pPr>
                    <w:pStyle w:val="Compact"/>
                    <w:jc w:val="left"/>
                    <w:jc w:val="left"/>
                  </w:pPr>
                  <w:r>
                    <w:t xml:space="preserve">0.71</w:t>
                  </w:r>
                </w:p>
              </w:tc>
              <w:tc>
                <w:tcPr/>
                <w:p>
                  <w:pPr>
                    <w:pStyle w:val="Compact"/>
                    <w:jc w:val="left"/>
                    <w:jc w:val="left"/>
                  </w:pPr>
                  <w:r>
                    <w:t xml:space="preserve">0.53</w:t>
                  </w:r>
                </w:p>
              </w:tc>
              <w:tc>
                <w:tcPr/>
                <w:p>
                  <w:pPr>
                    <w:pStyle w:val="Compact"/>
                    <w:jc w:val="left"/>
                    <w:jc w:val="left"/>
                  </w:pPr>
                  <w:r>
                    <w:t xml:space="preserve">0.55</w:t>
                  </w:r>
                </w:p>
              </w:tc>
              <w:tc>
                <w:tcPr/>
                <w:p>
                  <w:pPr>
                    <w:pStyle w:val="Compact"/>
                    <w:jc w:val="left"/>
                    <w:jc w:val="left"/>
                  </w:pPr>
                  <w:r>
                    <w:t xml:space="preserve">0.63</w:t>
                  </w:r>
                </w:p>
              </w:tc>
              <w:tc>
                <w:tcPr/>
                <w:p>
                  <w:pPr>
                    <w:pStyle w:val="Compact"/>
                    <w:jc w:val="left"/>
                    <w:jc w:val="left"/>
                  </w:pPr>
                  <w:r>
                    <w:t xml:space="preserve">0.45</w:t>
                  </w:r>
                </w:p>
              </w:tc>
            </w:tr>
            <w:tr>
              <w:tc>
                <w:tcPr/>
                <w:p>
                  <w:pPr>
                    <w:pStyle w:val="Compact"/>
                    <w:jc w:val="left"/>
                    <w:jc w:val="left"/>
                  </w:pPr>
                  <w:r>
                    <w:t xml:space="preserve">Aur-P2</w:t>
                  </w:r>
                </w:p>
              </w:tc>
              <w:tc>
                <w:tcPr/>
                <w:p>
                  <w:pPr>
                    <w:pStyle w:val="Compact"/>
                    <w:jc w:val="left"/>
                    <w:jc w:val="left"/>
                  </w:pPr>
                  <w:r>
                    <w:t xml:space="preserve">0.22</w:t>
                  </w:r>
                </w:p>
              </w:tc>
              <w:tc>
                <w:tcPr/>
                <w:p>
                  <w:pPr>
                    <w:pStyle w:val="Compact"/>
                    <w:jc w:val="left"/>
                    <w:jc w:val="left"/>
                  </w:pPr>
                  <w:r>
                    <w:t xml:space="preserve">0.0</w:t>
                  </w:r>
                </w:p>
              </w:tc>
              <w:tc>
                <w:tcPr/>
                <w:p>
                  <w:pPr>
                    <w:pStyle w:val="Compact"/>
                    <w:jc w:val="left"/>
                    <w:jc w:val="left"/>
                  </w:pPr>
                  <w:r>
                    <w:t xml:space="preserve">0.00</w:t>
                  </w:r>
                </w:p>
              </w:tc>
              <w:tc>
                <w:tcPr/>
                <w:p>
                  <w:pPr>
                    <w:pStyle w:val="Compact"/>
                    <w:jc w:val="left"/>
                    <w:jc w:val="left"/>
                  </w:pPr>
                  <w:r>
                    <w:t xml:space="preserve">0.22</w:t>
                  </w:r>
                </w:p>
              </w:tc>
              <w:tc>
                <w:tcPr/>
                <w:p>
                  <w:pPr>
                    <w:pStyle w:val="Compact"/>
                    <w:jc w:val="left"/>
                    <w:jc w:val="left"/>
                  </w:pPr>
                  <w:r>
                    <w:t xml:space="preserve">1.00</w:t>
                  </w:r>
                </w:p>
              </w:tc>
              <w:tc>
                <w:tcPr/>
                <w:p>
                  <w:pPr>
                    <w:pStyle w:val="Compact"/>
                    <w:jc w:val="left"/>
                    <w:jc w:val="left"/>
                  </w:pPr>
                  <w:r>
                    <w:t xml:space="preserve">0.00</w:t>
                  </w:r>
                </w:p>
              </w:tc>
              <w:tc>
                <w:tcPr/>
                <w:p>
                  <w:pPr>
                    <w:pStyle w:val="Compact"/>
                    <w:jc w:val="left"/>
                    <w:jc w:val="left"/>
                  </w:pPr>
                  <w:r>
                    <w:t xml:space="preserve">0.00</w:t>
                  </w:r>
                </w:p>
              </w:tc>
            </w:tr>
          </w:tbl>
          <w:p>
            <w:pPr>
              <w:jc w:val="left"/>
            </w:pPr>
            <w:pPr>
              <w:jc w:val="start"/>
              <w:spacing w:before="200"/>
              <w:pStyle w:val="ImageCaption"/>
            </w:pPr>
            <w:r>
              <w:t xml:space="preserve">Table AL. Adjusted Rand Index between the main-text manual restricted/broad assignment, the bootstrap modal blocks (</w:t>
            </w:r>
            <w:r>
              <w:t xml:space="preserve">Section S1.9.2</w:t>
            </w:r>
            <w:r>
              <w:t xml:space="preserve">), and the SBM modal assignments (</w:t>
            </w:r>
            <w:r>
              <w:t xml:space="preserve">Section S1.9.3</w:t>
            </w:r>
            <w:r>
              <w:t xml:space="preserve">) under each emission model (Bernoulli, Gaussian, Poisson), by phase.</w:t>
            </w:r>
          </w:p>
          <w:bookmarkEnd w:id="202"/>
        </w:tc>
      </w:tr>
    </w:tbl>
    <w:bookmarkEnd w:id="203"/>
    <w:bookmarkStart w:id="204" w:name="interpretation-17"/>
    <w:p>
      <w:pPr>
        <w:pStyle w:val="Heading3"/>
      </w:pPr>
      <w:r>
        <w:t xml:space="preserve">Interpretation</w:t>
      </w:r>
    </w:p>
    <w:p>
      <w:pPr>
        <w:pStyle w:val="FirstParagraph"/>
      </w:pPr>
      <w:r>
        <w:rPr>
          <w:bCs/>
          <w:b/>
        </w:rPr>
        <w:t xml:space="preserve">Question: how strongly do manual, bootstrap-modal, and SBM-modal partitions agree in each phase?</w:t>
      </w:r>
      <w:r>
        <w:t xml:space="preserve"> </w:t>
      </w:r>
      <w:r>
        <w:t xml:space="preserve">The ARI values summarise how far the three routes to the two-group partition agree, and the agreement is informative precisely because it varies by phase and method (</w:t>
      </w:r>
      <w:hyperlink w:anchor="tbl-ari-bootstrap-sbm">
        <w:r>
          <w:rPr>
            <w:rStyle w:val="Hyperlink"/>
          </w:rPr>
          <w:t xml:space="preserve">Table AL</w:t>
        </w:r>
      </w:hyperlink>
      <w:r>
        <w:t xml:space="preserve">). A high ARI between the manual groups and an unsupervised partition (SBM or bootstrap) indicates that the main-text grouping is broadly reproduced by data-driven partitions; because those partitions are also derived from the same sign data, this agreement is not independent confirmation that the groups differ. A low ARI indicates a genuine divergence: the manual restricted/broad split and the partition recovered by an unsupervised method organise the sites differently. Because the restricted/broad divide is defined partly by sign-type</w:t>
      </w:r>
      <w:r>
        <w:t xml:space="preserve"> </w:t>
      </w:r>
      <w:r>
        <w:rPr>
          <w:iCs/>
          <w:i/>
        </w:rPr>
        <w:t xml:space="preserve">richness</w:t>
      </w:r>
      <w:r>
        <w:t xml:space="preserve"> </w:t>
      </w:r>
      <w:r>
        <w:t xml:space="preserve">(the restricted sites are assemblages with few sign types), it is not in general expected to coincide with clusters defined purely by compositional</w:t>
      </w:r>
      <w:r>
        <w:t xml:space="preserve"> </w:t>
      </w:r>
      <w:r>
        <w:rPr>
          <w:iCs/>
          <w:i/>
        </w:rPr>
        <w:t xml:space="preserve">similarity</w:t>
      </w:r>
      <w:r>
        <w:t xml:space="preserve">, and low ARI between the manual groups and similarity-based partitions should be interpreted in that light rather than as evidence that either partition is wrong.</w:t>
      </w:r>
    </w:p>
    <w:p>
      <w:pPr>
        <w:pStyle w:val="BodyText"/>
      </w:pPr>
      <w:r>
        <w:rPr>
          <w:bCs/>
          <w:b/>
        </w:rPr>
        <w:t xml:space="preserve">Implication for the main text.</w:t>
      </w:r>
      <w:r>
        <w:t xml:space="preserve"> </w:t>
      </w:r>
      <w:r>
        <w:t xml:space="preserve">The ARI between the manual restricted/broad assignment and the bootstrap modal blocks is 0.8 in Aur-P1 and 0.22 in Aur-P2 (</w:t>
      </w:r>
      <w:hyperlink w:anchor="tbl-ari-bootstrap-sbm">
        <w:r>
          <w:rPr>
            <w:rStyle w:val="Hyperlink"/>
          </w:rPr>
          <w:t xml:space="preserve">Table AL</w:t>
        </w:r>
      </w:hyperlink>
      <w:r>
        <w:t xml:space="preserve">). Thus subsampling of sites reproduces the manual labels closely in Aur-P1 and only weakly in Aur-P2. In Aur-P1 the Bernoulli SBM also agrees with the manual labels (manual–SBM 0.7) and with the bootstrap partition (bootstrap–SBM 0.71), and agreement is moderate under the other emission models (Gaussian manual–SBM 0.53; Poisson manual–SBM 0.63). In Aur-P2 the Bernoulli and Poisson values are 0 and 0, because those solutions are single blocks, and the Gaussian K = 2 solution is selected by only 0.90 ICL points (</w:t>
      </w:r>
      <w:r>
        <w:t xml:space="preserve">Section S1.9.4</w:t>
      </w:r>
      <w:r>
        <w:t xml:space="preserve">). All these partitions come from the same sign data. Their agreement shows that the restricted/broad labels are stable and recoverable, not that two discrete groups exist (</w:t>
      </w:r>
      <w:r>
        <w:t xml:space="preserve">Section S1.10</w:t>
      </w:r>
      <w:r>
        <w:t xml:space="preserve">).</w:t>
      </w:r>
    </w:p>
    <w:bookmarkEnd w:id="204"/>
    <w:bookmarkEnd w:id="205"/>
    <w:bookmarkEnd w:id="206"/>
    <w:bookmarkStart w:id="214" w:name="sec-s10"/>
    <w:p>
      <w:pPr>
        <w:pStyle w:val="Heading1"/>
      </w:pPr>
      <w:r>
        <w:t xml:space="preserve">S1.10 Withheld-Data Validation</w:t>
      </w:r>
    </w:p>
    <w:bookmarkStart w:id="208" w:name="sec-s10-rationale"/>
    <w:p>
      <w:pPr>
        <w:pStyle w:val="Heading2"/>
      </w:pPr>
      <w:r>
        <w:t xml:space="preserve">S1.10.1 Rationale</w:t>
      </w:r>
    </w:p>
    <w:p>
      <w:pPr>
        <w:pStyle w:val="FirstParagraph"/>
      </w:pPr>
      <w:r>
        <w:t xml:space="preserve">The restricted/broad groups were defined from the same sign-composition data that the main-text PerMANOVA later tests, so its p-values cannot be read as</w:t>
      </w:r>
      <w:r>
        <w:t xml:space="preserve"> </w:t>
      </w:r>
      <w:r>
        <w:rPr>
          <w:iCs/>
          <w:i/>
        </w:rPr>
        <w:t xml:space="preserve">independent</w:t>
      </w:r>
      <w:r>
        <w:t xml:space="preserve"> </w:t>
      </w:r>
      <w:r>
        <w:t xml:space="preserve">confirmation that the groups differ. Louvain, bootstrap and stochastic block model analyses (</w:t>
      </w:r>
      <w:r>
        <w:t xml:space="preserve">Section S1.6</w:t>
      </w:r>
      <w:r>
        <w:t xml:space="preserve">,</w:t>
      </w:r>
      <w:r>
        <w:t xml:space="preserve"> </w:t>
      </w:r>
      <w:r>
        <w:t xml:space="preserve">Section S1.9</w:t>
      </w:r>
      <w:r>
        <w:t xml:space="preserve">) also operate on that same underlying dataset, so they do not remove the circularity either. To address this directly we implement three complementary methods that break the circularity, each following a distinct validation strategy:</w:t>
      </w:r>
    </w:p>
    <w:p>
      <w:pPr>
        <w:numPr>
          <w:ilvl w:val="0"/>
          <w:numId w:val="1010"/>
        </w:numPr>
        <w:pStyle w:val="Compact"/>
      </w:pPr>
      <w:r>
        <w:rPr>
          <w:bCs/>
          <w:b/>
        </w:rPr>
        <w:t xml:space="preserve">(A) Maximally-selected achieved-significance test:</w:t>
      </w:r>
      <w:r>
        <w:t xml:space="preserve"> </w:t>
      </w:r>
      <w:r>
        <w:t xml:space="preserve">the optimal two-group split is re-derived from</w:t>
      </w:r>
      <w:r>
        <w:t xml:space="preserve"> </w:t>
      </w:r>
      <w:r>
        <w:rPr>
          <w:iCs/>
          <w:i/>
        </w:rPr>
        <w:t xml:space="preserve">randomised</w:t>
      </w:r>
      <w:r>
        <w:t xml:space="preserve"> </w:t>
      </w:r>
      <w:r>
        <w:t xml:space="preserve">data in every permutation, and the observed optimal split is compared against that null. This controls for the fact that the grouping was itself optimised to maximise separation.</w:t>
      </w:r>
    </w:p>
    <w:p>
      <w:pPr>
        <w:numPr>
          <w:ilvl w:val="0"/>
          <w:numId w:val="1010"/>
        </w:numPr>
        <w:pStyle w:val="Compact"/>
      </w:pPr>
      <w:r>
        <w:rPr>
          <w:bCs/>
          <w:b/>
        </w:rPr>
        <w:t xml:space="preserve">(B) Cross-validation on withheld data:</w:t>
      </w:r>
      <w:r>
        <w:t xml:space="preserve"> </w:t>
      </w:r>
      <w:r>
        <w:t xml:space="preserve">the grouping is validated on data that did not contribute to its definition. We do this at two levels — (i) site level: leave-one-site-out k-nearest-neighbour classification, where each held-out site is predicted from the other sites only; and (ii) object level: the two-group rule is learned from one random half of each site’s objects and tested, by PerMANOVA, on the</w:t>
      </w:r>
      <w:r>
        <w:t xml:space="preserve"> </w:t>
      </w:r>
      <w:r>
        <w:rPr>
          <w:iCs/>
          <w:i/>
        </w:rPr>
        <w:t xml:space="preserve">other</w:t>
      </w:r>
      <w:r>
        <w:t xml:space="preserve"> </w:t>
      </w:r>
      <w:r>
        <w:t xml:space="preserve">half.</w:t>
      </w:r>
    </w:p>
    <w:p>
      <w:pPr>
        <w:numPr>
          <w:ilvl w:val="0"/>
          <w:numId w:val="1010"/>
        </w:numPr>
        <w:pStyle w:val="Compact"/>
      </w:pPr>
      <w:r>
        <w:rPr>
          <w:bCs/>
          <w:b/>
        </w:rPr>
        <w:t xml:space="preserve">(C) Group-free gradient PerMANOVA:</w:t>
      </w:r>
      <w:r>
        <w:t xml:space="preserve"> </w:t>
      </w:r>
      <w:r>
        <w:t xml:space="preserve">instead of asserting discrete groups, sign composition is regressed on continuous predictors that are independent of the distance matrix (log object count and site richness). Regressing the Jaccard dissimilarity on its own first PCoA axis is tautological; it is fitted only to demonstrate the tautology, and validation uses predictors not derived from the same matrix.</w:t>
      </w:r>
    </w:p>
    <w:p>
      <w:pPr>
        <w:pStyle w:val="FirstParagraph"/>
      </w:pPr>
      <w:r>
        <w:t xml:space="preserve">All three are exploratory companions to, not replacements for, the main-text PerMANOVA, which we present as descriptive rather than confirmatory, framed as selective inference on data-adaptive groups</w:t>
      </w:r>
      <w:r>
        <w:t xml:space="preserve"> </w:t>
      </w:r>
      <w:r>
        <w:t xml:space="preserve">[22,23]</w:t>
      </w:r>
      <w:r>
        <w:t xml:space="preserve">. P-values from 100 dependent splits are reported as median p, and proportion significant. Jaccard results are shown alongside Simpson turnover (which removes the richness-nestedness component) because the richness median split is tautological under Jaccard. This section answers three specific questions:</w:t>
      </w:r>
    </w:p>
    <w:p>
      <w:pPr>
        <w:pStyle w:val="BodyText"/>
      </w:pPr>
      <w:r>
        <w:rPr>
          <w:bCs/>
          <w:b/>
        </w:rPr>
        <w:t xml:space="preserve">Question: is the optimal two-group split stronger than the best split from randomised data?</w:t>
      </w:r>
    </w:p>
    <w:p>
      <w:pPr>
        <w:pStyle w:val="BodyText"/>
      </w:pPr>
      <w:r>
        <w:rPr>
          <w:bCs/>
          <w:b/>
        </w:rPr>
        <w:t xml:space="preserve">Question: can the group assignment be recovered from withheld sites and from disjoint halves of objects?</w:t>
      </w:r>
    </w:p>
    <w:p>
      <w:pPr>
        <w:pStyle w:val="BodyText"/>
      </w:pPr>
      <w:r>
        <w:rPr>
          <w:bCs/>
          <w:b/>
        </w:rPr>
        <w:t xml:space="preserve">Question: does sign composition vary with predictors independent of the distance matrix?</w:t>
      </w:r>
    </w:p>
    <w:tbl>
      <w:tblPr>
        <w:tblStyle w:val="Table"/>
        <w:tblW w:type="pct" w:w="5000"/>
        <w:tblLook w:firstRow="0" w:lastRow="0" w:firstColumn="0" w:lastColumn="0" w:noHBand="0" w:noVBand="0" w:val="0000"/>
        <w:jc w:val="start"/>
        <w:tblLayout w:type="fixed"/>
      </w:tblPr>
      <w:tblGrid>
        <w:gridCol w:w="7920"/>
      </w:tblGrid>
      <w:tr>
        <w:tc>
          <w:tcPr/>
          <w:bookmarkStart w:id="207" w:name="tbl-validation-summary"/>
          <w:tbl>
            <w:tblPr>
              <w:tblStyle w:val="Table"/>
              <w:tblW w:type="pct" w:w="5000"/>
              <w:tblLook w:firstRow="1" w:lastRow="0" w:firstColumn="0" w:lastColumn="0" w:noHBand="0" w:noVBand="0" w:val="0020"/>
              <w:jc w:val="start"/>
              <w:tblLayout w:type="fixed"/>
            </w:tblPr>
            <w:tblGrid>
              <w:gridCol w:w="3168"/>
              <w:gridCol w:w="2534"/>
              <w:gridCol w:w="2217"/>
            </w:tblGrid>
            <w:tr>
              <w:trPr>
                <w:tblHeader w:val="true"/>
              </w:trPr>
              <w:tc>
                <w:tcPr/>
                <w:p>
                  <w:pPr>
                    <w:pStyle w:val="Compact"/>
                    <w:jc w:val="left"/>
                    <w:jc w:val="left"/>
                  </w:pPr>
                  <w:r>
                    <w:t xml:space="preserve">Method</w:t>
                  </w:r>
                </w:p>
              </w:tc>
              <w:tc>
                <w:tcPr/>
                <w:p>
                  <w:pPr>
                    <w:pStyle w:val="Compact"/>
                    <w:jc w:val="left"/>
                    <w:jc w:val="left"/>
                  </w:pPr>
                  <w:r>
                    <w:t xml:space="preserve">Statistic</w:t>
                  </w:r>
                </w:p>
              </w:tc>
              <w:tc>
                <w:tcPr/>
                <w:p>
                  <w:pPr>
                    <w:pStyle w:val="Compact"/>
                    <w:jc w:val="left"/>
                    <w:jc w:val="left"/>
                  </w:pPr>
                  <w:r>
                    <w:t xml:space="preserve">p.value</w:t>
                  </w:r>
                </w:p>
              </w:tc>
            </w:tr>
            <w:tr>
              <w:tc>
                <w:tcPr/>
                <w:p>
                  <w:pPr>
                    <w:pStyle w:val="Compact"/>
                    <w:jc w:val="left"/>
                    <w:jc w:val="left"/>
                  </w:pPr>
                  <w:r>
                    <w:t xml:space="preserve">A: Maximally-selected split (P1)</w:t>
                  </w:r>
                </w:p>
              </w:tc>
              <w:tc>
                <w:tcPr/>
                <w:p>
                  <w:pPr>
                    <w:pStyle w:val="Compact"/>
                    <w:jc w:val="left"/>
                    <w:jc w:val="left"/>
                  </w:pPr>
                  <w:r>
                    <w:t xml:space="preserve">3.72</w:t>
                  </w:r>
                </w:p>
              </w:tc>
              <w:tc>
                <w:tcPr/>
                <w:p>
                  <w:pPr>
                    <w:pStyle w:val="Compact"/>
                    <w:jc w:val="left"/>
                    <w:jc w:val="left"/>
                  </w:pPr>
                  <w:r>
                    <w:t xml:space="preserve">0.139</w:t>
                  </w:r>
                </w:p>
              </w:tc>
            </w:tr>
            <w:tr>
              <w:tc>
                <w:tcPr/>
                <w:p>
                  <w:pPr>
                    <w:pStyle w:val="Compact"/>
                    <w:jc w:val="left"/>
                    <w:jc w:val="left"/>
                  </w:pPr>
                  <w:r>
                    <w:t xml:space="preserve">A: Maximally-selected split (P2)</w:t>
                  </w:r>
                </w:p>
              </w:tc>
              <w:tc>
                <w:tcPr/>
                <w:p>
                  <w:pPr>
                    <w:pStyle w:val="Compact"/>
                    <w:jc w:val="left"/>
                    <w:jc w:val="left"/>
                  </w:pPr>
                  <w:r>
                    <w:t xml:space="preserve">1.77</w:t>
                  </w:r>
                </w:p>
              </w:tc>
              <w:tc>
                <w:tcPr/>
                <w:p>
                  <w:pPr>
                    <w:pStyle w:val="Compact"/>
                    <w:jc w:val="left"/>
                    <w:jc w:val="left"/>
                  </w:pPr>
                  <w:r>
                    <w:t xml:space="preserve">1</w:t>
                  </w:r>
                </w:p>
              </w:tc>
            </w:tr>
            <w:tr>
              <w:tc>
                <w:tcPr/>
                <w:p>
                  <w:pPr>
                    <w:pStyle w:val="Compact"/>
                    <w:jc w:val="left"/>
                    <w:jc w:val="left"/>
                  </w:pPr>
                  <w:r>
                    <w:t xml:space="preserve">B-i: LOOCV site classification (P1)</w:t>
                  </w:r>
                </w:p>
              </w:tc>
              <w:tc>
                <w:tcPr/>
                <w:p>
                  <w:pPr>
                    <w:pStyle w:val="Compact"/>
                    <w:jc w:val="left"/>
                    <w:jc w:val="left"/>
                  </w:pPr>
                  <w:r>
                    <w:t xml:space="preserve">100 %</w:t>
                  </w:r>
                </w:p>
              </w:tc>
              <w:tc>
                <w:tcPr/>
                <w:p>
                  <w:pPr>
                    <w:pStyle w:val="Compact"/>
                    <w:jc w:val="left"/>
                    <w:jc w:val="left"/>
                  </w:pPr>
                  <w:r>
                    <w:t xml:space="preserve">0.001</w:t>
                  </w:r>
                </w:p>
              </w:tc>
            </w:tr>
            <w:tr>
              <w:tc>
                <w:tcPr/>
                <w:p>
                  <w:pPr>
                    <w:pStyle w:val="Compact"/>
                    <w:jc w:val="left"/>
                    <w:jc w:val="left"/>
                  </w:pPr>
                  <w:r>
                    <w:t xml:space="preserve">B-i: LOOCV site classification (P2)</w:t>
                  </w:r>
                </w:p>
              </w:tc>
              <w:tc>
                <w:tcPr/>
                <w:p>
                  <w:pPr>
                    <w:pStyle w:val="Compact"/>
                    <w:jc w:val="left"/>
                    <w:jc w:val="left"/>
                  </w:pPr>
                  <w:r>
                    <w:t xml:space="preserve">89 %</w:t>
                  </w:r>
                </w:p>
              </w:tc>
              <w:tc>
                <w:tcPr/>
                <w:p>
                  <w:pPr>
                    <w:pStyle w:val="Compact"/>
                    <w:jc w:val="left"/>
                    <w:jc w:val="left"/>
                  </w:pPr>
                  <w:r>
                    <w:t xml:space="preserve">0.028</w:t>
                  </w:r>
                </w:p>
              </w:tc>
            </w:tr>
            <w:tr>
              <w:tc>
                <w:tcPr/>
                <w:p>
                  <w:pPr>
                    <w:pStyle w:val="Compact"/>
                    <w:jc w:val="left"/>
                    <w:jc w:val="left"/>
                  </w:pPr>
                  <w:r>
                    <w:t xml:space="preserve">B-ii: Object-half holdout Jaccard (P1)</w:t>
                  </w:r>
                </w:p>
              </w:tc>
              <w:tc>
                <w:tcPr/>
                <w:p>
                  <w:pPr>
                    <w:pStyle w:val="Compact"/>
                    <w:jc w:val="left"/>
                    <w:jc w:val="left"/>
                  </w:pPr>
                  <w:r>
                    <w:t xml:space="preserve">55% sig, med p=0.04</w:t>
                  </w:r>
                </w:p>
              </w:tc>
              <w:tc>
                <w:tcPr/>
                <w:p>
                  <w:pPr>
                    <w:pStyle w:val="Compact"/>
                    <w:jc w:val="left"/>
                    <w:jc w:val="left"/>
                  </w:pPr>
                  <w:r>
                    <w:t xml:space="preserve">not combined (dependent splits)</w:t>
                  </w:r>
                </w:p>
              </w:tc>
            </w:tr>
            <w:tr>
              <w:tc>
                <w:tcPr/>
                <w:p>
                  <w:pPr>
                    <w:pStyle w:val="Compact"/>
                    <w:jc w:val="left"/>
                    <w:jc w:val="left"/>
                  </w:pPr>
                  <w:r>
                    <w:t xml:space="preserve">B-ii: Object-half holdout Jaccard (P2)</w:t>
                  </w:r>
                </w:p>
              </w:tc>
              <w:tc>
                <w:tcPr/>
                <w:p>
                  <w:pPr>
                    <w:pStyle w:val="Compact"/>
                    <w:jc w:val="left"/>
                    <w:jc w:val="left"/>
                  </w:pPr>
                  <w:r>
                    <w:t xml:space="preserve">0% sig, med p=0.199</w:t>
                  </w:r>
                </w:p>
              </w:tc>
              <w:tc>
                <w:tcPr/>
                <w:p>
                  <w:pPr>
                    <w:pStyle w:val="Compact"/>
                    <w:jc w:val="left"/>
                    <w:jc w:val="left"/>
                  </w:pPr>
                  <w:r>
                    <w:t xml:space="preserve">not combined (dependent splits)</w:t>
                  </w:r>
                </w:p>
              </w:tc>
            </w:tr>
            <w:tr>
              <w:tc>
                <w:tcPr/>
                <w:p>
                  <w:pPr>
                    <w:pStyle w:val="Compact"/>
                    <w:jc w:val="left"/>
                    <w:jc w:val="left"/>
                  </w:pPr>
                  <w:r>
                    <w:t xml:space="preserve">B-ii: Object-half holdout Simpson (P1)</w:t>
                  </w:r>
                </w:p>
              </w:tc>
              <w:tc>
                <w:tcPr/>
                <w:p>
                  <w:pPr>
                    <w:pStyle w:val="Compact"/>
                    <w:jc w:val="left"/>
                    <w:jc w:val="left"/>
                  </w:pPr>
                  <w:r>
                    <w:t xml:space="preserve">0% sig, med p=0.976</w:t>
                  </w:r>
                </w:p>
              </w:tc>
              <w:tc>
                <w:tcPr/>
                <w:p>
                  <w:pPr>
                    <w:pStyle w:val="Compact"/>
                    <w:jc w:val="left"/>
                    <w:jc w:val="left"/>
                  </w:pPr>
                  <w:r>
                    <w:t xml:space="preserve">not combined (dependent splits)</w:t>
                  </w:r>
                </w:p>
              </w:tc>
            </w:tr>
            <w:tr>
              <w:tc>
                <w:tcPr/>
                <w:p>
                  <w:pPr>
                    <w:pStyle w:val="Compact"/>
                    <w:jc w:val="left"/>
                    <w:jc w:val="left"/>
                  </w:pPr>
                  <w:r>
                    <w:t xml:space="preserve">B-ii: Object-half holdout Simpson (P2)</w:t>
                  </w:r>
                </w:p>
              </w:tc>
              <w:tc>
                <w:tcPr/>
                <w:p>
                  <w:pPr>
                    <w:pStyle w:val="Compact"/>
                    <w:jc w:val="left"/>
                    <w:jc w:val="left"/>
                  </w:pPr>
                  <w:r>
                    <w:t xml:space="preserve">0% sig, med p=0.917</w:t>
                  </w:r>
                </w:p>
              </w:tc>
              <w:tc>
                <w:tcPr/>
                <w:p>
                  <w:pPr>
                    <w:pStyle w:val="Compact"/>
                    <w:jc w:val="left"/>
                    <w:jc w:val="left"/>
                  </w:pPr>
                  <w:r>
                    <w:t xml:space="preserve">not combined (dependent splits)</w:t>
                  </w:r>
                </w:p>
              </w:tc>
            </w:tr>
            <w:tr>
              <w:tc>
                <w:tcPr/>
                <w:p>
                  <w:pPr>
                    <w:pStyle w:val="Compact"/>
                    <w:jc w:val="left"/>
                    <w:jc w:val="left"/>
                  </w:pPr>
                  <w:r>
                    <w:t xml:space="preserve">C: Gradient log(nobjects) (P1)</w:t>
                  </w:r>
                </w:p>
              </w:tc>
              <w:tc>
                <w:tcPr/>
                <w:p>
                  <w:pPr>
                    <w:pStyle w:val="Compact"/>
                    <w:jc w:val="left"/>
                    <w:jc w:val="left"/>
                  </w:pPr>
                  <w:r>
                    <w:t xml:space="preserve">R2=0.187</w:t>
                  </w:r>
                </w:p>
              </w:tc>
              <w:tc>
                <w:tcPr/>
                <w:p>
                  <w:pPr>
                    <w:pStyle w:val="Compact"/>
                    <w:jc w:val="left"/>
                    <w:jc w:val="left"/>
                  </w:pPr>
                  <w:r>
                    <w:t xml:space="preserve">0.001</w:t>
                  </w:r>
                </w:p>
              </w:tc>
            </w:tr>
            <w:tr>
              <w:tc>
                <w:tcPr/>
                <w:p>
                  <w:pPr>
                    <w:pStyle w:val="Compact"/>
                    <w:jc w:val="left"/>
                    <w:jc w:val="left"/>
                  </w:pPr>
                  <w:r>
                    <w:t xml:space="preserve">C: Gradient log(nobjects) (P2)</w:t>
                  </w:r>
                </w:p>
              </w:tc>
              <w:tc>
                <w:tcPr/>
                <w:p>
                  <w:pPr>
                    <w:pStyle w:val="Compact"/>
                    <w:jc w:val="left"/>
                    <w:jc w:val="left"/>
                  </w:pPr>
                  <w:r>
                    <w:t xml:space="preserve">R2=0.128</w:t>
                  </w:r>
                </w:p>
              </w:tc>
              <w:tc>
                <w:tcPr/>
                <w:p>
                  <w:pPr>
                    <w:pStyle w:val="Compact"/>
                    <w:jc w:val="left"/>
                    <w:jc w:val="left"/>
                  </w:pPr>
                  <w:r>
                    <w:t xml:space="preserve">0.428</w:t>
                  </w:r>
                </w:p>
              </w:tc>
            </w:tr>
            <w:tr>
              <w:tc>
                <w:tcPr/>
                <w:p>
                  <w:pPr>
                    <w:pStyle w:val="Compact"/>
                    <w:jc w:val="left"/>
                    <w:jc w:val="left"/>
                  </w:pPr>
                  <w:r>
                    <w:t xml:space="preserve">C: Gradient richness (P1)</w:t>
                  </w:r>
                </w:p>
              </w:tc>
              <w:tc>
                <w:tcPr/>
                <w:p>
                  <w:pPr>
                    <w:pStyle w:val="Compact"/>
                    <w:jc w:val="left"/>
                    <w:jc w:val="left"/>
                  </w:pPr>
                  <w:r>
                    <w:t xml:space="preserve">R2=0.207</w:t>
                  </w:r>
                </w:p>
              </w:tc>
              <w:tc>
                <w:tcPr/>
                <w:p>
                  <w:pPr>
                    <w:pStyle w:val="Compact"/>
                    <w:jc w:val="left"/>
                    <w:jc w:val="left"/>
                  </w:pPr>
                  <w:r>
                    <w:t xml:space="preserve">0.001</w:t>
                  </w:r>
                </w:p>
              </w:tc>
            </w:tr>
            <w:tr>
              <w:tc>
                <w:tcPr/>
                <w:p>
                  <w:pPr>
                    <w:pStyle w:val="Compact"/>
                    <w:jc w:val="left"/>
                    <w:jc w:val="left"/>
                  </w:pPr>
                  <w:r>
                    <w:t xml:space="preserve">C: Gradient richness (P2)</w:t>
                  </w:r>
                </w:p>
              </w:tc>
              <w:tc>
                <w:tcPr/>
                <w:p>
                  <w:pPr>
                    <w:pStyle w:val="Compact"/>
                    <w:jc w:val="left"/>
                    <w:jc w:val="left"/>
                  </w:pPr>
                  <w:r>
                    <w:t xml:space="preserve">R2=0.272</w:t>
                  </w:r>
                </w:p>
              </w:tc>
              <w:tc>
                <w:tcPr/>
                <w:p>
                  <w:pPr>
                    <w:pStyle w:val="Compact"/>
                    <w:jc w:val="left"/>
                    <w:jc w:val="left"/>
                  </w:pPr>
                  <w:r>
                    <w:t xml:space="preserve">0.038</w:t>
                  </w:r>
                </w:p>
              </w:tc>
            </w:tr>
          </w:tbl>
          <w:p>
            <w:pPr>
              <w:jc w:val="left"/>
            </w:pPr>
            <w:pPr>
              <w:jc w:val="start"/>
              <w:spacing w:before="200"/>
              <w:pStyle w:val="ImageCaption"/>
            </w:pPr>
            <w:r>
              <w:t xml:space="preserve">Table AM. Circularity-breaking validation of the restricted/broad group difference. Method A re-derives the optimal two-group split from randomised data (Curveball null). Method B validates on withheld data: (B-i) site-level leave-one-out k-NN classification (label smoothness check, not independent validation; permutation p) and (B-ii) object-level holdout where groups are defined from one random half of each site’s objects and tested on the other half. B-ii reports the proportion of splits reaching p &lt; 0.05 and the median p across splits, given in the Statistic column; no combined p is reported because the splits share sites and are not independent; Jaccard and Simpson turnover versions are shown because the richness median split is tautological under Jaccard. Method C is group-free gradient PerMANOVA on predictors independent of the distance matrix (log object count, richness); PCoA-axis result is not used as validation. A high proportion of significant B-ii splits indicates that the grouping rule extends to objects that did not define it.</w:t>
            </w:r>
          </w:p>
          <w:bookmarkEnd w:id="207"/>
        </w:tc>
      </w:tr>
    </w:tbl>
    <w:bookmarkEnd w:id="208"/>
    <w:bookmarkStart w:id="209" w:name="sec-s10-interpretation"/>
    <w:p>
      <w:pPr>
        <w:pStyle w:val="Heading2"/>
      </w:pPr>
      <w:r>
        <w:t xml:space="preserve">S1.10.2 Interpretation</w:t>
      </w:r>
    </w:p>
    <w:p>
      <w:pPr>
        <w:pStyle w:val="FirstParagraph"/>
      </w:pPr>
      <w:r>
        <w:t xml:space="preserve">The methods below answer whether the restricted/broad difference is a genuine pattern recoverable from data independent of how the groups were originally defined, through three specific questions, each answered by a different route.</w:t>
      </w:r>
    </w:p>
    <w:p>
      <w:pPr>
        <w:pStyle w:val="BodyText"/>
      </w:pPr>
      <w:r>
        <w:rPr>
          <w:bCs/>
          <w:b/>
        </w:rPr>
        <w:t xml:space="preserve">Question: is the optimal two-group split stronger than the best split from randomised data?</w:t>
      </w:r>
      <w:r>
        <w:t xml:space="preserve"> </w:t>
      </w:r>
      <w:r>
        <w:t xml:space="preserve">Method A re-derives the optimal split by ordering sites on sign-repertoire richness, the same principle underlying the manual restricted/broad distinction, and compares the observed optimum against the null distribution of optima from randomised data. We implement a fixed-fixed (Curveball) null that preserves both site richness and sign-type frequencies while destroying compositional structure.</w:t>
      </w:r>
    </w:p>
    <w:p>
      <w:pPr>
        <w:pStyle w:val="BodyText"/>
      </w:pPr>
      <w:r>
        <w:rPr>
          <w:iCs/>
          <w:i/>
        </w:rPr>
        <w:t xml:space="preserve">Answer:</w:t>
      </w:r>
      <w:r>
        <w:t xml:space="preserve"> </w:t>
      </w:r>
      <w:r>
        <w:rPr>
          <w:bCs/>
          <w:b/>
        </w:rPr>
        <w:t xml:space="preserve">Under the fixed-fixed (Curveball) null, the observed optimal split is not significant in either phase</w:t>
      </w:r>
      <w:r>
        <w:t xml:space="preserve"> </w:t>
      </w:r>
      <w:r>
        <w:t xml:space="preserve">(Aur-P1 observed optimal pseudo-F = 3.72, permutation p = 0.139; Aur-P2 observed optimal pseudo-F = 1.77, permutation p = 1). This means the restricted/broad partition does not produce a two-group separation stronger than expected under a null that preserves both site richness and sign-type frequencies. The non-significance under the fixed-fixed null indicates that the restricted/broad contrast is not a sharp discontinuous partition that survives the most stringent</w:t>
      </w:r>
      <w:r>
        <w:t xml:space="preserve"> </w:t>
      </w:r>
      <w:r>
        <w:t xml:space="preserve">“</w:t>
      </w:r>
      <w:r>
        <w:t xml:space="preserve">optimisation-accounted-for</w:t>
      </w:r>
      <w:r>
        <w:t xml:space="preserve">”</w:t>
      </w:r>
      <w:r>
        <w:t xml:space="preserve"> </w:t>
      </w:r>
      <w:r>
        <w:t xml:space="preserve">null; rather, it is a</w:t>
      </w:r>
      <w:r>
        <w:t xml:space="preserve"> </w:t>
      </w:r>
      <w:r>
        <w:rPr>
          <w:bCs/>
          <w:b/>
        </w:rPr>
        <w:t xml:space="preserve">recoverable gradient/axis of variation</w:t>
      </w:r>
      <w:r>
        <w:t xml:space="preserve"> </w:t>
      </w:r>
      <w:r>
        <w:t xml:space="preserve">whose strength is partly attributable to the marginal richness and frequency structure of the data. This is consistent with, not contradictory to, the conclusions from strategies B and C below: the fixed-fixed null tests whether any two-group split exceeding the observed optimum could arise from richness structure alone (it can), while Method B-ii tests whether the specific manual richness-based split generalizes to independent objects (it does under Jaccard in Aur-P1, 55% of splits, but not under the nestedness-robust Simpson version in either phase). The contrast is therefore a recoverable gradient/axis of variation — strong for well-sampled sites, provisional for small ones — rather than a sharp discontinuous partition that exceeds richness structure.</w:t>
      </w:r>
    </w:p>
    <w:p>
      <w:pPr>
        <w:pStyle w:val="BodyText"/>
      </w:pPr>
      <w:r>
        <w:rPr>
          <w:bCs/>
          <w:b/>
        </w:rPr>
        <w:t xml:space="preserve">Question: can the group assignment be recovered from withheld sites and from disjoint halves of objects?</w:t>
      </w:r>
      <w:r>
        <w:t xml:space="preserve"> </w:t>
      </w:r>
      <w:r>
        <w:t xml:space="preserve">Can the group assignment be recovered from data that did</w:t>
      </w:r>
      <w:r>
        <w:t xml:space="preserve"> </w:t>
      </w:r>
      <w:r>
        <w:rPr>
          <w:bCs/>
          <w:b/>
        </w:rPr>
        <w:t xml:space="preserve">not</w:t>
      </w:r>
      <w:r>
        <w:t xml:space="preserve"> </w:t>
      </w:r>
      <w:r>
        <w:t xml:space="preserve">contribute to defining it?</w:t>
      </w:r>
      <w:r>
        <w:t xml:space="preserve"> </w:t>
      </w:r>
      <w:r>
        <w:t xml:space="preserve">-</w:t>
      </w:r>
      <w:r>
        <w:t xml:space="preserve"> </w:t>
      </w:r>
      <w:r>
        <w:rPr>
          <w:iCs/>
          <w:i/>
        </w:rPr>
        <w:t xml:space="preserve">Site level (B-i) — label smoothness, not independent validation:</w:t>
      </w:r>
      <w:r>
        <w:t xml:space="preserve"> </w:t>
      </w:r>
      <w:r>
        <w:t xml:space="preserve">Can a held-out site’s label be predicted from other sites using the same Jaccard structure that produced the labels? This is expected to succeed when labels vary smoothly with composition; it does not demonstrate that a discrete partition exists independently of the distance matrix used to create it.</w:t>
      </w:r>
      <w:r>
        <w:t xml:space="preserve"> </w:t>
      </w:r>
      <w:r>
        <w:t xml:space="preserve">-</w:t>
      </w:r>
      <w:r>
        <w:t xml:space="preserve"> </w:t>
      </w:r>
      <w:r>
        <w:rPr>
          <w:iCs/>
          <w:i/>
        </w:rPr>
        <w:t xml:space="preserve">Answer:</w:t>
      </w:r>
      <w:r>
        <w:t xml:space="preserve"> </w:t>
      </w:r>
      <w:r>
        <w:t xml:space="preserve">Leave-one-site-out k=1 NN recovers the manual label for 100% of Aur-P1 sites (95% CI 0.83–1, permutation p = 0.001) and 89% of Aur-P2 sites (permutation p = 0.028). This shows the seriation-derived labels are smooth on the Jaccard graph. Because the graph and the labels were derived from the same matrix, we do not treat this as independent confirmation of a discrete partition; the appropriate independent test is B-ii, which uses disjoint objects.</w:t>
      </w:r>
      <w:r>
        <w:t xml:space="preserve"> </w:t>
      </w:r>
      <w:r>
        <w:t xml:space="preserve">-</w:t>
      </w:r>
      <w:r>
        <w:t xml:space="preserve"> </w:t>
      </w:r>
      <w:r>
        <w:rPr>
          <w:iCs/>
          <w:i/>
        </w:rPr>
        <w:t xml:space="preserve">Object level (B-ii) — independent validation on disjoint objects:</w:t>
      </w:r>
      <w:r>
        <w:t xml:space="preserve"> </w:t>
      </w:r>
      <w:r>
        <w:t xml:space="preserve">When the two-group rule is learned from one random half of each site’s objects and tested, by PerMANOVA, on the</w:t>
      </w:r>
      <w:r>
        <w:t xml:space="preserve"> </w:t>
      </w:r>
      <w:r>
        <w:rPr>
          <w:iCs/>
          <w:i/>
        </w:rPr>
        <w:t xml:space="preserve">other</w:t>
      </w:r>
      <w:r>
        <w:t xml:space="preserve"> </w:t>
      </w:r>
      <w:r>
        <w:t xml:space="preserve">half, is the held-out contrast still significant? We report median p, proportion of splits with p &lt; 0.05. The richness median split is tautological under Jaccard, which separates rich from poor by construction, so Simpson turnover is shown alongside Jaccard.</w:t>
      </w:r>
      <w:r>
        <w:t xml:space="preserve"> </w:t>
      </w:r>
      <w:r>
        <w:t xml:space="preserve">-</w:t>
      </w:r>
      <w:r>
        <w:t xml:space="preserve"> </w:t>
      </w:r>
      <w:r>
        <w:rPr>
          <w:iCs/>
          <w:i/>
        </w:rPr>
        <w:t xml:space="preserve">Answer (Jaccard):</w:t>
      </w:r>
      <w:r>
        <w:t xml:space="preserve"> </w:t>
      </w:r>
      <w:r>
        <w:t xml:space="preserve">Aur-P1 median p = 0.04 with 55% of 100 splits significant. Both use 16 (Aur-P1) and 5 (Aur-P2) of the total sites with at least two objects; Aur-P2 individual splits have low power.</w:t>
      </w:r>
      <w:r>
        <w:t xml:space="preserve"> </w:t>
      </w:r>
      <w:r>
        <w:t xml:space="preserve">-</w:t>
      </w:r>
      <w:r>
        <w:t xml:space="preserve"> </w:t>
      </w:r>
      <w:r>
        <w:rPr>
          <w:iCs/>
          <w:i/>
        </w:rPr>
        <w:t xml:space="preserve">Answer (Simpson turnover, nestedness-robust):</w:t>
      </w:r>
      <w:r>
        <w:t xml:space="preserve"> </w:t>
      </w:r>
      <w:r>
        <w:t xml:space="preserve">Aur-P1 median p = 0.976 with 0% significant. Aur-P2 median p = 0.917 with 0% significant. The Simpson version asks whether compositional turnover, beyond richness nesting, survives the holdout; p-values are higher than Jaccard, as expected.</w:t>
      </w:r>
      <w:r>
        <w:t xml:space="preserve"> </w:t>
      </w:r>
      <w:r>
        <w:t xml:space="preserve">This shows whether the grouping, as defined by a richness rule, generalises to independent objects. The original PerMANOVA, using every object to both define and test the groups, could not establish this without circularity.</w:t>
      </w:r>
    </w:p>
    <w:p>
      <w:pPr>
        <w:pStyle w:val="BodyText"/>
      </w:pPr>
      <w:r>
        <w:rPr>
          <w:bCs/>
          <w:b/>
        </w:rPr>
        <w:t xml:space="preserve">Question: does sign composition vary with predictors independent of the distance matrix?</w:t>
      </w:r>
      <w:r>
        <w:t xml:space="preserve"> </w:t>
      </w:r>
      <w:r>
        <w:t xml:space="preserve">If we abandon the discrete partition and ask whether sign composition varies continuously with predictors that are independent of the distance matrix, is that gradient significant? Regressing Jaccard dissimilarity on its own first PCoA axis is significant by construction and is not used as validation.</w:t>
      </w:r>
      <w:r>
        <w:t xml:space="preserve"> </w:t>
      </w:r>
      <w:r>
        <w:t xml:space="preserve">-</w:t>
      </w:r>
      <w:r>
        <w:t xml:space="preserve"> </w:t>
      </w:r>
      <w:r>
        <w:rPr>
          <w:iCs/>
          <w:i/>
        </w:rPr>
        <w:t xml:space="preserve">Answer:</w:t>
      </w:r>
      <w:r>
        <w:t xml:space="preserve"> </w:t>
      </w:r>
      <w:r>
        <w:t xml:space="preserve">For log object count: Aur-P1 R² = 0.187, p = 0.001; Aur-P2 R² = 0.128, p = 0.428. For richness: Aur-P1 R² = 0.207, p = 0.001; Aur-P2 R² = 0.272, p = 0.038. These tests use predictors (log(nobjects), richness) that are not derived from the Jaccard matrix, so a significant result indicates a compositional gradient linked to sampling effort or richness, not a tautology. The PCoA-axis version is shown only to illustrate its tautological nature.</w:t>
      </w:r>
    </w:p>
    <w:p>
      <w:pPr>
        <w:pStyle w:val="BodyText"/>
      </w:pPr>
      <w:r>
        <w:rPr>
          <w:bCs/>
          <w:b/>
        </w:rPr>
        <w:t xml:space="preserve">Implication for the main text.</w:t>
      </w:r>
      <w:r>
        <w:t xml:space="preserve"> </w:t>
      </w:r>
      <w:r>
        <w:t xml:space="preserve">Strategy B-ii (object-half holdout) provides the appropriate independent validation because it tests the grouping on disjoint objects and reports dependence-aware statistics (median p, proportion significant) with Jaccard and Simpson turnover. Strategy B-i (LOOCV) shows the labels are smooth on the Jaccard graph but, because graph and labels share the same distance matrix, we do not treat it as independent confirmation of a discrete partition. Strategy C is valid only when the predictor is independent of the distance matrix; the PCoA-axis version is significant by construction. Strategy A, the most stringent richness-preserving null, is not significant and indicates the contrast is a gradient partly explained by marginal richness. Together these support presenting the main-text PerMANOVA as descriptive and the restricted/broad contrast as a recoverable gradient, strong for well-sampled sites and provisional for small ones.</w:t>
      </w:r>
    </w:p>
    <w:bookmarkEnd w:id="209"/>
    <w:bookmarkStart w:id="213" w:name="sec-s10-1"/>
    <w:p>
      <w:pPr>
        <w:pStyle w:val="Heading2"/>
      </w:pPr>
      <w:r>
        <w:t xml:space="preserve">S1.10.3 Richness-preserving nulls and Simpson turnover</w:t>
      </w:r>
    </w:p>
    <w:bookmarkStart w:id="211" w:name="rationale-19"/>
    <w:p>
      <w:pPr>
        <w:pStyle w:val="Heading3"/>
      </w:pPr>
      <w:r>
        <w:t xml:space="preserve">Rationale</w:t>
      </w:r>
    </w:p>
    <w:p>
      <w:pPr>
        <w:pStyle w:val="FirstParagraph"/>
      </w:pPr>
      <w:r>
        <w:t xml:space="preserve">Jaccard dissimilarity confounds turnover with nestedness: a poor assemblage nested inside a rich one scores as dissimilar by construction, so a PerMANOVA of rich versus poor sites on Jaccard distances partly tests richness itself. Simpson turnover dissimilarity,</w:t>
      </w:r>
      <w:r>
        <w:t xml:space="preserve"> </w:t>
      </w:r>
      <m:oMath>
        <m:sSub>
          <m:e>
            <m:r>
              <m:t>β</m:t>
            </m:r>
          </m:e>
          <m:sub>
            <m:r>
              <m:t>s</m:t>
            </m:r>
            <m:r>
              <m:t>i</m:t>
            </m:r>
            <m:r>
              <m:t>m</m:t>
            </m:r>
          </m:sub>
        </m:sSub>
        <m:r>
          <m:rPr>
            <m:sty m:val="p"/>
          </m:rPr>
          <m:t>=</m:t>
        </m:r>
        <m:r>
          <m:rPr>
            <m:sty m:val="p"/>
          </m:rPr>
          <m:t>min</m:t>
        </m:r>
        <m:d>
          <m:dPr>
            <m:begChr m:val="("/>
            <m:endChr m:val=")"/>
            <m:sepChr m:val=""/>
            <m:grow/>
          </m:dPr>
          <m:e>
            <m:r>
              <m:t>b</m:t>
            </m:r>
            <m:r>
              <m:rPr>
                <m:sty m:val="p"/>
              </m:rPr>
              <m:t>,</m:t>
            </m:r>
            <m:r>
              <m:t>c</m:t>
            </m:r>
          </m:e>
        </m:d>
        <m:r>
          <m:rPr>
            <m:sty m:val="p"/>
          </m:rPr>
          <m:t>/</m:t>
        </m:r>
        <m:d>
          <m:dPr>
            <m:begChr m:val="("/>
            <m:endChr m:val=")"/>
            <m:sepChr m:val=""/>
            <m:grow/>
          </m:dPr>
          <m:e>
            <m:r>
              <m:t>a</m:t>
            </m:r>
            <m:r>
              <m:rPr>
                <m:sty m:val="p"/>
              </m:rPr>
              <m:t>+</m:t>
            </m:r>
            <m:r>
              <m:rPr>
                <m:sty m:val="p"/>
              </m:rPr>
              <m:t>min</m:t>
            </m:r>
            <m:d>
              <m:dPr>
                <m:begChr m:val="("/>
                <m:endChr m:val=")"/>
                <m:sepChr m:val=""/>
                <m:grow/>
              </m:dPr>
              <m:e>
                <m:r>
                  <m:t>b</m:t>
                </m:r>
                <m:r>
                  <m:rPr>
                    <m:sty m:val="p"/>
                  </m:rPr>
                  <m:t>,</m:t>
                </m:r>
                <m:r>
                  <m:t>c</m:t>
                </m:r>
              </m:e>
            </m:d>
          </m:e>
        </m:d>
      </m:oMath>
      <w:r>
        <w:t xml:space="preserve">, keeps only the turnover component — nested pairs score 0 — and therefore tests whether the groups differ in</w:t>
      </w:r>
      <w:r>
        <w:t xml:space="preserve"> </w:t>
      </w:r>
      <w:r>
        <w:rPr>
          <w:iCs/>
          <w:i/>
        </w:rPr>
        <w:t xml:space="preserve">composition</w:t>
      </w:r>
      <w:r>
        <w:t xml:space="preserve"> </w:t>
      </w:r>
      <w:r>
        <w:t xml:space="preserve">rather than in</w:t>
      </w:r>
      <w:r>
        <w:t xml:space="preserve"> </w:t>
      </w:r>
      <w:r>
        <w:rPr>
          <w:iCs/>
          <w:i/>
        </w:rPr>
        <w:t xml:space="preserve">size</w:t>
      </w:r>
      <w:r>
        <w:t xml:space="preserve">. We report the manual-group PerMANOVA on both distances, and we place the observed Jaccard R², Simpson R², and Louvain-to-manual ARI on richness-preserving null distributions: a fixed-fixed Curveball null (preserves site richness and sign-type frequencies) and an object-count null (each site redrawn with its observed object count from the phase pool). R² values use the same Gower algebra as</w:t>
      </w:r>
      <w:r>
        <w:t xml:space="preserve"> </w:t>
      </w:r>
      <w:r>
        <w:rPr>
          <w:rStyle w:val="VerbatimChar"/>
        </w:rPr>
        <w:t xml:space="preserve">adonis2(sqrt.dist = TRUE)</w:t>
      </w:r>
      <w:r>
        <w:t xml:space="preserve">.</w:t>
      </w:r>
    </w:p>
    <w:p>
      <w:pPr>
        <w:pStyle w:val="BodyText"/>
      </w:pPr>
      <w:r>
        <w:rPr>
          <w:bCs/>
          <w:b/>
        </w:rPr>
        <w:t xml:space="preserve">Question: is the restricted/broad pattern stronger than richness structure alone, and does any group separation survive once the nestedness component is removed?</w:t>
      </w:r>
    </w:p>
    <w:tbl>
      <w:tblPr>
        <w:tblStyle w:val="Table"/>
        <w:tblW w:type="pct" w:w="5000"/>
        <w:tblLook w:firstRow="0" w:lastRow="0" w:firstColumn="0" w:lastColumn="0" w:noHBand="0" w:noVBand="0" w:val="0000"/>
        <w:jc w:val="start"/>
        <w:tblLayout w:type="fixed"/>
      </w:tblPr>
      <w:tblGrid>
        <w:gridCol w:w="7920"/>
      </w:tblGrid>
      <w:tr>
        <w:tc>
          <w:tcPr/>
          <w:bookmarkStart w:id="210" w:name="tbl-simpson-null"/>
          <w:tbl>
            <w:tblPr>
              <w:tblStyle w:val="Table"/>
              <w:tblW w:type="pct" w:w="5000"/>
              <w:tblLook w:firstRow="1" w:lastRow="0" w:firstColumn="0" w:lastColumn="0" w:noHBand="0" w:noVBand="0" w:val="0020"/>
              <w:jc w:val="start"/>
              <w:tblLayout w:type="fixed"/>
            </w:tblPr>
            <w:tblGrid>
              <w:gridCol w:w="792"/>
              <w:gridCol w:w="1108"/>
              <w:gridCol w:w="712"/>
              <w:gridCol w:w="792"/>
              <w:gridCol w:w="712"/>
              <w:gridCol w:w="792"/>
              <w:gridCol w:w="633"/>
              <w:gridCol w:w="633"/>
              <w:gridCol w:w="871"/>
              <w:gridCol w:w="871"/>
            </w:tblGrid>
            <w:tr>
              <w:trPr>
                <w:tblHeader w:val="true"/>
              </w:trPr>
              <w:tc>
                <w:tcPr/>
                <w:p>
                  <w:pPr>
                    <w:pStyle w:val="Compact"/>
                    <w:jc w:val="left"/>
                    <w:jc w:val="left"/>
                  </w:pPr>
                  <w:r>
                    <w:t xml:space="preserve">Phase</w:t>
                  </w:r>
                </w:p>
              </w:tc>
              <w:tc>
                <w:tcPr/>
                <w:p>
                  <w:pPr>
                    <w:pStyle w:val="Compact"/>
                    <w:jc w:val="left"/>
                    <w:jc w:val="left"/>
                  </w:pPr>
                  <w:r>
                    <w:t xml:space="preserve">Null</w:t>
                  </w:r>
                </w:p>
              </w:tc>
              <w:tc>
                <w:tcPr/>
                <w:p>
                  <w:pPr>
                    <w:pStyle w:val="Compact"/>
                    <w:jc w:val="left"/>
                    <w:jc w:val="left"/>
                  </w:pPr>
                  <w:r>
                    <w:t xml:space="preserve">R2_jac</w:t>
                  </w:r>
                </w:p>
              </w:tc>
              <w:tc>
                <w:tcPr/>
                <w:p>
                  <w:pPr>
                    <w:pStyle w:val="Compact"/>
                    <w:jc w:val="left"/>
                    <w:jc w:val="left"/>
                  </w:pPr>
                  <w:r>
                    <w:t xml:space="preserve">R2_jac_p</w:t>
                  </w:r>
                </w:p>
              </w:tc>
              <w:tc>
                <w:tcPr/>
                <w:p>
                  <w:pPr>
                    <w:pStyle w:val="Compact"/>
                    <w:jc w:val="left"/>
                    <w:jc w:val="left"/>
                  </w:pPr>
                  <w:r>
                    <w:t xml:space="preserve">R2_sim</w:t>
                  </w:r>
                </w:p>
              </w:tc>
              <w:tc>
                <w:tcPr/>
                <w:p>
                  <w:pPr>
                    <w:pStyle w:val="Compact"/>
                    <w:jc w:val="left"/>
                    <w:jc w:val="left"/>
                  </w:pPr>
                  <w:r>
                    <w:t xml:space="preserve">R2_sim_p</w:t>
                  </w:r>
                </w:p>
              </w:tc>
              <w:tc>
                <w:tcPr/>
                <w:p>
                  <w:pPr>
                    <w:pStyle w:val="Compact"/>
                    <w:jc w:val="left"/>
                    <w:jc w:val="left"/>
                  </w:pPr>
                  <w:r>
                    <w:t xml:space="preserve">ARI</w:t>
                  </w:r>
                </w:p>
              </w:tc>
              <w:tc>
                <w:tcPr/>
                <w:p>
                  <w:pPr>
                    <w:pStyle w:val="Compact"/>
                    <w:jc w:val="left"/>
                    <w:jc w:val="left"/>
                  </w:pPr>
                  <w:r>
                    <w:t xml:space="preserve">ARI_p</w:t>
                  </w:r>
                </w:p>
              </w:tc>
              <w:tc>
                <w:tcPr/>
                <w:p>
                  <w:pPr>
                    <w:pStyle w:val="Compact"/>
                    <w:jc w:val="left"/>
                    <w:jc w:val="left"/>
                  </w:pPr>
                  <w:r>
                    <w:t xml:space="preserve">adonis_jac_p</w:t>
                  </w:r>
                </w:p>
              </w:tc>
              <w:tc>
                <w:tcPr/>
                <w:p>
                  <w:pPr>
                    <w:pStyle w:val="Compact"/>
                    <w:jc w:val="left"/>
                    <w:jc w:val="left"/>
                  </w:pPr>
                  <w:r>
                    <w:t xml:space="preserve">adonis_sim_p</w:t>
                  </w:r>
                </w:p>
              </w:tc>
            </w:tr>
            <w:tr>
              <w:tc>
                <w:tcPr/>
                <w:p>
                  <w:pPr>
                    <w:pStyle w:val="Compact"/>
                    <w:jc w:val="left"/>
                    <w:jc w:val="left"/>
                  </w:pPr>
                  <w:r>
                    <w:t xml:space="preserve">Aur-P1</w:t>
                  </w:r>
                </w:p>
              </w:tc>
              <w:tc>
                <w:tcPr/>
                <w:p>
                  <w:pPr>
                    <w:pStyle w:val="Compact"/>
                    <w:jc w:val="left"/>
                    <w:jc w:val="left"/>
                  </w:pPr>
                  <w:r>
                    <w:t xml:space="preserve">Curveball</w:t>
                  </w:r>
                </w:p>
              </w:tc>
              <w:tc>
                <w:tcPr/>
                <w:p>
                  <w:pPr>
                    <w:pStyle w:val="Compact"/>
                    <w:jc w:val="left"/>
                    <w:jc w:val="left"/>
                  </w:pPr>
                  <w:r>
                    <w:t xml:space="preserve">0.196</w:t>
                  </w:r>
                </w:p>
              </w:tc>
              <w:tc>
                <w:tcPr/>
                <w:p>
                  <w:pPr>
                    <w:pStyle w:val="Compact"/>
                    <w:jc w:val="left"/>
                    <w:jc w:val="left"/>
                  </w:pPr>
                  <w:r>
                    <w:t xml:space="preserve">1.000</w:t>
                  </w:r>
                </w:p>
              </w:tc>
              <w:tc>
                <w:tcPr/>
                <w:p>
                  <w:pPr>
                    <w:pStyle w:val="Compact"/>
                    <w:jc w:val="left"/>
                    <w:jc w:val="left"/>
                  </w:pPr>
                  <w:r>
                    <w:t xml:space="preserve">-0.027</w:t>
                  </w:r>
                </w:p>
              </w:tc>
              <w:tc>
                <w:tcPr/>
                <w:p>
                  <w:pPr>
                    <w:pStyle w:val="Compact"/>
                    <w:jc w:val="left"/>
                    <w:jc w:val="left"/>
                  </w:pPr>
                  <w:r>
                    <w:t xml:space="preserve">1.000</w:t>
                  </w:r>
                </w:p>
              </w:tc>
              <w:tc>
                <w:tcPr/>
                <w:p>
                  <w:pPr>
                    <w:pStyle w:val="Compact"/>
                    <w:jc w:val="left"/>
                    <w:jc w:val="left"/>
                  </w:pPr>
                  <w:r>
                    <w:t xml:space="preserve">1</w:t>
                  </w:r>
                </w:p>
              </w:tc>
              <w:tc>
                <w:tcPr/>
                <w:p>
                  <w:pPr>
                    <w:pStyle w:val="Compact"/>
                    <w:jc w:val="left"/>
                    <w:jc w:val="left"/>
                  </w:pPr>
                  <w:r>
                    <w:t xml:space="preserve">1.000</w:t>
                  </w:r>
                </w:p>
              </w:tc>
              <w:tc>
                <w:tcPr/>
                <w:p>
                  <w:pPr>
                    <w:pStyle w:val="Compact"/>
                    <w:jc w:val="left"/>
                    <w:jc w:val="left"/>
                  </w:pPr>
                  <w:r>
                    <w:t xml:space="preserve">0.001</w:t>
                  </w:r>
                </w:p>
              </w:tc>
              <w:tc>
                <w:tcPr/>
                <w:p>
                  <w:pPr>
                    <w:pStyle w:val="Compact"/>
                    <w:jc w:val="left"/>
                    <w:jc w:val="left"/>
                  </w:pPr>
                  <w:r>
                    <w:t xml:space="preserve">0.958</w:t>
                  </w:r>
                </w:p>
              </w:tc>
            </w:tr>
            <w:tr>
              <w:tc>
                <w:tcPr/>
                <w:p>
                  <w:pPr>
                    <w:pStyle w:val="Compact"/>
                    <w:jc w:val="left"/>
                    <w:jc w:val="left"/>
                  </w:pPr>
                  <w:r>
                    <w:t xml:space="preserve">Aur-P1</w:t>
                  </w:r>
                </w:p>
              </w:tc>
              <w:tc>
                <w:tcPr/>
                <w:p>
                  <w:pPr>
                    <w:pStyle w:val="Compact"/>
                    <w:jc w:val="left"/>
                    <w:jc w:val="left"/>
                  </w:pPr>
                  <w:r>
                    <w:t xml:space="preserve">Object-count</w:t>
                  </w:r>
                </w:p>
              </w:tc>
              <w:tc>
                <w:tcPr/>
                <w:p>
                  <w:pPr>
                    <w:pStyle w:val="Compact"/>
                    <w:jc w:val="left"/>
                    <w:jc w:val="left"/>
                  </w:pPr>
                  <w:r>
                    <w:t xml:space="preserve">0.196</w:t>
                  </w:r>
                </w:p>
              </w:tc>
              <w:tc>
                <w:tcPr/>
                <w:p>
                  <w:pPr>
                    <w:pStyle w:val="Compact"/>
                    <w:jc w:val="left"/>
                    <w:jc w:val="left"/>
                  </w:pPr>
                  <w:r>
                    <w:t xml:space="preserve">0.001</w:t>
                  </w:r>
                </w:p>
              </w:tc>
              <w:tc>
                <w:tcPr/>
                <w:p>
                  <w:pPr>
                    <w:pStyle w:val="Compact"/>
                    <w:jc w:val="left"/>
                    <w:jc w:val="left"/>
                  </w:pPr>
                  <w:r>
                    <w:t xml:space="preserve">-0.027</w:t>
                  </w:r>
                </w:p>
              </w:tc>
              <w:tc>
                <w:tcPr/>
                <w:p>
                  <w:pPr>
                    <w:pStyle w:val="Compact"/>
                    <w:jc w:val="left"/>
                    <w:jc w:val="left"/>
                  </w:pPr>
                  <w:r>
                    <w:t xml:space="preserve">0.003</w:t>
                  </w:r>
                </w:p>
              </w:tc>
              <w:tc>
                <w:tcPr/>
                <w:p>
                  <w:pPr>
                    <w:pStyle w:val="Compact"/>
                    <w:jc w:val="left"/>
                    <w:jc w:val="left"/>
                  </w:pPr>
                  <w:r>
                    <w:t xml:space="preserve">1</w:t>
                  </w:r>
                </w:p>
              </w:tc>
              <w:tc>
                <w:tcPr/>
                <w:p>
                  <w:pPr>
                    <w:pStyle w:val="Compact"/>
                    <w:jc w:val="left"/>
                    <w:jc w:val="left"/>
                  </w:pPr>
                  <w:r>
                    <w:t xml:space="preserve">0.001</w:t>
                  </w:r>
                </w:p>
              </w:tc>
              <w:tc>
                <w:tcPr/>
                <w:p>
                  <w:pPr>
                    <w:pStyle w:val="Compact"/>
                    <w:jc w:val="left"/>
                    <w:jc w:val="left"/>
                  </w:pPr>
                  <w:r>
                    <w:t xml:space="preserve">0.001</w:t>
                  </w:r>
                </w:p>
              </w:tc>
              <w:tc>
                <w:tcPr/>
                <w:p>
                  <w:pPr>
                    <w:pStyle w:val="Compact"/>
                    <w:jc w:val="left"/>
                    <w:jc w:val="left"/>
                  </w:pPr>
                  <w:r>
                    <w:t xml:space="preserve">0.958</w:t>
                  </w:r>
                </w:p>
              </w:tc>
            </w:tr>
            <w:tr>
              <w:tc>
                <w:tcPr/>
                <w:p>
                  <w:pPr>
                    <w:pStyle w:val="Compact"/>
                    <w:jc w:val="left"/>
                    <w:jc w:val="left"/>
                  </w:pPr>
                  <w:r>
                    <w:t xml:space="preserve">Aur-P2</w:t>
                  </w:r>
                </w:p>
              </w:tc>
              <w:tc>
                <w:tcPr/>
                <w:p>
                  <w:pPr>
                    <w:pStyle w:val="Compact"/>
                    <w:jc w:val="left"/>
                    <w:jc w:val="left"/>
                  </w:pPr>
                  <w:r>
                    <w:t xml:space="preserve">Curveball</w:t>
                  </w:r>
                </w:p>
              </w:tc>
              <w:tc>
                <w:tcPr/>
                <w:p>
                  <w:pPr>
                    <w:pStyle w:val="Compact"/>
                    <w:jc w:val="left"/>
                    <w:jc w:val="left"/>
                  </w:pPr>
                  <w:r>
                    <w:t xml:space="preserve">0.223</w:t>
                  </w:r>
                </w:p>
              </w:tc>
              <w:tc>
                <w:tcPr/>
                <w:p>
                  <w:pPr>
                    <w:pStyle w:val="Compact"/>
                    <w:jc w:val="left"/>
                    <w:jc w:val="left"/>
                  </w:pPr>
                  <w:r>
                    <w:t xml:space="preserve">1.000</w:t>
                  </w:r>
                </w:p>
              </w:tc>
              <w:tc>
                <w:tcPr/>
                <w:p>
                  <w:pPr>
                    <w:pStyle w:val="Compact"/>
                    <w:jc w:val="left"/>
                    <w:jc w:val="left"/>
                  </w:pPr>
                  <w:r>
                    <w:t xml:space="preserve">-0.676</w:t>
                  </w:r>
                </w:p>
              </w:tc>
              <w:tc>
                <w:tcPr/>
                <w:p>
                  <w:pPr>
                    <w:pStyle w:val="Compact"/>
                    <w:jc w:val="left"/>
                    <w:jc w:val="left"/>
                  </w:pPr>
                  <w:r>
                    <w:t xml:space="preserve">1.000</w:t>
                  </w:r>
                </w:p>
              </w:tc>
              <w:tc>
                <w:tcPr/>
                <w:p>
                  <w:pPr>
                    <w:pStyle w:val="Compact"/>
                    <w:jc w:val="left"/>
                    <w:jc w:val="left"/>
                  </w:pPr>
                  <w:r>
                    <w:t xml:space="preserve">1</w:t>
                  </w:r>
                </w:p>
              </w:tc>
              <w:tc>
                <w:tcPr/>
                <w:p>
                  <w:pPr>
                    <w:pStyle w:val="Compact"/>
                    <w:jc w:val="left"/>
                    <w:jc w:val="left"/>
                  </w:pPr>
                  <w:r>
                    <w:t xml:space="preserve">1.000</w:t>
                  </w:r>
                </w:p>
              </w:tc>
              <w:tc>
                <w:tcPr/>
                <w:p>
                  <w:pPr>
                    <w:pStyle w:val="Compact"/>
                    <w:jc w:val="left"/>
                    <w:jc w:val="left"/>
                  </w:pPr>
                  <w:r>
                    <w:t xml:space="preserve">0.077</w:t>
                  </w:r>
                </w:p>
              </w:tc>
              <w:tc>
                <w:tcPr/>
                <w:p>
                  <w:pPr>
                    <w:pStyle w:val="Compact"/>
                    <w:jc w:val="left"/>
                    <w:jc w:val="left"/>
                  </w:pPr>
                  <w:r>
                    <w:t xml:space="preserve">1.000</w:t>
                  </w:r>
                </w:p>
              </w:tc>
            </w:tr>
            <w:tr>
              <w:tc>
                <w:tcPr/>
                <w:p>
                  <w:pPr>
                    <w:pStyle w:val="Compact"/>
                    <w:jc w:val="left"/>
                    <w:jc w:val="left"/>
                  </w:pPr>
                  <w:r>
                    <w:t xml:space="preserve">Aur-P2</w:t>
                  </w:r>
                </w:p>
              </w:tc>
              <w:tc>
                <w:tcPr/>
                <w:p>
                  <w:pPr>
                    <w:pStyle w:val="Compact"/>
                    <w:jc w:val="left"/>
                    <w:jc w:val="left"/>
                  </w:pPr>
                  <w:r>
                    <w:t xml:space="preserve">Object-count</w:t>
                  </w:r>
                </w:p>
              </w:tc>
              <w:tc>
                <w:tcPr/>
                <w:p>
                  <w:pPr>
                    <w:pStyle w:val="Compact"/>
                    <w:jc w:val="left"/>
                    <w:jc w:val="left"/>
                  </w:pPr>
                  <w:r>
                    <w:t xml:space="preserve">0.223</w:t>
                  </w:r>
                </w:p>
              </w:tc>
              <w:tc>
                <w:tcPr/>
                <w:p>
                  <w:pPr>
                    <w:pStyle w:val="Compact"/>
                    <w:jc w:val="left"/>
                    <w:jc w:val="left"/>
                  </w:pPr>
                  <w:r>
                    <w:t xml:space="preserve">0.334</w:t>
                  </w:r>
                </w:p>
              </w:tc>
              <w:tc>
                <w:tcPr/>
                <w:p>
                  <w:pPr>
                    <w:pStyle w:val="Compact"/>
                    <w:jc w:val="left"/>
                    <w:jc w:val="left"/>
                  </w:pPr>
                  <w:r>
                    <w:t xml:space="preserve">-0.676</w:t>
                  </w:r>
                </w:p>
              </w:tc>
              <w:tc>
                <w:tcPr/>
                <w:p>
                  <w:pPr>
                    <w:pStyle w:val="Compact"/>
                    <w:jc w:val="left"/>
                    <w:jc w:val="left"/>
                  </w:pPr>
                  <w:r>
                    <w:t xml:space="preserve">1.000</w:t>
                  </w:r>
                </w:p>
              </w:tc>
              <w:tc>
                <w:tcPr/>
                <w:p>
                  <w:pPr>
                    <w:pStyle w:val="Compact"/>
                    <w:jc w:val="left"/>
                    <w:jc w:val="left"/>
                  </w:pPr>
                  <w:r>
                    <w:t xml:space="preserve">1</w:t>
                  </w:r>
                </w:p>
              </w:tc>
              <w:tc>
                <w:tcPr/>
                <w:p>
                  <w:pPr>
                    <w:pStyle w:val="Compact"/>
                    <w:jc w:val="left"/>
                    <w:jc w:val="left"/>
                  </w:pPr>
                  <w:r>
                    <w:t xml:space="preserve">0.001</w:t>
                  </w:r>
                </w:p>
              </w:tc>
              <w:tc>
                <w:tcPr/>
                <w:p>
                  <w:pPr>
                    <w:pStyle w:val="Compact"/>
                    <w:jc w:val="left"/>
                    <w:jc w:val="left"/>
                  </w:pPr>
                  <w:r>
                    <w:t xml:space="preserve">0.077</w:t>
                  </w:r>
                </w:p>
              </w:tc>
              <w:tc>
                <w:tcPr/>
                <w:p>
                  <w:pPr>
                    <w:pStyle w:val="Compact"/>
                    <w:jc w:val="left"/>
                    <w:jc w:val="left"/>
                  </w:pPr>
                  <w:r>
                    <w:t xml:space="preserve">1.000</w:t>
                  </w:r>
                </w:p>
              </w:tc>
            </w:tr>
          </w:tbl>
          <w:p>
            <w:pPr>
              <w:jc w:val="left"/>
            </w:pPr>
            <w:pPr>
              <w:jc w:val="start"/>
              <w:spacing w:before="200"/>
              <w:pStyle w:val="ImageCaption"/>
            </w:pPr>
            <w:r>
              <w:t xml:space="preserve">Table AN. Manual-group separation under richness-preserving nulls. R2_jac and R2_sim are the observed PerMANOVA R-squared of the manual groups on Jaccard and Simpson turnover dissimilarities; ARI is the Adjusted Rand Index between the Louvain partition (realigned to manual labels) and the manual groups. Each is compared to fixed-fixed Curveball and object-count null distributions (999 replicates); p is the upper-tail p-value: the proportion of null replicates at or above the observed value, with a +1 correction. Negative R2_sim values occur because the Simpson dissimilarities are not Euclidean, so the between-group sum of squares can be negative; they indicate no between-group separation.</w:t>
            </w:r>
          </w:p>
          <w:bookmarkEnd w:id="210"/>
        </w:tc>
      </w:tr>
    </w:tbl>
    <w:bookmarkEnd w:id="211"/>
    <w:bookmarkStart w:id="212" w:name="interpretation-18"/>
    <w:p>
      <w:pPr>
        <w:pStyle w:val="Heading3"/>
      </w:pPr>
      <w:r>
        <w:t xml:space="preserve">Interpretation</w:t>
      </w:r>
    </w:p>
    <w:p>
      <w:pPr>
        <w:pStyle w:val="FirstParagraph"/>
      </w:pPr>
      <w:r>
        <w:rPr>
          <w:bCs/>
          <w:b/>
        </w:rPr>
        <w:t xml:space="preserve">Question: is the restricted/broad pattern stronger than richness structure alone, and does any group separation survive once the nestedness component is removed?</w:t>
      </w:r>
      <w:r>
        <w:t xml:space="preserve"> </w:t>
      </w:r>
      <w:r>
        <w:t xml:space="preserve">On Jaccard distances the manual groups separate (Aur-P1 R² = 0.196, Aur-P2 R² = 0.223). Under the fixed-fixed Curveball null this separation is not distinguished from richness structure alone (upper-tail p = 1 and 1): randomised matrices with identical site richness and sign-type frequencies separate at least as well. Under the object-count null the Aur-P1 separation exceeds sampling expectation (p = 0.001) while Aur-P2 does not (p = 0.334). Louvain-to-manual agreement is perfect in the observed data (ARI = 1 in Aur-P1 and 1 in Aur-P2; here each Louvain community is first merged into the manual group of most of its members, so singleton communities such as Les Cottés and Trou al’Wesse join their own manual group;</w:t>
      </w:r>
      <w:r>
        <w:t xml:space="preserve"> </w:t>
      </w:r>
      <w:r>
        <w:t xml:space="preserve">Section S1.6.8</w:t>
      </w:r>
      <w:r>
        <w:t xml:space="preserve"> </w:t>
      </w:r>
      <w:r>
        <w:t xml:space="preserve">reports ARI for the unmerged communities) but is likewise reproduced by the fixed-fixed null (p = 1 and 1), exceeding only the object-count null. On Simpson turnover dissimilarity there is no separation to explain (Aur-P1 R² = -0.027, Aur-P2 R² = -0.676; adonis p = 0.958 and 1). These R² values are negative because the Simpson dissimilarities are not Euclidean, so the between-group sum of squares can be negative; a negative value means that there is no between-group separation. Under the object-count null, the Aur-P1 Simpson p is 0.003. This p is an upper-tail value (</w:t>
      </w:r>
      <w:hyperlink w:anchor="tbl-simpson-null">
        <w:r>
          <w:rPr>
            <w:rStyle w:val="Hyperlink"/>
          </w:rPr>
          <w:t xml:space="preserve">Table AN</w:t>
        </w:r>
      </w:hyperlink>
      <w:r>
        <w:t xml:space="preserve">). Thus 99.8% of the object-count draws give a lower Simpson R² than the observed value of -0.027. Random draws of objects therefore give even less turnover separation than the observed groups. The observed value is below zero, so the observed groups do not differ in turnover (adonis p = 0.958).</w:t>
      </w:r>
    </w:p>
    <w:p>
      <w:pPr>
        <w:pStyle w:val="BodyText"/>
      </w:pPr>
      <w:r>
        <w:rPr>
          <w:bCs/>
          <w:b/>
        </w:rPr>
        <w:t xml:space="preserve">Answer:</w:t>
      </w:r>
      <w:r>
        <w:t xml:space="preserve"> </w:t>
      </w:r>
      <w:r>
        <w:t xml:space="preserve">the restricted/broad pattern is carried by the nestedness component — rich versus poor repertoires — rather than by compositional turnover between the groups. This is consistent with</w:t>
      </w:r>
      <w:r>
        <w:t xml:space="preserve"> </w:t>
      </w:r>
      <w:r>
        <w:t xml:space="preserve">Section S1.12.4</w:t>
      </w:r>
      <w:r>
        <w:t xml:space="preserve"> </w:t>
      </w:r>
      <w:r>
        <w:t xml:space="preserve">and the free-slope</w:t>
      </w:r>
      <w:r>
        <w:t xml:space="preserve"> </w:t>
      </w:r>
      <w:r>
        <w:t xml:space="preserve">Section S1.12.5</w:t>
      </w:r>
      <w:r>
        <w:t xml:space="preserve">: the groups differ in how much they contain at comparable effort, not in turnover-independent composition. The division should accordingly be read as a richness axis whose separation from sampling effort is not demonstrated for small-object sites.</w:t>
      </w:r>
    </w:p>
    <w:bookmarkEnd w:id="212"/>
    <w:bookmarkEnd w:id="213"/>
    <w:bookmarkEnd w:id="214"/>
    <w:bookmarkStart w:id="236" w:name="sec-s11"/>
    <w:p>
      <w:pPr>
        <w:pStyle w:val="Heading1"/>
      </w:pPr>
      <w:r>
        <w:t xml:space="preserve">S1.11 Community Description</w:t>
      </w:r>
    </w:p>
    <w:bookmarkStart w:id="215" w:name="sec-s11-rationale"/>
    <w:p>
      <w:pPr>
        <w:pStyle w:val="Heading2"/>
      </w:pPr>
      <w:r>
        <w:t xml:space="preserve">S1.11.1 Rationale</w:t>
      </w:r>
    </w:p>
    <w:p>
      <w:pPr>
        <w:pStyle w:val="FirstParagraph"/>
      </w:pPr>
      <w:r>
        <w:t xml:space="preserve">Section S1.6.6</w:t>
      </w:r>
      <w:r>
        <w:t xml:space="preserve"> </w:t>
      </w:r>
      <w:r>
        <w:t xml:space="preserve">and</w:t>
      </w:r>
      <w:r>
        <w:t xml:space="preserve"> </w:t>
      </w:r>
      <w:r>
        <w:t xml:space="preserve">Section S1.9.2</w:t>
      </w:r>
      <w:r>
        <w:t xml:space="preserve"> </w:t>
      </w:r>
      <w:r>
        <w:t xml:space="preserve">show that the algorithmically detected communities explain much of the variation in sign composition and are stable when sites are subsampled. Because the communities are fitted to the same data, these results are descriptive. This section provides a detailed characterization of those communities: their site membership, geographic distribution, and sign-type composition. This section answers four specific questions:</w:t>
      </w:r>
    </w:p>
    <w:p>
      <w:pPr>
        <w:pStyle w:val="BodyText"/>
      </w:pPr>
      <w:r>
        <w:rPr>
          <w:bCs/>
          <w:b/>
        </w:rPr>
        <w:t xml:space="preserve">Question: which sites fall in the same community under each algorithm at threshold 0.2?</w:t>
      </w:r>
    </w:p>
    <w:p>
      <w:pPr>
        <w:pStyle w:val="BodyText"/>
      </w:pPr>
      <w:r>
        <w:rPr>
          <w:bCs/>
          <w:b/>
        </w:rPr>
        <w:t xml:space="preserve">Question: which sign types distinguish communities from one another?</w:t>
      </w:r>
    </w:p>
    <w:p>
      <w:pPr>
        <w:pStyle w:val="BodyText"/>
      </w:pPr>
      <w:r>
        <w:rPr>
          <w:bCs/>
          <w:b/>
        </w:rPr>
        <w:t xml:space="preserve">Question: do communities map onto coherent geographic regions?</w:t>
      </w:r>
    </w:p>
    <w:p>
      <w:pPr>
        <w:pStyle w:val="BodyText"/>
      </w:pPr>
      <w:r>
        <w:rPr>
          <w:bCs/>
          <w:b/>
        </w:rPr>
        <w:t xml:space="preserve">Question: how consistently do the four algorithms assign the same sites together?</w:t>
      </w:r>
    </w:p>
    <w:bookmarkEnd w:id="215"/>
    <w:bookmarkStart w:id="222" w:name="sec-s11-1"/>
    <w:p>
      <w:pPr>
        <w:pStyle w:val="Heading2"/>
      </w:pPr>
      <w:r>
        <w:t xml:space="preserve">S1.11.2 Community membership</w:t>
      </w:r>
    </w:p>
    <w:bookmarkStart w:id="221" w:name="method-5"/>
    <w:p>
      <w:pPr>
        <w:pStyle w:val="Heading3"/>
      </w:pPr>
      <w:r>
        <w:t xml:space="preserve">Method</w:t>
      </w:r>
    </w:p>
    <w:p>
      <w:pPr>
        <w:pStyle w:val="FirstParagraph"/>
      </w:pPr>
      <w:r>
        <w:t xml:space="preserve">We extract the community assignments for each of the four algorithms at the main-analysis threshold (Jaccard ≥ 0.2) and report the full site-by-site membership, with the manual restricted (1) / broad (2) group as reference. We can then read across any row to see where Louvain, Infomap, Leiden, and Walktrap place the same site.</w:t>
      </w:r>
    </w:p>
    <w:tbl>
      <w:tblPr>
        <w:tblStyle w:val="Table"/>
        <w:tblW w:type="pct" w:w="5000"/>
        <w:tblLook w:firstRow="0" w:lastRow="0" w:firstColumn="0" w:lastColumn="0" w:noHBand="0" w:noVBand="0" w:val="0000"/>
        <w:jc w:val="start"/>
        <w:tblLayout w:type="fixed"/>
      </w:tblPr>
      <w:tblGrid>
        <w:gridCol w:w="7920"/>
      </w:tblGrid>
      <w:tr>
        <w:tc>
          <w:tcPr/>
          <w:bookmarkStart w:id="216" w:name="tbl-community-membership"/>
          <w:tbl>
            <w:tblPr>
              <w:tblStyle w:val="Table"/>
              <w:tblW w:type="pct" w:w="5000"/>
              <w:tblLook w:firstRow="1" w:lastRow="0" w:firstColumn="0" w:lastColumn="0" w:noHBand="0" w:noVBand="0" w:val="0020"/>
              <w:jc w:val="start"/>
              <w:tblLayout w:type="fixed"/>
            </w:tblPr>
            <w:tblGrid>
              <w:gridCol w:w="950"/>
              <w:gridCol w:w="2692"/>
              <w:gridCol w:w="871"/>
              <w:gridCol w:w="871"/>
              <w:gridCol w:w="871"/>
              <w:gridCol w:w="871"/>
              <w:gridCol w:w="792"/>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Manual</w:t>
                  </w:r>
                </w:p>
              </w:tc>
              <w:tc>
                <w:tcPr/>
                <w:p>
                  <w:pPr>
                    <w:pStyle w:val="Compact"/>
                    <w:jc w:val="left"/>
                    <w:jc w:val="left"/>
                  </w:pPr>
                  <w:r>
                    <w:t xml:space="preserve">Louvain</w:t>
                  </w:r>
                </w:p>
              </w:tc>
              <w:tc>
                <w:tcPr/>
                <w:p>
                  <w:pPr>
                    <w:pStyle w:val="Compact"/>
                    <w:jc w:val="left"/>
                    <w:jc w:val="left"/>
                  </w:pPr>
                  <w:r>
                    <w:t xml:space="preserve">Infomap</w:t>
                  </w:r>
                </w:p>
              </w:tc>
              <w:tc>
                <w:tcPr/>
                <w:p>
                  <w:pPr>
                    <w:pStyle w:val="Compact"/>
                    <w:jc w:val="left"/>
                    <w:jc w:val="left"/>
                  </w:pPr>
                  <w:r>
                    <w:t xml:space="preserve">Leiden</w:t>
                  </w:r>
                </w:p>
              </w:tc>
              <w:tc>
                <w:tcPr/>
                <w:p>
                  <w:pPr>
                    <w:pStyle w:val="Compact"/>
                    <w:jc w:val="left"/>
                    <w:jc w:val="left"/>
                  </w:pPr>
                  <w:r>
                    <w:t xml:space="preserve">Walktrap</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2</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2</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2</w:t>
                  </w:r>
                </w:p>
              </w:tc>
              <w:tc>
                <w:tcPr/>
                <w:p>
                  <w:pPr>
                    <w:pStyle w:val="Compact"/>
                    <w:jc w:val="left"/>
                    <w:jc w:val="left"/>
                  </w:pPr>
                  <w:r>
                    <w:t xml:space="preserve">4</w:t>
                  </w:r>
                </w:p>
              </w:tc>
              <w:tc>
                <w:tcPr/>
                <w:p>
                  <w:pPr>
                    <w:pStyle w:val="Compact"/>
                    <w:jc w:val="left"/>
                    <w:jc w:val="left"/>
                  </w:pPr>
                  <w:r>
                    <w:t xml:space="preserve">4</w:t>
                  </w:r>
                </w:p>
              </w:tc>
              <w:tc>
                <w:tcPr/>
                <w:p>
                  <w:pPr>
                    <w:pStyle w:val="Compact"/>
                    <w:jc w:val="left"/>
                    <w:jc w:val="left"/>
                  </w:pPr>
                  <w:r>
                    <w:t xml:space="preserve">3</w:t>
                  </w:r>
                </w:p>
              </w:tc>
              <w:tc>
                <w:tcPr/>
                <w:p>
                  <w:pPr>
                    <w:pStyle w:val="Compact"/>
                    <w:jc w:val="left"/>
                    <w:jc w:val="left"/>
                  </w:pPr>
                  <w:r>
                    <w:t xml:space="preserve">4</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bl>
          <w:p>
            <w:pPr>
              <w:jc w:val="left"/>
            </w:pPr>
            <w:pPr>
              <w:jc w:val="start"/>
              <w:spacing w:before="200"/>
              <w:pStyle w:val="ImageCaption"/>
            </w:pPr>
            <w:r>
              <w:t xml:space="preserve">Table AO. Community assignments for each site by algorithm and Aurignacian phase at Jaccard threshold 0.2, with the manual restricted (1) / broad (2) group as reference. Sites are ordered by phase, manual group, then site. Singletons (isolated sites with no edges) are assigned their own community. Community IDs are arbitrary within each algorithm column: compare which sites share a value within a column, not the numeric values across columns.</w:t>
            </w:r>
          </w:p>
          <w:bookmarkEnd w:id="216"/>
        </w:tc>
      </w:tr>
    </w:tbl>
    <w:tbl>
      <w:tblPr>
        <w:tblStyle w:val="Table"/>
        <w:tblW w:type="pct" w:w="5000"/>
        <w:tblLook w:firstRow="0" w:lastRow="0" w:firstColumn="0" w:lastColumn="0" w:noHBand="0" w:noVBand="0" w:val="0000"/>
        <w:jc w:val="start"/>
        <w:tblLayout w:type="fixed"/>
      </w:tblPr>
      <w:tblGrid>
        <w:gridCol w:w="7920"/>
      </w:tblGrid>
      <w:tr>
        <w:tc>
          <w:tcPr/>
          <w:bookmarkStart w:id="220" w:name="fig-comembership-heatmap"/>
          <w:p>
            <w:pPr>
              <w:pStyle w:val="Compact"/>
              <w:jc w:val="left"/>
            </w:pPr>
            <w:r>
              <w:drawing>
                <wp:inline>
                  <wp:extent cx="5943600" cy="5943600"/>
                  <wp:effectExtent b="0" l="0" r="0" t="0"/>
                  <wp:docPr descr="" title="" id="218" name="Picture"/>
                  <a:graphic>
                    <a:graphicData uri="http://schemas.openxmlformats.org/drawingml/2006/picture">
                      <pic:pic>
                        <pic:nvPicPr>
                          <pic:cNvPr descr="../figures/comembership-heatmap.png" id="219" name="Picture"/>
                          <pic:cNvPicPr>
                            <a:picLocks noChangeArrowheads="1" noChangeAspect="1"/>
                          </pic:cNvPicPr>
                        </pic:nvPicPr>
                        <pic:blipFill>
                          <a:blip r:embed="rId217"/>
                          <a:stretch>
                            <a:fillRect/>
                          </a:stretch>
                        </pic:blipFill>
                        <pic:spPr bwMode="auto">
                          <a:xfrm>
                            <a:off x="0" y="0"/>
                            <a:ext cx="5943600" cy="5943600"/>
                          </a:xfrm>
                          <a:prstGeom prst="rect">
                            <a:avLst/>
                          </a:prstGeom>
                          <a:noFill/>
                          <a:ln w="9525">
                            <a:noFill/>
                            <a:headEnd/>
                            <a:tailEnd/>
                          </a:ln>
                        </pic:spPr>
                      </pic:pic>
                    </a:graphicData>
                  </a:graphic>
                </wp:inline>
              </w:drawing>
            </w:r>
          </w:p>
          <w:p>
            <w:pPr>
              <w:jc w:val="left"/>
            </w:pPr>
            <w:pPr>
              <w:jc w:val="start"/>
              <w:spacing w:before="200"/>
              <w:pStyle w:val="ImageCaption"/>
            </w:pPr>
            <w:r>
              <w:t xml:space="preserve">Fig L. Sites-by-algorithm co-membership at Jaccard threshold 0.2. Rows are sites ordered by phase and manual group (1 = restricted, 2 = broad); columns are the manual reference and the four community-detection algorithms. Colour encodes the community ID within each column. Read within a column to see which sites each algorithm groups together. Community IDs are arbitrary within each column, so colours match across columns only by coincidence.</w:t>
            </w:r>
          </w:p>
          <w:bookmarkEnd w:id="220"/>
        </w:tc>
      </w:tr>
    </w:tbl>
    <w:p>
      <w:pPr>
        <w:pStyle w:val="BodyText"/>
      </w:pPr>
      <w:r>
        <w:t xml:space="preserve">Stable sites keep the same within-column neighbours across all five columns; shifting sites change neighbours from column to column. In Aur-P1 the two large Louvain, Infomap, and Walktrap blocks track the manual restricted and broad groups, with Les Cottés and Trou al’Wesse splitting off as singletons while Leiden collapses the restricted and broad sites into one block. In Aur-P2 Infomap and Leiden collapse all 9 sites into a single block, while Louvain and Walktrap split the restricted sites into two smaller blocks (Gargas, Les Rois, Mladeč, and Vindija Cave versus La Viña and Sirgenstein Cave) around the intact broad-range block of Trou Magrite, Bockstein-Törle, and Hohle Fels. The bootstrap consensus co-clustering matrices in</w:t>
      </w:r>
      <w:r>
        <w:t xml:space="preserve"> </w:t>
      </w:r>
      <w:hyperlink w:anchor="fig-bootstrap-consensus">
        <w:r>
          <w:rPr>
            <w:rStyle w:val="Hyperlink"/>
          </w:rPr>
          <w:t xml:space="preserve">Fig H</w:t>
        </w:r>
      </w:hyperlink>
      <w:r>
        <w:t xml:space="preserve"> </w:t>
      </w:r>
      <w:r>
        <w:t xml:space="preserve">quantify which of these co-memberships survive resampling.</w:t>
      </w:r>
    </w:p>
    <w:bookmarkEnd w:id="221"/>
    <w:bookmarkEnd w:id="222"/>
    <w:bookmarkStart w:id="225" w:name="sec-s11-2"/>
    <w:p>
      <w:pPr>
        <w:pStyle w:val="Heading2"/>
      </w:pPr>
      <w:r>
        <w:t xml:space="preserve">S1.11.3 Sign-type profiles</w:t>
      </w:r>
    </w:p>
    <w:bookmarkStart w:id="224" w:name="method-6"/>
    <w:p>
      <w:pPr>
        <w:pStyle w:val="Heading3"/>
      </w:pPr>
      <w:r>
        <w:t xml:space="preserve">Method</w:t>
      </w:r>
    </w:p>
    <w:p>
      <w:pPr>
        <w:pStyle w:val="FirstParagraph"/>
      </w:pPr>
      <w:r>
        <w:t xml:space="preserve">For each community, we summarize the sign-type composition to understand what distinguishes one community from another.</w:t>
      </w:r>
    </w:p>
    <w:tbl>
      <w:tblPr>
        <w:tblStyle w:val="Table"/>
        <w:tblW w:type="pct" w:w="5000"/>
        <w:tblLook w:firstRow="0" w:lastRow="0" w:firstColumn="0" w:lastColumn="0" w:noHBand="0" w:noVBand="0" w:val="0000"/>
        <w:jc w:val="start"/>
        <w:tblLayout w:type="fixed"/>
      </w:tblPr>
      <w:tblGrid>
        <w:gridCol w:w="7920"/>
      </w:tblGrid>
      <w:tr>
        <w:tc>
          <w:tcPr/>
          <w:bookmarkStart w:id="223" w:name="tbl-community-composition"/>
          <w:tbl>
            <w:tblPr>
              <w:tblStyle w:val="Table"/>
              <w:tblW w:type="pct" w:w="5000"/>
              <w:tblLook w:firstRow="1" w:lastRow="0" w:firstColumn="0" w:lastColumn="0" w:noHBand="0" w:noVBand="0" w:val="0020"/>
              <w:jc w:val="start"/>
              <w:tblLayout w:type="fixed"/>
            </w:tblPr>
            <w:tblGrid>
              <w:gridCol w:w="1267"/>
              <w:gridCol w:w="950"/>
              <w:gridCol w:w="950"/>
              <w:gridCol w:w="950"/>
              <w:gridCol w:w="950"/>
              <w:gridCol w:w="950"/>
              <w:gridCol w:w="950"/>
              <w:gridCol w:w="950"/>
            </w:tblGrid>
            <w:tr>
              <w:trPr>
                <w:tblHeader w:val="true"/>
              </w:trPr>
              <w:tc>
                <w:tcPr/>
                <w:p>
                  <w:pPr>
                    <w:pStyle w:val="Compact"/>
                    <w:jc w:val="left"/>
                    <w:jc w:val="left"/>
                  </w:pPr>
                  <w:r>
                    <w:t xml:space="preserve">Sign type</w:t>
                  </w:r>
                </w:p>
              </w:tc>
              <w:tc>
                <w:tcPr/>
                <w:p>
                  <w:pPr>
                    <w:pStyle w:val="Compact"/>
                    <w:jc w:val="left"/>
                    <w:jc w:val="left"/>
                  </w:pPr>
                  <w:r>
                    <w:t xml:space="preserve">Aur-P1 C1 (9)</w:t>
                  </w:r>
                </w:p>
              </w:tc>
              <w:tc>
                <w:tcPr/>
                <w:p>
                  <w:pPr>
                    <w:pStyle w:val="Compact"/>
                    <w:jc w:val="left"/>
                    <w:jc w:val="left"/>
                  </w:pPr>
                  <w:r>
                    <w:t xml:space="preserve">Aur-P1 C2 (9)</w:t>
                  </w:r>
                </w:p>
              </w:tc>
              <w:tc>
                <w:tcPr/>
                <w:p>
                  <w:pPr>
                    <w:pStyle w:val="Compact"/>
                    <w:jc w:val="left"/>
                    <w:jc w:val="left"/>
                  </w:pPr>
                  <w:r>
                    <w:t xml:space="preserve">Aur-P1 C3 (1)</w:t>
                  </w:r>
                </w:p>
              </w:tc>
              <w:tc>
                <w:tcPr/>
                <w:p>
                  <w:pPr>
                    <w:pStyle w:val="Compact"/>
                    <w:jc w:val="left"/>
                    <w:jc w:val="left"/>
                  </w:pPr>
                  <w:r>
                    <w:t xml:space="preserve">Aur-P1 C4 (1)</w:t>
                  </w:r>
                </w:p>
              </w:tc>
              <w:tc>
                <w:tcPr/>
                <w:p>
                  <w:pPr>
                    <w:pStyle w:val="Compact"/>
                    <w:jc w:val="left"/>
                    <w:jc w:val="left"/>
                  </w:pPr>
                  <w:r>
                    <w:t xml:space="preserve">Aur-P2 C1 (3)</w:t>
                  </w:r>
                </w:p>
              </w:tc>
              <w:tc>
                <w:tcPr/>
                <w:p>
                  <w:pPr>
                    <w:pStyle w:val="Compact"/>
                    <w:jc w:val="left"/>
                    <w:jc w:val="left"/>
                  </w:pPr>
                  <w:r>
                    <w:t xml:space="preserve">Aur-P2 C2 (4)</w:t>
                  </w:r>
                </w:p>
              </w:tc>
              <w:tc>
                <w:tcPr/>
                <w:p>
                  <w:pPr>
                    <w:pStyle w:val="Compact"/>
                    <w:jc w:val="left"/>
                    <w:jc w:val="left"/>
                  </w:pPr>
                  <w:r>
                    <w:t xml:space="preserve">Aur-P2 C3 (2)</w:t>
                  </w:r>
                </w:p>
              </w:tc>
            </w:tr>
            <w:tr>
              <w:tc>
                <w:tcPr/>
                <w:p>
                  <w:pPr>
                    <w:pStyle w:val="Compact"/>
                    <w:jc w:val="left"/>
                    <w:jc w:val="left"/>
                  </w:pPr>
                  <w:r>
                    <w:t xml:space="preserve">anthropomorph</w:t>
                  </w:r>
                </w:p>
              </w:tc>
              <w:tc>
                <w:tcPr/>
                <w:p>
                  <w:pPr>
                    <w:pStyle w:val="Compact"/>
                    <w:jc w:val="left"/>
                    <w:jc w:val="left"/>
                  </w:pPr>
                  <w:r>
                    <w:t xml:space="preserve">0.00</w:t>
                  </w:r>
                </w:p>
              </w:tc>
              <w:tc>
                <w:tcPr/>
                <w:p>
                  <w:pPr>
                    <w:pStyle w:val="Compact"/>
                    <w:jc w:val="left"/>
                    <w:jc w:val="left"/>
                  </w:pPr>
                  <w:r>
                    <w:t xml:space="preserve">0.11</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circumline</w:t>
                  </w:r>
                </w:p>
              </w:tc>
              <w:tc>
                <w:tcPr/>
                <w:p>
                  <w:pPr>
                    <w:pStyle w:val="Compact"/>
                    <w:jc w:val="left"/>
                    <w:jc w:val="left"/>
                  </w:pPr>
                  <w:r>
                    <w:t xml:space="preserve">0.00</w:t>
                  </w:r>
                </w:p>
              </w:tc>
              <w:tc>
                <w:tcPr/>
                <w:p>
                  <w:pPr>
                    <w:pStyle w:val="Compact"/>
                    <w:jc w:val="left"/>
                    <w:jc w:val="left"/>
                  </w:pPr>
                  <w:r>
                    <w:t xml:space="preserve">0.11</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circumnotch</w:t>
                  </w:r>
                </w:p>
              </w:tc>
              <w:tc>
                <w:tcPr/>
                <w:p>
                  <w:pPr>
                    <w:pStyle w:val="Compact"/>
                    <w:jc w:val="left"/>
                    <w:jc w:val="left"/>
                  </w:pPr>
                  <w:r>
                    <w:t xml:space="preserve">0.00</w:t>
                  </w:r>
                </w:p>
              </w:tc>
              <w:tc>
                <w:tcPr/>
                <w:p>
                  <w:pPr>
                    <w:pStyle w:val="Compact"/>
                    <w:jc w:val="left"/>
                    <w:jc w:val="left"/>
                  </w:pPr>
                  <w:r>
                    <w:t xml:space="preserve">0.44</w:t>
                  </w:r>
                </w:p>
              </w:tc>
              <w:tc>
                <w:tcPr/>
                <w:p>
                  <w:pPr>
                    <w:pStyle w:val="Compact"/>
                    <w:jc w:val="left"/>
                    <w:jc w:val="left"/>
                  </w:pPr>
                  <w:r>
                    <w:t xml:space="preserve">1.00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circumspiral</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1.00</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concenline</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cross</w:t>
                  </w:r>
                </w:p>
              </w:tc>
              <w:tc>
                <w:tcPr/>
                <w:p>
                  <w:pPr>
                    <w:pStyle w:val="Compact"/>
                    <w:jc w:val="left"/>
                    <w:jc w:val="left"/>
                  </w:pPr>
                  <w:r>
                    <w:t xml:space="preserve">0.00</w:t>
                  </w:r>
                </w:p>
              </w:tc>
              <w:tc>
                <w:tcPr/>
                <w:p>
                  <w:pPr>
                    <w:pStyle w:val="Compact"/>
                    <w:jc w:val="left"/>
                    <w:jc w:val="left"/>
                  </w:pPr>
                  <w:r>
                    <w:t xml:space="preserve">0.67</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0.67</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cupule</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dashline</w:t>
                  </w:r>
                </w:p>
              </w:tc>
              <w:tc>
                <w:tcPr/>
                <w:p>
                  <w:pPr>
                    <w:pStyle w:val="Compact"/>
                    <w:jc w:val="left"/>
                    <w:jc w:val="left"/>
                  </w:pPr>
                  <w:r>
                    <w:t xml:space="preserve">0.11</w:t>
                  </w:r>
                </w:p>
              </w:tc>
              <w:tc>
                <w:tcPr/>
                <w:p>
                  <w:pPr>
                    <w:pStyle w:val="Compact"/>
                    <w:jc w:val="left"/>
                    <w:jc w:val="left"/>
                  </w:pPr>
                  <w:r>
                    <w:t xml:space="preserve">0.11</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dot</w:t>
                  </w:r>
                </w:p>
              </w:tc>
              <w:tc>
                <w:tcPr/>
                <w:p>
                  <w:pPr>
                    <w:pStyle w:val="Compact"/>
                    <w:jc w:val="left"/>
                    <w:jc w:val="left"/>
                  </w:pPr>
                  <w:r>
                    <w:t xml:space="preserve">0.00</w:t>
                  </w:r>
                </w:p>
              </w:tc>
              <w:tc>
                <w:tcPr/>
                <w:p>
                  <w:pPr>
                    <w:pStyle w:val="Compact"/>
                    <w:jc w:val="left"/>
                    <w:jc w:val="left"/>
                  </w:pPr>
                  <w:r>
                    <w:t xml:space="preserve">0.67</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grid</w:t>
                  </w:r>
                </w:p>
              </w:tc>
              <w:tc>
                <w:tcPr/>
                <w:p>
                  <w:pPr>
                    <w:pStyle w:val="Compact"/>
                    <w:jc w:val="left"/>
                    <w:jc w:val="left"/>
                  </w:pPr>
                  <w:r>
                    <w:t xml:space="preserve">0.00</w:t>
                  </w:r>
                </w:p>
              </w:tc>
              <w:tc>
                <w:tcPr/>
                <w:p>
                  <w:pPr>
                    <w:pStyle w:val="Compact"/>
                    <w:jc w:val="left"/>
                    <w:jc w:val="left"/>
                  </w:pPr>
                  <w:r>
                    <w:t xml:space="preserve">0.22</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hashtag</w:t>
                  </w:r>
                </w:p>
              </w:tc>
              <w:tc>
                <w:tcPr/>
                <w:p>
                  <w:pPr>
                    <w:pStyle w:val="Compact"/>
                    <w:jc w:val="left"/>
                    <w:jc w:val="left"/>
                  </w:pPr>
                  <w:r>
                    <w:t xml:space="preserve">0.00</w:t>
                  </w:r>
                </w:p>
              </w:tc>
              <w:tc>
                <w:tcPr/>
                <w:p>
                  <w:pPr>
                    <w:pStyle w:val="Compact"/>
                    <w:jc w:val="left"/>
                    <w:jc w:val="left"/>
                  </w:pPr>
                  <w:r>
                    <w:t xml:space="preserve">0.11</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hatching</w:t>
                  </w:r>
                </w:p>
              </w:tc>
              <w:tc>
                <w:tcPr/>
                <w:p>
                  <w:pPr>
                    <w:pStyle w:val="Compact"/>
                    <w:jc w:val="left"/>
                    <w:jc w:val="left"/>
                  </w:pPr>
                  <w:r>
                    <w:t xml:space="preserve">0.00</w:t>
                  </w:r>
                </w:p>
              </w:tc>
              <w:tc>
                <w:tcPr/>
                <w:p>
                  <w:pPr>
                    <w:pStyle w:val="Compact"/>
                    <w:jc w:val="left"/>
                    <w:jc w:val="left"/>
                  </w:pPr>
                  <w:r>
                    <w:t xml:space="preserve">0.44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0.67</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line</w:t>
                  </w:r>
                </w:p>
              </w:tc>
              <w:tc>
                <w:tcPr/>
                <w:p>
                  <w:pPr>
                    <w:pStyle w:val="Compact"/>
                    <w:jc w:val="left"/>
                    <w:jc w:val="left"/>
                  </w:pPr>
                  <w:r>
                    <w:t xml:space="preserve">0.44</w:t>
                  </w:r>
                </w:p>
              </w:tc>
              <w:tc>
                <w:tcPr/>
                <w:p>
                  <w:pPr>
                    <w:pStyle w:val="Compact"/>
                    <w:jc w:val="left"/>
                    <w:jc w:val="left"/>
                  </w:pPr>
                  <w:r>
                    <w:t xml:space="preserve">1.00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0.00</w:t>
                  </w:r>
                </w:p>
              </w:tc>
            </w:tr>
            <w:tr>
              <w:tc>
                <w:tcPr/>
                <w:p>
                  <w:pPr>
                    <w:pStyle w:val="Compact"/>
                    <w:jc w:val="left"/>
                    <w:jc w:val="left"/>
                  </w:pPr>
                  <w:r>
                    <w:t xml:space="preserve">maccaroni</w:t>
                  </w:r>
                </w:p>
              </w:tc>
              <w:tc>
                <w:tcPr/>
                <w:p>
                  <w:pPr>
                    <w:pStyle w:val="Compact"/>
                    <w:jc w:val="left"/>
                    <w:jc w:val="left"/>
                  </w:pPr>
                  <w:r>
                    <w:t xml:space="preserve">0.00</w:t>
                  </w:r>
                </w:p>
              </w:tc>
              <w:tc>
                <w:tcPr/>
                <w:p>
                  <w:pPr>
                    <w:pStyle w:val="Compact"/>
                    <w:jc w:val="left"/>
                    <w:jc w:val="left"/>
                  </w:pPr>
                  <w:r>
                    <w:t xml:space="preserve">0.11</w:t>
                  </w:r>
                </w:p>
              </w:tc>
              <w:tc>
                <w:tcPr/>
                <w:p>
                  <w:pPr>
                    <w:pStyle w:val="Compact"/>
                    <w:jc w:val="left"/>
                    <w:jc w:val="left"/>
                  </w:pPr>
                  <w:r>
                    <w:t xml:space="preserve">0.00</w:t>
                  </w:r>
                </w:p>
              </w:tc>
              <w:tc>
                <w:tcPr/>
                <w:p>
                  <w:pPr>
                    <w:pStyle w:val="Compact"/>
                    <w:jc w:val="left"/>
                    <w:jc w:val="left"/>
                  </w:pPr>
                  <w:r>
                    <w:t xml:space="preserve">1.00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notch</w:t>
                  </w:r>
                </w:p>
              </w:tc>
              <w:tc>
                <w:tcPr/>
                <w:p>
                  <w:pPr>
                    <w:pStyle w:val="Compact"/>
                    <w:jc w:val="left"/>
                    <w:jc w:val="left"/>
                  </w:pPr>
                  <w:r>
                    <w:t xml:space="preserve">0.89</w:t>
                  </w:r>
                </w:p>
              </w:tc>
              <w:tc>
                <w:tcPr/>
                <w:p>
                  <w:pPr>
                    <w:pStyle w:val="Compact"/>
                    <w:jc w:val="left"/>
                    <w:jc w:val="left"/>
                  </w:pPr>
                  <w:r>
                    <w:t xml:space="preserve">0.89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1.00</w:t>
                  </w:r>
                </w:p>
              </w:tc>
              <w:tc>
                <w:tcPr/>
                <w:p>
                  <w:pPr>
                    <w:pStyle w:val="Compact"/>
                    <w:jc w:val="left"/>
                    <w:jc w:val="left"/>
                  </w:pPr>
                  <w:r>
                    <w:t xml:space="preserve">0.50</w:t>
                  </w:r>
                </w:p>
              </w:tc>
              <w:tc>
                <w:tcPr/>
                <w:p>
                  <w:pPr>
                    <w:pStyle w:val="Compact"/>
                    <w:jc w:val="left"/>
                    <w:jc w:val="left"/>
                  </w:pPr>
                  <w:r>
                    <w:t xml:space="preserve">1.00</w:t>
                  </w:r>
                </w:p>
              </w:tc>
            </w:tr>
            <w:tr>
              <w:tc>
                <w:tcPr/>
                <w:p>
                  <w:pPr>
                    <w:pStyle w:val="Compact"/>
                    <w:jc w:val="left"/>
                    <w:jc w:val="left"/>
                  </w:pPr>
                  <w:r>
                    <w:t xml:space="preserve">obline</w:t>
                  </w:r>
                </w:p>
              </w:tc>
              <w:tc>
                <w:tcPr/>
                <w:p>
                  <w:pPr>
                    <w:pStyle w:val="Compact"/>
                    <w:jc w:val="left"/>
                    <w:jc w:val="left"/>
                  </w:pPr>
                  <w:r>
                    <w:t xml:space="preserve">0.00</w:t>
                  </w:r>
                </w:p>
              </w:tc>
              <w:tc>
                <w:tcPr/>
                <w:p>
                  <w:pPr>
                    <w:pStyle w:val="Compact"/>
                    <w:jc w:val="left"/>
                    <w:jc w:val="left"/>
                  </w:pPr>
                  <w:r>
                    <w:t xml:space="preserve">0.67</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0.67</w:t>
                  </w:r>
                </w:p>
              </w:tc>
              <w:tc>
                <w:tcPr/>
                <w:p>
                  <w:pPr>
                    <w:pStyle w:val="Compact"/>
                    <w:jc w:val="left"/>
                    <w:jc w:val="left"/>
                  </w:pPr>
                  <w:r>
                    <w:t xml:space="preserve">0.25</w:t>
                  </w:r>
                </w:p>
              </w:tc>
              <w:tc>
                <w:tcPr/>
                <w:p>
                  <w:pPr>
                    <w:pStyle w:val="Compact"/>
                    <w:jc w:val="left"/>
                    <w:jc w:val="left"/>
                  </w:pPr>
                  <w:r>
                    <w:t xml:space="preserve">0.00</w:t>
                  </w:r>
                </w:p>
              </w:tc>
            </w:tr>
            <w:tr>
              <w:tc>
                <w:tcPr/>
                <w:p>
                  <w:pPr>
                    <w:pStyle w:val="Compact"/>
                    <w:jc w:val="left"/>
                    <w:jc w:val="left"/>
                  </w:pPr>
                  <w:r>
                    <w:t xml:space="preserve">obnotch</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0.67</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paw</w:t>
                  </w:r>
                </w:p>
              </w:tc>
              <w:tc>
                <w:tcPr/>
                <w:p>
                  <w:pPr>
                    <w:pStyle w:val="Compact"/>
                    <w:jc w:val="left"/>
                    <w:jc w:val="left"/>
                  </w:pPr>
                  <w:r>
                    <w:t xml:space="preserve">0.00</w:t>
                  </w:r>
                </w:p>
              </w:tc>
              <w:tc>
                <w:tcPr/>
                <w:p>
                  <w:pPr>
                    <w:pStyle w:val="Compact"/>
                    <w:jc w:val="left"/>
                    <w:jc w:val="left"/>
                  </w:pPr>
                  <w:r>
                    <w:t xml:space="preserve">0.11</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pinleft</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pinright</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radline</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radnotch</w:t>
                  </w:r>
                </w:p>
              </w:tc>
              <w:tc>
                <w:tcPr/>
                <w:p>
                  <w:pPr>
                    <w:pStyle w:val="Compact"/>
                    <w:jc w:val="left"/>
                    <w:jc w:val="left"/>
                  </w:pPr>
                  <w:r>
                    <w:t xml:space="preserve">0.11</w:t>
                  </w:r>
                </w:p>
              </w:tc>
              <w:tc>
                <w:tcPr/>
                <w:p>
                  <w:pPr>
                    <w:pStyle w:val="Compact"/>
                    <w:jc w:val="left"/>
                    <w:jc w:val="left"/>
                  </w:pPr>
                  <w:r>
                    <w:t xml:space="preserve">0.22</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rhombus</w:t>
                  </w:r>
                </w:p>
              </w:tc>
              <w:tc>
                <w:tcPr/>
                <w:p>
                  <w:pPr>
                    <w:pStyle w:val="Compact"/>
                    <w:jc w:val="left"/>
                    <w:jc w:val="left"/>
                  </w:pPr>
                  <w:r>
                    <w:t xml:space="preserve">0.00</w:t>
                  </w:r>
                </w:p>
              </w:tc>
              <w:tc>
                <w:tcPr/>
                <w:p>
                  <w:pPr>
                    <w:pStyle w:val="Compact"/>
                    <w:jc w:val="left"/>
                    <w:jc w:val="left"/>
                  </w:pPr>
                  <w:r>
                    <w:t xml:space="preserve">0.11</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star</w:t>
                  </w:r>
                </w:p>
              </w:tc>
              <w:tc>
                <w:tcPr/>
                <w:p>
                  <w:pPr>
                    <w:pStyle w:val="Compact"/>
                    <w:jc w:val="left"/>
                    <w:jc w:val="left"/>
                  </w:pPr>
                  <w:r>
                    <w:t xml:space="preserve">0.00</w:t>
                  </w:r>
                </w:p>
              </w:tc>
              <w:tc>
                <w:tcPr/>
                <w:p>
                  <w:pPr>
                    <w:pStyle w:val="Compact"/>
                    <w:jc w:val="left"/>
                    <w:jc w:val="left"/>
                  </w:pPr>
                  <w:r>
                    <w:t xml:space="preserve">0.11</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v</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vulva</w:t>
                  </w:r>
                </w:p>
              </w:tc>
              <w:tc>
                <w:tcPr/>
                <w:p>
                  <w:pPr>
                    <w:pStyle w:val="Compact"/>
                    <w:jc w:val="left"/>
                    <w:jc w:val="left"/>
                  </w:pPr>
                  <w:r>
                    <w:t xml:space="preserve">0.00</w:t>
                  </w:r>
                </w:p>
              </w:tc>
              <w:tc>
                <w:tcPr/>
                <w:p>
                  <w:pPr>
                    <w:pStyle w:val="Compact"/>
                    <w:jc w:val="left"/>
                    <w:jc w:val="left"/>
                  </w:pPr>
                  <w:r>
                    <w:t xml:space="preserve">0.44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zigzag</w:t>
                  </w:r>
                </w:p>
              </w:tc>
              <w:tc>
                <w:tcPr/>
                <w:p>
                  <w:pPr>
                    <w:pStyle w:val="Compact"/>
                    <w:jc w:val="left"/>
                    <w:jc w:val="left"/>
                  </w:pPr>
                  <w:r>
                    <w:t xml:space="preserve">0.00</w:t>
                  </w:r>
                </w:p>
              </w:tc>
              <w:tc>
                <w:tcPr/>
                <w:p>
                  <w:pPr>
                    <w:pStyle w:val="Compact"/>
                    <w:jc w:val="left"/>
                    <w:jc w:val="left"/>
                  </w:pPr>
                  <w:r>
                    <w:t xml:space="preserve">0.11</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zigzagrow</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zoomorph</w:t>
                  </w:r>
                </w:p>
              </w:tc>
              <w:tc>
                <w:tcPr/>
                <w:p>
                  <w:pPr>
                    <w:pStyle w:val="Compact"/>
                    <w:jc w:val="left"/>
                    <w:jc w:val="left"/>
                  </w:pPr>
                  <w:r>
                    <w:t xml:space="preserve">0.00</w:t>
                  </w:r>
                </w:p>
              </w:tc>
              <w:tc>
                <w:tcPr/>
                <w:p>
                  <w:pPr>
                    <w:pStyle w:val="Compact"/>
                    <w:jc w:val="left"/>
                    <w:jc w:val="left"/>
                  </w:pPr>
                  <w:r>
                    <w:t xml:space="preserve">0.33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bl>
          <w:p>
            <w:pPr>
              <w:jc w:val="left"/>
            </w:pPr>
            <w:pPr>
              <w:jc w:val="start"/>
              <w:spacing w:before="200"/>
              <w:pStyle w:val="ImageCaption"/>
            </w:pPr>
            <w:r>
              <w:t xml:space="preserve">Table AP. Sign-type composition of Louvain communities at threshold 0.2. Each column is one community, labelled by phase, community ID and, in brackets, the number of sites. Each value is the proportion of sites in the community that have at least one object with the sign type. A value of 0 means that no site in the community has the sign type. Only sign types present at ≥10% of the sites of at least one community are shown.</w:t>
            </w:r>
          </w:p>
          <w:bookmarkEnd w:id="223"/>
        </w:tc>
      </w:tr>
    </w:tbl>
    <w:bookmarkEnd w:id="224"/>
    <w:bookmarkEnd w:id="225"/>
    <w:bookmarkStart w:id="231" w:name="sec-s11-3"/>
    <w:p>
      <w:pPr>
        <w:pStyle w:val="Heading2"/>
      </w:pPr>
      <w:r>
        <w:t xml:space="preserve">S1.11.4 Geographic distribution</w:t>
      </w:r>
    </w:p>
    <w:bookmarkStart w:id="230" w:name="method-7"/>
    <w:p>
      <w:pPr>
        <w:pStyle w:val="Heading3"/>
      </w:pPr>
      <w:r>
        <w:t xml:space="preserve">Method</w:t>
      </w:r>
    </w:p>
    <w:p>
      <w:pPr>
        <w:pStyle w:val="FirstParagraph"/>
      </w:pPr>
      <w:r>
        <w:t xml:space="preserve">We map the communities to visualize their geographic structure. Community IDs are colored consistently within each phase.</w:t>
      </w:r>
    </w:p>
    <w:tbl>
      <w:tblPr>
        <w:tblStyle w:val="Table"/>
        <w:tblW w:type="pct" w:w="5000"/>
        <w:tblLook w:firstRow="0" w:lastRow="0" w:firstColumn="0" w:lastColumn="0" w:noHBand="0" w:noVBand="0" w:val="0000"/>
        <w:jc w:val="start"/>
        <w:tblLayout w:type="fixed"/>
      </w:tblPr>
      <w:tblGrid>
        <w:gridCol w:w="7920"/>
      </w:tblGrid>
      <w:tr>
        <w:tc>
          <w:tcPr/>
          <w:bookmarkStart w:id="229" w:name="fig-community-maps"/>
          <w:p>
            <w:pPr>
              <w:pStyle w:val="Compact"/>
              <w:jc w:val="left"/>
            </w:pPr>
            <w:r>
              <w:drawing>
                <wp:inline>
                  <wp:extent cx="5943600" cy="4622800"/>
                  <wp:effectExtent b="0" l="0" r="0" t="0"/>
                  <wp:docPr descr="" title="" id="227" name="Picture"/>
                  <a:graphic>
                    <a:graphicData uri="http://schemas.openxmlformats.org/drawingml/2006/picture">
                      <pic:pic>
                        <pic:nvPicPr>
                          <pic:cNvPr descr="../figures/community-maps.png" id="228" name="Picture"/>
                          <pic:cNvPicPr>
                            <a:picLocks noChangeArrowheads="1" noChangeAspect="1"/>
                          </pic:cNvPicPr>
                        </pic:nvPicPr>
                        <pic:blipFill>
                          <a:blip r:embed="rId226"/>
                          <a:stretch>
                            <a:fillRect/>
                          </a:stretch>
                        </pic:blipFill>
                        <pic:spPr bwMode="auto">
                          <a:xfrm>
                            <a:off x="0" y="0"/>
                            <a:ext cx="5943600" cy="4622800"/>
                          </a:xfrm>
                          <a:prstGeom prst="rect">
                            <a:avLst/>
                          </a:prstGeom>
                          <a:noFill/>
                          <a:ln w="9525">
                            <a:noFill/>
                            <a:headEnd/>
                            <a:tailEnd/>
                          </a:ln>
                        </pic:spPr>
                      </pic:pic>
                    </a:graphicData>
                  </a:graphic>
                </wp:inline>
              </w:drawing>
            </w:r>
          </w:p>
          <w:p>
            <w:pPr>
              <w:jc w:val="left"/>
            </w:pPr>
            <w:pPr>
              <w:jc w:val="start"/>
              <w:spacing w:before="200"/>
              <w:pStyle w:val="ImageCaption"/>
            </w:pPr>
            <w:r>
              <w:t xml:space="preserve">Fig M. Geographic distribution of Louvain communities at Jaccard threshold 0.2, for Aur-P1 (a, 4 communities) and Aur-P2 (b, 3 communities). Community colours are arbitrary but consistent within each phase. Point size indicates assemblage size (number of objects). Map data from naturalearthdata.com.</w:t>
            </w:r>
          </w:p>
          <w:bookmarkEnd w:id="229"/>
        </w:tc>
      </w:tr>
    </w:tbl>
    <w:bookmarkEnd w:id="230"/>
    <w:bookmarkEnd w:id="231"/>
    <w:bookmarkStart w:id="234" w:name="sec-s11-4"/>
    <w:p>
      <w:pPr>
        <w:pStyle w:val="Heading2"/>
      </w:pPr>
      <w:r>
        <w:t xml:space="preserve">S1.11.5 Cross-algorithm comparison</w:t>
      </w:r>
    </w:p>
    <w:bookmarkStart w:id="233" w:name="method-8"/>
    <w:p>
      <w:pPr>
        <w:pStyle w:val="Heading3"/>
      </w:pPr>
      <w:r>
        <w:t xml:space="preserve">Method</w:t>
      </w:r>
    </w:p>
    <w:p>
      <w:pPr>
        <w:pStyle w:val="FirstParagraph"/>
      </w:pPr>
      <w:r>
        <w:t xml:space="preserve">We examine how consistently sites are assigned to communities across the four algorithms, focusing on the main-analysis threshold of 0.2.</w:t>
      </w:r>
    </w:p>
    <w:tbl>
      <w:tblPr>
        <w:tblStyle w:val="Table"/>
        <w:tblW w:type="pct" w:w="5000"/>
        <w:tblLook w:firstRow="0" w:lastRow="0" w:firstColumn="0" w:lastColumn="0" w:noHBand="0" w:noVBand="0" w:val="0000"/>
        <w:jc w:val="start"/>
        <w:tblLayout w:type="fixed"/>
      </w:tblPr>
      <w:tblGrid>
        <w:gridCol w:w="7920"/>
      </w:tblGrid>
      <w:tr>
        <w:tc>
          <w:tcPr/>
          <w:bookmarkStart w:id="232" w:name="tbl-cross-algorithm-agreement"/>
          <w:tbl>
            <w:tblPr>
              <w:tblStyle w:val="Table"/>
              <w:tblW w:type="pct" w:w="5000"/>
              <w:tblLook w:firstRow="1" w:lastRow="0" w:firstColumn="0" w:lastColumn="0" w:noHBand="0" w:noVBand="0" w:val="0020"/>
              <w:jc w:val="start"/>
              <w:tblLayout w:type="fixed"/>
            </w:tblPr>
            <w:tblGrid>
              <w:gridCol w:w="871"/>
              <w:gridCol w:w="2851"/>
              <w:gridCol w:w="950"/>
              <w:gridCol w:w="871"/>
              <w:gridCol w:w="792"/>
              <w:gridCol w:w="871"/>
              <w:gridCol w:w="712"/>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Louvain Comm.</w:t>
                  </w:r>
                </w:p>
              </w:tc>
              <w:tc>
                <w:tcPr/>
                <w:p>
                  <w:pPr>
                    <w:pStyle w:val="Compact"/>
                    <w:jc w:val="left"/>
                    <w:jc w:val="left"/>
                  </w:pPr>
                  <w:r>
                    <w:t xml:space="preserve">Infomap</w:t>
                  </w:r>
                </w:p>
              </w:tc>
              <w:tc>
                <w:tcPr/>
                <w:p>
                  <w:pPr>
                    <w:pStyle w:val="Compact"/>
                    <w:jc w:val="left"/>
                    <w:jc w:val="left"/>
                  </w:pPr>
                  <w:r>
                    <w:t xml:space="preserve">Leiden</w:t>
                  </w:r>
                </w:p>
              </w:tc>
              <w:tc>
                <w:tcPr/>
                <w:p>
                  <w:pPr>
                    <w:pStyle w:val="Compact"/>
                    <w:jc w:val="left"/>
                    <w:jc w:val="left"/>
                  </w:pPr>
                  <w:r>
                    <w:t xml:space="preserve">Walktrap</w:t>
                  </w:r>
                </w:p>
              </w:tc>
              <w:tc>
                <w:tcPr/>
                <w:p>
                  <w:pPr>
                    <w:pStyle w:val="Compact"/>
                    <w:jc w:val="left"/>
                    <w:jc w:val="left"/>
                  </w:pPr>
                  <w:r>
                    <w:t xml:space="preserve">Any</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3</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4</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0.53</w:t>
                  </w:r>
                </w:p>
              </w:tc>
              <w:tc>
                <w:tcPr/>
                <w:p>
                  <w:pPr>
                    <w:pStyle w:val="Compact"/>
                    <w:jc w:val="left"/>
                    <w:jc w:val="left"/>
                  </w:pPr>
                  <w:r>
                    <w:t xml:space="preserve">1</w:t>
                  </w:r>
                </w:p>
              </w:tc>
              <w:tc>
                <w:tcPr/>
                <w:p>
                  <w:pPr>
                    <w:pStyle w:val="Compact"/>
                    <w:jc w:val="left"/>
                    <w:jc w:val="left"/>
                  </w:pPr>
                  <w:r>
                    <w:t xml:space="preserve">0.84</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1</w:t>
                  </w:r>
                </w:p>
              </w:tc>
              <w:tc>
                <w:tcPr/>
                <w:p>
                  <w:pPr>
                    <w:pStyle w:val="Compact"/>
                    <w:jc w:val="left"/>
                    <w:jc w:val="left"/>
                  </w:pPr>
                  <w:r>
                    <w:t xml:space="preserve">0.25</w:t>
                  </w:r>
                </w:p>
              </w:tc>
              <w:tc>
                <w:tcPr/>
                <w:p>
                  <w:pPr>
                    <w:pStyle w:val="Compact"/>
                    <w:jc w:val="left"/>
                    <w:jc w:val="left"/>
                  </w:pPr>
                  <w:r>
                    <w:t xml:space="preserve">0.25</w:t>
                  </w:r>
                </w:p>
              </w:tc>
              <w:tc>
                <w:tcPr/>
                <w:p>
                  <w:pPr>
                    <w:pStyle w:val="Compact"/>
                    <w:jc w:val="left"/>
                    <w:jc w:val="left"/>
                  </w:pPr>
                  <w:r>
                    <w:t xml:space="preserve">1</w:t>
                  </w:r>
                </w:p>
              </w:tc>
              <w:tc>
                <w:tcPr/>
                <w:p>
                  <w:pPr>
                    <w:pStyle w:val="Compact"/>
                    <w:jc w:val="left"/>
                    <w:jc w:val="left"/>
                  </w:pPr>
                  <w:r>
                    <w:t xml:space="preserve">0.50</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2</w:t>
                  </w:r>
                </w:p>
              </w:tc>
              <w:tc>
                <w:tcPr/>
                <w:p>
                  <w:pPr>
                    <w:pStyle w:val="Compact"/>
                    <w:jc w:val="left"/>
                    <w:jc w:val="left"/>
                  </w:pPr>
                  <w:r>
                    <w:t xml:space="preserve">0.38</w:t>
                  </w:r>
                </w:p>
              </w:tc>
              <w:tc>
                <w:tcPr/>
                <w:p>
                  <w:pPr>
                    <w:pStyle w:val="Compact"/>
                    <w:jc w:val="left"/>
                    <w:jc w:val="left"/>
                  </w:pPr>
                  <w:r>
                    <w:t xml:space="preserve">0.38</w:t>
                  </w:r>
                </w:p>
              </w:tc>
              <w:tc>
                <w:tcPr/>
                <w:p>
                  <w:pPr>
                    <w:pStyle w:val="Compact"/>
                    <w:jc w:val="left"/>
                    <w:jc w:val="left"/>
                  </w:pPr>
                  <w:r>
                    <w:t xml:space="preserve">1</w:t>
                  </w:r>
                </w:p>
              </w:tc>
              <w:tc>
                <w:tcPr/>
                <w:p>
                  <w:pPr>
                    <w:pStyle w:val="Compact"/>
                    <w:jc w:val="left"/>
                    <w:jc w:val="left"/>
                  </w:pPr>
                  <w:r>
                    <w:t xml:space="preserve">0.58</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0.25</w:t>
                  </w:r>
                </w:p>
              </w:tc>
              <w:tc>
                <w:tcPr/>
                <w:p>
                  <w:pPr>
                    <w:pStyle w:val="Compact"/>
                    <w:jc w:val="left"/>
                    <w:jc w:val="left"/>
                  </w:pPr>
                  <w:r>
                    <w:t xml:space="preserve">0.25</w:t>
                  </w:r>
                </w:p>
              </w:tc>
              <w:tc>
                <w:tcPr/>
                <w:p>
                  <w:pPr>
                    <w:pStyle w:val="Compact"/>
                    <w:jc w:val="left"/>
                    <w:jc w:val="left"/>
                  </w:pPr>
                  <w:r>
                    <w:t xml:space="preserve">1</w:t>
                  </w:r>
                </w:p>
              </w:tc>
              <w:tc>
                <w:tcPr/>
                <w:p>
                  <w:pPr>
                    <w:pStyle w:val="Compact"/>
                    <w:jc w:val="left"/>
                    <w:jc w:val="left"/>
                  </w:pPr>
                  <w:r>
                    <w:t xml:space="preserve">0.50</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3</w:t>
                  </w:r>
                </w:p>
              </w:tc>
              <w:tc>
                <w:tcPr/>
                <w:p>
                  <w:pPr>
                    <w:pStyle w:val="Compact"/>
                    <w:jc w:val="left"/>
                    <w:jc w:val="left"/>
                  </w:pPr>
                  <w:r>
                    <w:t xml:space="preserve">0.12</w:t>
                  </w:r>
                </w:p>
              </w:tc>
              <w:tc>
                <w:tcPr/>
                <w:p>
                  <w:pPr>
                    <w:pStyle w:val="Compact"/>
                    <w:jc w:val="left"/>
                    <w:jc w:val="left"/>
                  </w:pPr>
                  <w:r>
                    <w:t xml:space="preserve">0.12</w:t>
                  </w:r>
                </w:p>
              </w:tc>
              <w:tc>
                <w:tcPr/>
                <w:p>
                  <w:pPr>
                    <w:pStyle w:val="Compact"/>
                    <w:jc w:val="left"/>
                    <w:jc w:val="left"/>
                  </w:pPr>
                  <w:r>
                    <w:t xml:space="preserve">1</w:t>
                  </w:r>
                </w:p>
              </w:tc>
              <w:tc>
                <w:tcPr/>
                <w:p>
                  <w:pPr>
                    <w:pStyle w:val="Compact"/>
                    <w:jc w:val="left"/>
                    <w:jc w:val="left"/>
                  </w:pPr>
                  <w:r>
                    <w:t xml:space="preserve">0.42</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2</w:t>
                  </w:r>
                </w:p>
              </w:tc>
              <w:tc>
                <w:tcPr/>
                <w:p>
                  <w:pPr>
                    <w:pStyle w:val="Compact"/>
                    <w:jc w:val="left"/>
                    <w:jc w:val="left"/>
                  </w:pPr>
                  <w:r>
                    <w:t xml:space="preserve">0.38</w:t>
                  </w:r>
                </w:p>
              </w:tc>
              <w:tc>
                <w:tcPr/>
                <w:p>
                  <w:pPr>
                    <w:pStyle w:val="Compact"/>
                    <w:jc w:val="left"/>
                    <w:jc w:val="left"/>
                  </w:pPr>
                  <w:r>
                    <w:t xml:space="preserve">0.38</w:t>
                  </w:r>
                </w:p>
              </w:tc>
              <w:tc>
                <w:tcPr/>
                <w:p>
                  <w:pPr>
                    <w:pStyle w:val="Compact"/>
                    <w:jc w:val="left"/>
                    <w:jc w:val="left"/>
                  </w:pPr>
                  <w:r>
                    <w:t xml:space="preserve">1</w:t>
                  </w:r>
                </w:p>
              </w:tc>
              <w:tc>
                <w:tcPr/>
                <w:p>
                  <w:pPr>
                    <w:pStyle w:val="Compact"/>
                    <w:jc w:val="left"/>
                    <w:jc w:val="left"/>
                  </w:pPr>
                  <w:r>
                    <w:t xml:space="preserve">0.58</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2</w:t>
                  </w:r>
                </w:p>
              </w:tc>
              <w:tc>
                <w:tcPr/>
                <w:p>
                  <w:pPr>
                    <w:pStyle w:val="Compact"/>
                    <w:jc w:val="left"/>
                    <w:jc w:val="left"/>
                  </w:pPr>
                  <w:r>
                    <w:t xml:space="preserve">0.38</w:t>
                  </w:r>
                </w:p>
              </w:tc>
              <w:tc>
                <w:tcPr/>
                <w:p>
                  <w:pPr>
                    <w:pStyle w:val="Compact"/>
                    <w:jc w:val="left"/>
                    <w:jc w:val="left"/>
                  </w:pPr>
                  <w:r>
                    <w:t xml:space="preserve">0.38</w:t>
                  </w:r>
                </w:p>
              </w:tc>
              <w:tc>
                <w:tcPr/>
                <w:p>
                  <w:pPr>
                    <w:pStyle w:val="Compact"/>
                    <w:jc w:val="left"/>
                    <w:jc w:val="left"/>
                  </w:pPr>
                  <w:r>
                    <w:t xml:space="preserve">1</w:t>
                  </w:r>
                </w:p>
              </w:tc>
              <w:tc>
                <w:tcPr/>
                <w:p>
                  <w:pPr>
                    <w:pStyle w:val="Compact"/>
                    <w:jc w:val="left"/>
                    <w:jc w:val="left"/>
                  </w:pPr>
                  <w:r>
                    <w:t xml:space="preserve">0.58</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3</w:t>
                  </w:r>
                </w:p>
              </w:tc>
              <w:tc>
                <w:tcPr/>
                <w:p>
                  <w:pPr>
                    <w:pStyle w:val="Compact"/>
                    <w:jc w:val="left"/>
                    <w:jc w:val="left"/>
                  </w:pPr>
                  <w:r>
                    <w:t xml:space="preserve">0.12</w:t>
                  </w:r>
                </w:p>
              </w:tc>
              <w:tc>
                <w:tcPr/>
                <w:p>
                  <w:pPr>
                    <w:pStyle w:val="Compact"/>
                    <w:jc w:val="left"/>
                    <w:jc w:val="left"/>
                  </w:pPr>
                  <w:r>
                    <w:t xml:space="preserve">0.12</w:t>
                  </w:r>
                </w:p>
              </w:tc>
              <w:tc>
                <w:tcPr/>
                <w:p>
                  <w:pPr>
                    <w:pStyle w:val="Compact"/>
                    <w:jc w:val="left"/>
                    <w:jc w:val="left"/>
                  </w:pPr>
                  <w:r>
                    <w:t xml:space="preserve">1</w:t>
                  </w:r>
                </w:p>
              </w:tc>
              <w:tc>
                <w:tcPr/>
                <w:p>
                  <w:pPr>
                    <w:pStyle w:val="Compact"/>
                    <w:jc w:val="left"/>
                    <w:jc w:val="left"/>
                  </w:pPr>
                  <w:r>
                    <w:t xml:space="preserve">0.42</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1</w:t>
                  </w:r>
                </w:p>
              </w:tc>
              <w:tc>
                <w:tcPr/>
                <w:p>
                  <w:pPr>
                    <w:pStyle w:val="Compact"/>
                    <w:jc w:val="left"/>
                    <w:jc w:val="left"/>
                  </w:pPr>
                  <w:r>
                    <w:t xml:space="preserve">0.25</w:t>
                  </w:r>
                </w:p>
              </w:tc>
              <w:tc>
                <w:tcPr/>
                <w:p>
                  <w:pPr>
                    <w:pStyle w:val="Compact"/>
                    <w:jc w:val="left"/>
                    <w:jc w:val="left"/>
                  </w:pPr>
                  <w:r>
                    <w:t xml:space="preserve">0.25</w:t>
                  </w:r>
                </w:p>
              </w:tc>
              <w:tc>
                <w:tcPr/>
                <w:p>
                  <w:pPr>
                    <w:pStyle w:val="Compact"/>
                    <w:jc w:val="left"/>
                    <w:jc w:val="left"/>
                  </w:pPr>
                  <w:r>
                    <w:t xml:space="preserve">1</w:t>
                  </w:r>
                </w:p>
              </w:tc>
              <w:tc>
                <w:tcPr/>
                <w:p>
                  <w:pPr>
                    <w:pStyle w:val="Compact"/>
                    <w:jc w:val="left"/>
                    <w:jc w:val="left"/>
                  </w:pPr>
                  <w:r>
                    <w:t xml:space="preserve">0.50</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2</w:t>
                  </w:r>
                </w:p>
              </w:tc>
              <w:tc>
                <w:tcPr/>
                <w:p>
                  <w:pPr>
                    <w:pStyle w:val="Compact"/>
                    <w:jc w:val="left"/>
                    <w:jc w:val="left"/>
                  </w:pPr>
                  <w:r>
                    <w:t xml:space="preserve">0.38</w:t>
                  </w:r>
                </w:p>
              </w:tc>
              <w:tc>
                <w:tcPr/>
                <w:p>
                  <w:pPr>
                    <w:pStyle w:val="Compact"/>
                    <w:jc w:val="left"/>
                    <w:jc w:val="left"/>
                  </w:pPr>
                  <w:r>
                    <w:t xml:space="preserve">0.38</w:t>
                  </w:r>
                </w:p>
              </w:tc>
              <w:tc>
                <w:tcPr/>
                <w:p>
                  <w:pPr>
                    <w:pStyle w:val="Compact"/>
                    <w:jc w:val="left"/>
                    <w:jc w:val="left"/>
                  </w:pPr>
                  <w:r>
                    <w:t xml:space="preserve">1</w:t>
                  </w:r>
                </w:p>
              </w:tc>
              <w:tc>
                <w:tcPr/>
                <w:p>
                  <w:pPr>
                    <w:pStyle w:val="Compact"/>
                    <w:jc w:val="left"/>
                    <w:jc w:val="left"/>
                  </w:pPr>
                  <w:r>
                    <w:t xml:space="preserve">0.58</w:t>
                  </w:r>
                </w:p>
              </w:tc>
            </w:tr>
          </w:tbl>
          <w:p>
            <w:pPr>
              <w:jc w:val="left"/>
            </w:pPr>
            <w:pPr>
              <w:jc w:val="start"/>
              <w:spacing w:before="200"/>
              <w:pStyle w:val="ImageCaption"/>
            </w:pPr>
            <w:r>
              <w:t xml:space="preserve">Table AQ. Cross-algorithm agreement in community assignment at threshold 0.2. For each site, the value is the proportion of the other sites in the same phase whose relation to it (same community or different community) is the same under the named algorithm as under Louvain. Any is the mean of the three values. The measure does not use community IDs. A value of 1.00 means that the algorithm groups the site exactly as Louvain does.</w:t>
            </w:r>
          </w:p>
          <w:bookmarkEnd w:id="232"/>
        </w:tc>
      </w:tr>
    </w:tbl>
    <w:bookmarkEnd w:id="233"/>
    <w:bookmarkEnd w:id="234"/>
    <w:bookmarkStart w:id="235" w:name="sec-s11-5"/>
    <w:p>
      <w:pPr>
        <w:pStyle w:val="Heading2"/>
      </w:pPr>
      <w:r>
        <w:t xml:space="preserve">S1.11.6 Interpretation</w:t>
      </w:r>
    </w:p>
    <w:p>
      <w:pPr>
        <w:pStyle w:val="FirstParagraph"/>
      </w:pPr>
      <w:r>
        <w:rPr>
          <w:bCs/>
          <w:b/>
        </w:rPr>
        <w:t xml:space="preserve">Question: which sites fall in the same community under each algorithm at threshold 0.2?</w:t>
      </w:r>
      <w:r>
        <w:t xml:space="preserve"> </w:t>
      </w:r>
      <w:r>
        <w:rPr>
          <w:bCs/>
          <w:b/>
        </w:rPr>
        <w:t xml:space="preserve">Community structure in Aur-P1.</w:t>
      </w:r>
      <w:r>
        <w:t xml:space="preserve"> </w:t>
      </w:r>
      <w:r>
        <w:t xml:space="preserve">The Louvain algorithm identifies 4 communities in Aur-P1 (</w:t>
      </w:r>
      <w:hyperlink w:anchor="tbl-community-membership">
        <w:r>
          <w:rPr>
            <w:rStyle w:val="Hyperlink"/>
          </w:rPr>
          <w:t xml:space="preserve">Table AO</w:t>
        </w:r>
      </w:hyperlink>
      <w:r>
        <w:t xml:space="preserve">). The largest communities (Community 1 with 9 sites and Community 2 with 9 sites) coincide almost exactly with the manual restricted and broad groups, with Les Cottés and Trou al’Wesse splitting off as singleton communities, suggesting the partition captures the core restricted and broad sign repertoires.</w:t>
      </w:r>
      <w:r>
        <w:t xml:space="preserve"> </w:t>
      </w:r>
      <w:r>
        <w:rPr>
          <w:bCs/>
          <w:b/>
        </w:rPr>
        <w:t xml:space="preserve">Community structure in Aur-P2.</w:t>
      </w:r>
      <w:r>
        <w:t xml:space="preserve"> </w:t>
      </w:r>
      <w:r>
        <w:t xml:space="preserve">Aur-P2 resolves into 3 Louvain communities (</w:t>
      </w:r>
      <w:hyperlink w:anchor="tbl-community-membership">
        <w:r>
          <w:rPr>
            <w:rStyle w:val="Hyperlink"/>
          </w:rPr>
          <w:t xml:space="preserve">Table AO</w:t>
        </w:r>
      </w:hyperlink>
      <w:r>
        <w:t xml:space="preserve">). With only 9 sites total, the communities are small (2–4 sites each). Because these communities are fitted to the same similarity matrix that the PerMANOVA tests, their low PerMANOVA p-values (</w:t>
      </w:r>
      <w:r>
        <w:t xml:space="preserve">Section S1.6.6</w:t>
      </w:r>
      <w:r>
        <w:t xml:space="preserve">) are not valid tests of a group difference; they probably reflect strong pairwise similarities among a few sites, not robust multi-site clusters.</w:t>
      </w:r>
    </w:p>
    <w:p>
      <w:pPr>
        <w:pStyle w:val="BodyText"/>
      </w:pPr>
      <w:r>
        <w:rPr>
          <w:bCs/>
          <w:b/>
        </w:rPr>
        <w:t xml:space="preserve">Question: which sign types distinguish communities from one another?</w:t>
      </w:r>
      <w:r>
        <w:t xml:space="preserve"> </w:t>
      </w:r>
      <w:hyperlink w:anchor="tbl-community-composition">
        <w:r>
          <w:rPr>
            <w:rStyle w:val="Hyperlink"/>
          </w:rPr>
          <w:t xml:space="preserve">Table AP</w:t>
        </w:r>
      </w:hyperlink>
      <w:r>
        <w:t xml:space="preserve"> </w:t>
      </w:r>
      <w:r>
        <w:t xml:space="preserve">shows nested sign-type profiles. In Aur-P1, every sign type of the restricted community (community 1) also occurs in the broad community (community 2). The broad community also has 21 sign types that no restricted site has. Examples are cross (0.67 of its sites), dot (0.67) and obline (0.67). Notch, the most common sign type, has the same frequency in both communities (0.89). In Aur-P2, 12 sign types occur only in community 1, which holds the 3 broad-range sites. The communities therefore differ mainly in which of the less common sign types they contain, and several of these types occur in only one multi-site community. This nested pattern is consistent with graded repertoires rather than discrete provinces.</w:t>
      </w:r>
    </w:p>
    <w:p>
      <w:pPr>
        <w:pStyle w:val="BodyText"/>
      </w:pPr>
      <w:r>
        <w:rPr>
          <w:bCs/>
          <w:b/>
        </w:rPr>
        <w:t xml:space="preserve">Question: do communities map onto coherent geographic regions?</w:t>
      </w:r>
      <w:r>
        <w:t xml:space="preserve"> </w:t>
      </w:r>
      <w:r>
        <w:t xml:space="preserve">Partly. In Aur-P1 (</w:t>
      </w:r>
      <w:hyperlink w:anchor="fig-community-maps">
        <w:r>
          <w:rPr>
            <w:rStyle w:val="Hyperlink"/>
          </w:rPr>
          <w:t xml:space="preserve">Fig M</w:t>
        </w:r>
      </w:hyperlink>
      <w:r>
        <w:t xml:space="preserve">), community 1, which holds the restricted sites, covers the widest area: its two most distant sites are 1630 km apart. The two most distant sites of community 2, which holds 9 of the 11 broad sites, are 811 km apart. Communities 3 and 4 are single sites, Les Cottés and Trou al’Wesse. The geographic map (</w:t>
      </w:r>
      <w:hyperlink w:anchor="fig-community-maps">
        <w:r>
          <w:rPr>
            <w:rStyle w:val="Hyperlink"/>
          </w:rPr>
          <w:t xml:space="preserve">Fig M</w:t>
        </w:r>
      </w:hyperlink>
      <w:r>
        <w:t xml:space="preserve">, Aur-P2 facet) shows limited spatial coherence, consistent with the non-significant null-benchmarked modularity (</w:t>
      </w:r>
      <w:r>
        <w:t xml:space="preserve">Section S1.7.2</w:t>
      </w:r>
      <w:r>
        <w:t xml:space="preserve">).</w:t>
      </w:r>
    </w:p>
    <w:p>
      <w:pPr>
        <w:pStyle w:val="BodyText"/>
      </w:pPr>
      <w:r>
        <w:rPr>
          <w:bCs/>
          <w:b/>
        </w:rPr>
        <w:t xml:space="preserve">Question: how consistently do the four algorithms assign the same sites together?</w:t>
      </w:r>
      <w:r>
        <w:t xml:space="preserve"> </w:t>
      </w:r>
      <w:hyperlink w:anchor="tbl-cross-algorithm-agreement">
        <w:r>
          <w:rPr>
            <w:rStyle w:val="Hyperlink"/>
          </w:rPr>
          <w:t xml:space="preserve">Table AQ</w:t>
        </w:r>
      </w:hyperlink>
      <w:r>
        <w:t xml:space="preserve"> </w:t>
      </w:r>
      <w:r>
        <w:t xml:space="preserve">compares, for each site, which other sites share its community under each algorithm and under Louvain. Walktrap groups every site exactly as Louvain does (lowest agreement 1.00). Infomap does the same in Aur-P1 (lowest agreement 1.00). Leiden merges the restricted and broad Aur-P1 communities, so its agreement with Louvain falls to 0.53 at 18 of the 20 Aur-P1 sites. In Aur-P2, Infomap and Leiden put all 9 sites in one community, so their agreement with Louvain is only 0.12 to 0.38. Sites that are assigned consistently across all four algorithms represent the strongest signal; those that vary indicate boundary uncertainty.</w:t>
      </w:r>
    </w:p>
    <w:p>
      <w:pPr>
        <w:pStyle w:val="BodyText"/>
      </w:pPr>
      <w:r>
        <w:rPr>
          <w:bCs/>
          <w:b/>
        </w:rPr>
        <w:t xml:space="preserve">Implication for the main text.</w:t>
      </w:r>
      <w:r>
        <w:t xml:space="preserve"> </w:t>
      </w:r>
      <w:r>
        <w:t xml:space="preserve">The community detection results show that the restricted/broad division simplifies the data: the algorithms also find small communities, mostly single sites with rare sign types such as Les Cottés and Trou al’Wesse. The communities differ mainly in which of the less common sign types they contain, and several of these types occur in only one multi-site community (</w:t>
      </w:r>
      <w:r>
        <w:t xml:space="preserve">Section S1.11.3</w:t>
      </w:r>
      <w:r>
        <w:t xml:space="preserve">). This nested pattern is consistent with graded repertoires rather than discrete provinces. The communities map only partly onto geography (</w:t>
      </w:r>
      <w:r>
        <w:t xml:space="preserve">Section S1.11.4</w:t>
      </w:r>
      <w:r>
        <w:t xml:space="preserve">).</w:t>
      </w:r>
    </w:p>
    <w:bookmarkEnd w:id="235"/>
    <w:bookmarkEnd w:id="236"/>
    <w:bookmarkStart w:id="287" w:name="sec-s12"/>
    <w:p>
      <w:pPr>
        <w:pStyle w:val="Heading1"/>
      </w:pPr>
      <w:r>
        <w:t xml:space="preserve">S1.12 Object Types and Sampling Intensity</w:t>
      </w:r>
    </w:p>
    <w:bookmarkStart w:id="237" w:name="sec-s12-rationale"/>
    <w:p>
      <w:pPr>
        <w:pStyle w:val="Heading2"/>
      </w:pPr>
      <w:r>
        <w:t xml:space="preserve">S1.12.1 Rationale</w:t>
      </w:r>
    </w:p>
    <w:p>
      <w:pPr>
        <w:pStyle w:val="FirstParagraph"/>
      </w:pPr>
      <w:r>
        <w:t xml:space="preserve">Figurine exclusion tests object-type bias. Downsampling, coverage, regression, and pool comparison test whether the restricted/broad division and the Aur-P1 versus Aur-P2 pool difference survive equal effort. Simpson turnover and richness nulls are reported in</w:t>
      </w:r>
      <w:r>
        <w:t xml:space="preserve"> </w:t>
      </w:r>
      <w:r>
        <w:t xml:space="preserve">Section S1.10.3</w:t>
      </w:r>
      <w:r>
        <w:t xml:space="preserve">.</w:t>
      </w:r>
    </w:p>
    <w:p>
      <w:pPr>
        <w:pStyle w:val="BodyText"/>
      </w:pPr>
      <w:r>
        <w:t xml:space="preserve">The main-text and supplementary analyses establish the restricted/broad (R/B) division from site-level presence/absence of sign types. This removes the</w:t>
      </w:r>
      <w:r>
        <w:t xml:space="preserve"> </w:t>
      </w:r>
      <w:r>
        <w:rPr>
          <w:iCs/>
          <w:i/>
        </w:rPr>
        <w:t xml:space="preserve">first-order</w:t>
      </w:r>
      <w:r>
        <w:t xml:space="preserve"> </w:t>
      </w:r>
      <w:r>
        <w:t xml:space="preserve">effect of differing object counts between sites, but it does not remove a deeper confounding issue: because the number of sign types recorded at a site is bounded by the number of objects recovered, sites represented by many more objects have a greater opportunity to produce a larger repertoire, so the R/B division could partly reflect sampling intensity rather than a genuine cultural contrast. Presence/absence coding controls for the</w:t>
      </w:r>
      <w:r>
        <w:t xml:space="preserve"> </w:t>
      </w:r>
      <w:r>
        <w:rPr>
          <w:iCs/>
          <w:i/>
        </w:rPr>
        <w:t xml:space="preserve">magnitude</w:t>
      </w:r>
      <w:r>
        <w:t xml:space="preserve"> </w:t>
      </w:r>
      <w:r>
        <w:t xml:space="preserve">of the object-count difference, not for the fact that richer assemblages are, by construction, more likely to be classified as broad. This section provides an object-level resampling/rarefaction sensitivity analysis. It asks six specific questions:</w:t>
      </w:r>
    </w:p>
    <w:p>
      <w:pPr>
        <w:pStyle w:val="BodyText"/>
      </w:pPr>
      <w:r>
        <w:rPr>
          <w:bCs/>
          <w:b/>
        </w:rPr>
        <w:t xml:space="preserve">Question: when objects are resampled to a common count and the network and Louvain partition are re-derived (</w:t>
      </w:r>
      <w:r>
        <w:rPr>
          <w:bCs/>
          <w:b/>
        </w:rPr>
        <w:t xml:space="preserve">Section S1.12.3</w:t>
      </w:r>
      <w:r>
        <w:rPr>
          <w:bCs/>
          <w:b/>
        </w:rPr>
        <w:t xml:space="preserve">), how often does each site keep its original R/B assignment, and how stable is the community structure?</w:t>
      </w:r>
    </w:p>
    <w:p>
      <w:pPr>
        <w:pStyle w:val="BodyText"/>
      </w:pPr>
      <w:r>
        <w:rPr>
          <w:bCs/>
          <w:b/>
        </w:rPr>
        <w:t xml:space="preserve">Question: at equal sample coverage rather than equal object count (</w:t>
      </w:r>
      <w:r>
        <w:rPr>
          <w:bCs/>
          <w:b/>
        </w:rPr>
        <w:t xml:space="preserve">Section S1.12.4</w:t>
      </w:r>
      <w:r>
        <w:rPr>
          <w:bCs/>
          <w:b/>
        </w:rPr>
        <w:t xml:space="preserve">), do restricted and broad sites still differ in sign-type richness?</w:t>
      </w:r>
    </w:p>
    <w:p>
      <w:pPr>
        <w:pStyle w:val="BodyText"/>
      </w:pPr>
      <w:r>
        <w:rPr>
          <w:bCs/>
          <w:b/>
        </w:rPr>
        <w:t xml:space="preserve">Question: does the group effect on sign-type richness survive after statistically accounting for object count, with the richness-effort exponent estimated rather than fixed (</w:t>
      </w:r>
      <w:r>
        <w:rPr>
          <w:bCs/>
          <w:b/>
        </w:rPr>
        <w:t xml:space="preserve">Section S1.12.5</w:t>
      </w:r>
      <w:r>
        <w:rPr>
          <w:bCs/>
          <w:b/>
        </w:rPr>
        <w:t xml:space="preserve">)?</w:t>
      </w:r>
    </w:p>
    <w:p>
      <w:pPr>
        <w:pStyle w:val="BodyText"/>
      </w:pPr>
      <w:r>
        <w:rPr>
          <w:bCs/>
          <w:b/>
        </w:rPr>
        <w:t xml:space="preserve">Question: at equal effort with</w:t>
      </w:r>
      <w:r>
        <w:rPr>
          <w:bCs/>
          <w:b/>
        </w:rPr>
        <w:t xml:space="preserve"> </w:t>
      </w:r>
      <w:r>
        <w:rPr>
          <w:rStyle w:val="VerbatimChar"/>
          <w:bCs/>
          <w:b/>
        </w:rPr>
        <w:t xml:space="preserve">iNEXT</w:t>
      </w:r>
      <w:r>
        <w:rPr>
          <w:bCs/>
          <w:b/>
        </w:rPr>
        <w:t xml:space="preserve"> </w:t>
      </w:r>
      <w:r>
        <w:rPr>
          <w:bCs/>
          <w:b/>
        </w:rPr>
        <w:t xml:space="preserve">(</w:t>
      </w:r>
      <w:r>
        <w:rPr>
          <w:bCs/>
          <w:b/>
        </w:rPr>
        <w:t xml:space="preserve">Section S1.12.6</w:t>
      </w:r>
      <w:r>
        <w:rPr>
          <w:bCs/>
          <w:b/>
        </w:rPr>
        <w:t xml:space="preserve">), does the Aur-P1 versus Aur-P2 sign-type pool remain larger, or is it not distinguishable from sampling variation at 63 objects, including when restricted to object types present in both phases?</w:t>
      </w:r>
    </w:p>
    <w:p>
      <w:pPr>
        <w:pStyle w:val="BodyText"/>
      </w:pPr>
      <w:r>
        <w:rPr>
          <w:bCs/>
          <w:b/>
        </w:rPr>
        <w:t xml:space="preserve">Question: taken together (</w:t>
      </w:r>
      <w:r>
        <w:rPr>
          <w:bCs/>
          <w:b/>
        </w:rPr>
        <w:t xml:space="preserve">Section S1.12.8</w:t>
      </w:r>
      <w:r>
        <w:rPr>
          <w:bCs/>
          <w:b/>
        </w:rPr>
        <w:t xml:space="preserve">), is the R/B division independent of sampling intensity, and if not, what limitation must be stated?</w:t>
      </w:r>
    </w:p>
    <w:p>
      <w:pPr>
        <w:pStyle w:val="BodyText"/>
      </w:pPr>
      <w:r>
        <w:rPr>
          <w:bCs/>
          <w:b/>
        </w:rPr>
        <w:t xml:space="preserve">Question: does the restricted/broad pattern survive richness-preserving nulls, and does the manual-group PerMANOVA hold on Simpson turnover dissimilarity (</w:t>
      </w:r>
      <w:r>
        <w:rPr>
          <w:bCs/>
          <w:b/>
        </w:rPr>
        <w:t xml:space="preserve">Section S1.10.3</w:t>
      </w:r>
      <w:r>
        <w:rPr>
          <w:bCs/>
          <w:b/>
        </w:rPr>
        <w:t xml:space="preserve">)?</w:t>
      </w:r>
    </w:p>
    <w:bookmarkEnd w:id="237"/>
    <w:bookmarkStart w:id="246" w:name="sec-s12-1"/>
    <w:p>
      <w:pPr>
        <w:pStyle w:val="Heading2"/>
      </w:pPr>
      <w:r>
        <w:t xml:space="preserve">S1.12.2 Object-count distribution and feasible common counts</w:t>
      </w:r>
    </w:p>
    <w:bookmarkStart w:id="244" w:name="rationale-20"/>
    <w:p>
      <w:pPr>
        <w:pStyle w:val="Heading3"/>
      </w:pPr>
      <w:r>
        <w:t xml:space="preserve">Rationale</w:t>
      </w:r>
    </w:p>
    <w:p>
      <w:pPr>
        <w:pStyle w:val="FirstParagraph"/>
      </w:pPr>
      <w:r>
        <w:t xml:space="preserve">Before resampling, we must know how many objects each site contributes. Object counts are highly skewed: a handful of sites (e.g. Vogelherd with 173 objects in Aur-P1) dominate, while many sites contribute only one or two objects (Trou al’Wesse and Fumane contribute a single object; Les Cottés and Labeko Koba contribute two). We therefore tally objects per site and choose common downsampling levels that retain as many sites as possible:</w:t>
      </w:r>
      <w:r>
        <w:t xml:space="preserve"> </w:t>
      </w:r>
      <w:r>
        <w:rPr>
          <w:bCs/>
          <w:b/>
        </w:rPr>
        <w:t xml:space="preserve">k = 3, 5, and 10 objects per site</w:t>
      </w:r>
      <w:r>
        <w:t xml:space="preserve">. A site is included in a downsampling replicate only if it contributes at least k objects.</w:t>
      </w:r>
    </w:p>
    <w:p>
      <w:pPr>
        <w:pStyle w:val="BodyText"/>
      </w:pPr>
      <w:r>
        <w:rPr>
          <w:bCs/>
          <w:b/>
        </w:rPr>
        <w:t xml:space="preserve">Question: how many sites can be retained at each common object count?</w:t>
      </w:r>
    </w:p>
    <w:tbl>
      <w:tblPr>
        <w:tblStyle w:val="Table"/>
        <w:tblW w:type="pct" w:w="5000"/>
        <w:tblLook w:firstRow="0" w:lastRow="0" w:firstColumn="0" w:lastColumn="0" w:noHBand="0" w:noVBand="0" w:val="0000"/>
        <w:jc w:val="start"/>
        <w:tblLayout w:type="fixed"/>
      </w:tblPr>
      <w:tblGrid>
        <w:gridCol w:w="7920"/>
      </w:tblGrid>
      <w:tr>
        <w:tc>
          <w:tcPr/>
          <w:bookmarkStart w:id="238" w:name="tbl-objcount"/>
          <w:tbl>
            <w:tblPr>
              <w:tblStyle w:val="Table"/>
              <w:tblW w:type="pct" w:w="5000"/>
              <w:tblLook w:firstRow="1" w:lastRow="0" w:firstColumn="0" w:lastColumn="0" w:noHBand="0" w:noVBand="0" w:val="0020"/>
              <w:jc w:val="start"/>
              <w:tblLayout w:type="fixed"/>
            </w:tblPr>
            <w:tblGrid>
              <w:gridCol w:w="1267"/>
              <w:gridCol w:w="3960"/>
              <w:gridCol w:w="1425"/>
              <w:gridCol w:w="1267"/>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Group</w:t>
                  </w:r>
                </w:p>
              </w:tc>
              <w:tc>
                <w:tcPr/>
                <w:p>
                  <w:pPr>
                    <w:pStyle w:val="Compact"/>
                    <w:jc w:val="left"/>
                    <w:jc w:val="left"/>
                  </w:pPr>
                  <w:r>
                    <w:t xml:space="preserve">Objects</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broad</w:t>
                  </w:r>
                </w:p>
              </w:tc>
              <w:tc>
                <w:tcPr/>
                <w:p>
                  <w:pPr>
                    <w:pStyle w:val="Compact"/>
                    <w:jc w:val="left"/>
                    <w:jc w:val="left"/>
                  </w:pPr>
                  <w:r>
                    <w:t xml:space="preserve">173</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broad</w:t>
                  </w:r>
                </w:p>
              </w:tc>
              <w:tc>
                <w:tcPr/>
                <w:p>
                  <w:pPr>
                    <w:pStyle w:val="Compact"/>
                    <w:jc w:val="left"/>
                    <w:jc w:val="left"/>
                  </w:pPr>
                  <w:r>
                    <w:t xml:space="preserve">30</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broad</w:t>
                  </w:r>
                </w:p>
              </w:tc>
              <w:tc>
                <w:tcPr/>
                <w:p>
                  <w:pPr>
                    <w:pStyle w:val="Compact"/>
                    <w:jc w:val="left"/>
                    <w:jc w:val="left"/>
                  </w:pPr>
                  <w:r>
                    <w:t xml:space="preserve">28</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broad</w:t>
                  </w:r>
                </w:p>
              </w:tc>
              <w:tc>
                <w:tcPr/>
                <w:p>
                  <w:pPr>
                    <w:pStyle w:val="Compact"/>
                    <w:jc w:val="left"/>
                    <w:jc w:val="left"/>
                  </w:pPr>
                  <w:r>
                    <w:t xml:space="preserve">22</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broad</w:t>
                  </w:r>
                </w:p>
              </w:tc>
              <w:tc>
                <w:tcPr/>
                <w:p>
                  <w:pPr>
                    <w:pStyle w:val="Compact"/>
                    <w:jc w:val="left"/>
                    <w:jc w:val="left"/>
                  </w:pPr>
                  <w:r>
                    <w:t xml:space="preserve">21</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broad</w:t>
                  </w:r>
                </w:p>
              </w:tc>
              <w:tc>
                <w:tcPr/>
                <w:p>
                  <w:pPr>
                    <w:pStyle w:val="Compact"/>
                    <w:jc w:val="left"/>
                    <w:jc w:val="left"/>
                  </w:pPr>
                  <w:r>
                    <w:t xml:space="preserve">20</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broad</w:t>
                  </w:r>
                </w:p>
              </w:tc>
              <w:tc>
                <w:tcPr/>
                <w:p>
                  <w:pPr>
                    <w:pStyle w:val="Compact"/>
                    <w:jc w:val="left"/>
                    <w:jc w:val="left"/>
                  </w:pPr>
                  <w:r>
                    <w:t xml:space="preserve">18</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broad</w:t>
                  </w:r>
                </w:p>
              </w:tc>
              <w:tc>
                <w:tcPr/>
                <w:p>
                  <w:pPr>
                    <w:pStyle w:val="Compact"/>
                    <w:jc w:val="left"/>
                    <w:jc w:val="left"/>
                  </w:pPr>
                  <w:r>
                    <w:t xml:space="preserve">7</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restricted</w:t>
                  </w:r>
                </w:p>
              </w:tc>
              <w:tc>
                <w:tcPr/>
                <w:p>
                  <w:pPr>
                    <w:pStyle w:val="Compact"/>
                    <w:jc w:val="left"/>
                    <w:jc w:val="left"/>
                  </w:pPr>
                  <w:r>
                    <w:t xml:space="preserve">4</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broad</w:t>
                  </w:r>
                </w:p>
              </w:tc>
              <w:tc>
                <w:tcPr/>
                <w:p>
                  <w:pPr>
                    <w:pStyle w:val="Compact"/>
                    <w:jc w:val="left"/>
                    <w:jc w:val="left"/>
                  </w:pPr>
                  <w:r>
                    <w:t xml:space="preserve">4</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restricted</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restricted</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restricted</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restricted</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restricted</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broad</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restricted</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restricted</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restricted</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broad</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broad</w:t>
                  </w:r>
                </w:p>
              </w:tc>
              <w:tc>
                <w:tcPr/>
                <w:p>
                  <w:pPr>
                    <w:pStyle w:val="Compact"/>
                    <w:jc w:val="left"/>
                    <w:jc w:val="left"/>
                  </w:pPr>
                  <w:r>
                    <w:t xml:space="preserve">29</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broad</w:t>
                  </w:r>
                </w:p>
              </w:tc>
              <w:tc>
                <w:tcPr/>
                <w:p>
                  <w:pPr>
                    <w:pStyle w:val="Compact"/>
                    <w:jc w:val="left"/>
                    <w:jc w:val="left"/>
                  </w:pPr>
                  <w:r>
                    <w:t xml:space="preserve">12</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restricted</w:t>
                  </w:r>
                </w:p>
              </w:tc>
              <w:tc>
                <w:tcPr/>
                <w:p>
                  <w:pPr>
                    <w:pStyle w:val="Compact"/>
                    <w:jc w:val="left"/>
                    <w:jc w:val="left"/>
                  </w:pPr>
                  <w:r>
                    <w:t xml:space="preserve">11</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restricted</w:t>
                  </w:r>
                </w:p>
              </w:tc>
              <w:tc>
                <w:tcPr/>
                <w:p>
                  <w:pPr>
                    <w:pStyle w:val="Compact"/>
                    <w:jc w:val="left"/>
                    <w:jc w:val="left"/>
                  </w:pPr>
                  <w:r>
                    <w:t xml:space="preserve">4</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broad</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restricted</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restricted</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restricted</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restricted</w:t>
                  </w:r>
                </w:p>
              </w:tc>
              <w:tc>
                <w:tcPr/>
                <w:p>
                  <w:pPr>
                    <w:pStyle w:val="Compact"/>
                    <w:jc w:val="left"/>
                    <w:jc w:val="left"/>
                  </w:pPr>
                  <w:r>
                    <w:t xml:space="preserve">1</w:t>
                  </w:r>
                </w:p>
              </w:tc>
            </w:tr>
          </w:tbl>
          <w:p>
            <w:pPr>
              <w:jc w:val="left"/>
            </w:pPr>
            <w:pPr>
              <w:jc w:val="start"/>
              <w:spacing w:before="200"/>
              <w:pStyle w:val="ImageCaption"/>
            </w:pPr>
            <w:r>
              <w:t xml:space="preserve">Table AR. Per-site object counts by phase and manual restricted(1)/broad(2) group.</w:t>
            </w:r>
          </w:p>
          <w:bookmarkEnd w:id="238"/>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239" w:name="tbl-divsite"/>
          <w:tbl>
            <w:tblPr>
              <w:tblStyle w:val="Table"/>
              <w:tblW w:type="pct" w:w="5000"/>
              <w:tblLook w:firstRow="1" w:lastRow="0" w:firstColumn="0" w:lastColumn="0" w:noHBand="0" w:noVBand="0" w:val="0020"/>
              <w:jc w:val="start"/>
              <w:tblLayout w:type="fixed"/>
            </w:tblPr>
            <w:tblGrid>
              <w:gridCol w:w="792"/>
              <w:gridCol w:w="2376"/>
              <w:gridCol w:w="1108"/>
              <w:gridCol w:w="871"/>
              <w:gridCol w:w="871"/>
              <w:gridCol w:w="871"/>
              <w:gridCol w:w="1029"/>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Sample size</w:t>
                  </w:r>
                </w:p>
              </w:tc>
              <w:tc>
                <w:tcPr/>
                <w:p>
                  <w:pPr>
                    <w:pStyle w:val="Compact"/>
                    <w:jc w:val="left"/>
                    <w:jc w:val="left"/>
                  </w:pPr>
                  <w:r>
                    <w:t xml:space="preserve">H obs</w:t>
                  </w:r>
                </w:p>
              </w:tc>
              <w:tc>
                <w:tcPr/>
                <w:p>
                  <w:pPr>
                    <w:pStyle w:val="Compact"/>
                    <w:jc w:val="left"/>
                    <w:jc w:val="left"/>
                  </w:pPr>
                  <w:r>
                    <w:t xml:space="preserve">H exp</w:t>
                  </w:r>
                </w:p>
              </w:tc>
              <w:tc>
                <w:tcPr/>
                <w:p>
                  <w:pPr>
                    <w:pStyle w:val="Compact"/>
                    <w:jc w:val="left"/>
                    <w:jc w:val="left"/>
                  </w:pPr>
                  <w:r>
                    <w:t xml:space="preserve">H excess</w:t>
                  </w:r>
                </w:p>
              </w:tc>
              <w:tc>
                <w:tcPr/>
                <w:p>
                  <w:pPr>
                    <w:pStyle w:val="Compact"/>
                    <w:jc w:val="left"/>
                    <w:jc w:val="left"/>
                  </w:pPr>
                  <w:r>
                    <w:t xml:space="preserve">Named in main-text figure</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no</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1</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no</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1</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no</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2</w:t>
                  </w:r>
                </w:p>
              </w:tc>
              <w:tc>
                <w:tcPr/>
                <w:p>
                  <w:pPr>
                    <w:pStyle w:val="Compact"/>
                    <w:jc w:val="left"/>
                    <w:jc w:val="left"/>
                  </w:pPr>
                  <w:r>
                    <w:t xml:space="preserve">0.693</w:t>
                  </w:r>
                </w:p>
              </w:tc>
              <w:tc>
                <w:tcPr/>
                <w:p>
                  <w:pPr>
                    <w:pStyle w:val="Compact"/>
                    <w:jc w:val="left"/>
                    <w:jc w:val="left"/>
                  </w:pPr>
                  <w:r>
                    <w:t xml:space="preserve">0.559</w:t>
                  </w:r>
                </w:p>
              </w:tc>
              <w:tc>
                <w:tcPr/>
                <w:p>
                  <w:pPr>
                    <w:pStyle w:val="Compact"/>
                    <w:jc w:val="left"/>
                    <w:jc w:val="left"/>
                  </w:pPr>
                  <w:r>
                    <w:t xml:space="preserve">0.134</w:t>
                  </w:r>
                </w:p>
              </w:tc>
              <w:tc>
                <w:tcPr/>
                <w:p>
                  <w:pPr>
                    <w:pStyle w:val="Compact"/>
                    <w:jc w:val="left"/>
                    <w:jc w:val="left"/>
                  </w:pPr>
                  <w:r>
                    <w:t xml:space="preserve">no</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2</w:t>
                  </w:r>
                </w:p>
              </w:tc>
              <w:tc>
                <w:tcPr/>
                <w:p>
                  <w:pPr>
                    <w:pStyle w:val="Compact"/>
                    <w:jc w:val="left"/>
                    <w:jc w:val="left"/>
                  </w:pPr>
                  <w:r>
                    <w:t xml:space="preserve">0.000</w:t>
                  </w:r>
                </w:p>
              </w:tc>
              <w:tc>
                <w:tcPr/>
                <w:p>
                  <w:pPr>
                    <w:pStyle w:val="Compact"/>
                    <w:jc w:val="left"/>
                    <w:jc w:val="left"/>
                  </w:pPr>
                  <w:r>
                    <w:t xml:space="preserve">0.559</w:t>
                  </w:r>
                </w:p>
              </w:tc>
              <w:tc>
                <w:tcPr/>
                <w:p>
                  <w:pPr>
                    <w:pStyle w:val="Compact"/>
                    <w:jc w:val="left"/>
                    <w:jc w:val="left"/>
                  </w:pPr>
                  <w:r>
                    <w:t xml:space="preserve">-0.559</w:t>
                  </w:r>
                </w:p>
              </w:tc>
              <w:tc>
                <w:tcPr/>
                <w:p>
                  <w:pPr>
                    <w:pStyle w:val="Compact"/>
                    <w:jc w:val="left"/>
                    <w:jc w:val="left"/>
                  </w:pPr>
                  <w:r>
                    <w:t xml:space="preserve">no</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2</w:t>
                  </w:r>
                </w:p>
              </w:tc>
              <w:tc>
                <w:tcPr/>
                <w:p>
                  <w:pPr>
                    <w:pStyle w:val="Compact"/>
                    <w:jc w:val="left"/>
                    <w:jc w:val="left"/>
                  </w:pPr>
                  <w:r>
                    <w:t xml:space="preserve">0.693</w:t>
                  </w:r>
                </w:p>
              </w:tc>
              <w:tc>
                <w:tcPr/>
                <w:p>
                  <w:pPr>
                    <w:pStyle w:val="Compact"/>
                    <w:jc w:val="left"/>
                    <w:jc w:val="left"/>
                  </w:pPr>
                  <w:r>
                    <w:t xml:space="preserve">0.559</w:t>
                  </w:r>
                </w:p>
              </w:tc>
              <w:tc>
                <w:tcPr/>
                <w:p>
                  <w:pPr>
                    <w:pStyle w:val="Compact"/>
                    <w:jc w:val="left"/>
                    <w:jc w:val="left"/>
                  </w:pPr>
                  <w:r>
                    <w:t xml:space="preserve">0.134</w:t>
                  </w:r>
                </w:p>
              </w:tc>
              <w:tc>
                <w:tcPr/>
                <w:p>
                  <w:pPr>
                    <w:pStyle w:val="Compact"/>
                    <w:jc w:val="left"/>
                    <w:jc w:val="left"/>
                  </w:pPr>
                  <w:r>
                    <w:t xml:space="preserve">no</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3</w:t>
                  </w:r>
                </w:p>
              </w:tc>
              <w:tc>
                <w:tcPr/>
                <w:p>
                  <w:pPr>
                    <w:pStyle w:val="Compact"/>
                    <w:jc w:val="left"/>
                    <w:jc w:val="left"/>
                  </w:pPr>
                  <w:r>
                    <w:t xml:space="preserve">0.000</w:t>
                  </w:r>
                </w:p>
              </w:tc>
              <w:tc>
                <w:tcPr/>
                <w:p>
                  <w:pPr>
                    <w:pStyle w:val="Compact"/>
                    <w:jc w:val="left"/>
                    <w:jc w:val="left"/>
                  </w:pPr>
                  <w:r>
                    <w:t xml:space="preserve">0.840</w:t>
                  </w:r>
                </w:p>
              </w:tc>
              <w:tc>
                <w:tcPr/>
                <w:p>
                  <w:pPr>
                    <w:pStyle w:val="Compact"/>
                    <w:jc w:val="left"/>
                    <w:jc w:val="left"/>
                  </w:pPr>
                  <w:r>
                    <w:t xml:space="preserve">-0.840</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3</w:t>
                  </w:r>
                </w:p>
              </w:tc>
              <w:tc>
                <w:tcPr/>
                <w:p>
                  <w:pPr>
                    <w:pStyle w:val="Compact"/>
                    <w:jc w:val="left"/>
                    <w:jc w:val="left"/>
                  </w:pPr>
                  <w:r>
                    <w:t xml:space="preserve">0.637</w:t>
                  </w:r>
                </w:p>
              </w:tc>
              <w:tc>
                <w:tcPr/>
                <w:p>
                  <w:pPr>
                    <w:pStyle w:val="Compact"/>
                    <w:jc w:val="left"/>
                    <w:jc w:val="left"/>
                  </w:pPr>
                  <w:r>
                    <w:t xml:space="preserve">0.840</w:t>
                  </w:r>
                </w:p>
              </w:tc>
              <w:tc>
                <w:tcPr/>
                <w:p>
                  <w:pPr>
                    <w:pStyle w:val="Compact"/>
                    <w:jc w:val="left"/>
                    <w:jc w:val="left"/>
                  </w:pPr>
                  <w:r>
                    <w:t xml:space="preserve">-0.203</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3</w:t>
                  </w:r>
                </w:p>
              </w:tc>
              <w:tc>
                <w:tcPr/>
                <w:p>
                  <w:pPr>
                    <w:pStyle w:val="Compact"/>
                    <w:jc w:val="left"/>
                    <w:jc w:val="left"/>
                  </w:pPr>
                  <w:r>
                    <w:t xml:space="preserve">0.000</w:t>
                  </w:r>
                </w:p>
              </w:tc>
              <w:tc>
                <w:tcPr/>
                <w:p>
                  <w:pPr>
                    <w:pStyle w:val="Compact"/>
                    <w:jc w:val="left"/>
                    <w:jc w:val="left"/>
                  </w:pPr>
                  <w:r>
                    <w:t xml:space="preserve">0.840</w:t>
                  </w:r>
                </w:p>
              </w:tc>
              <w:tc>
                <w:tcPr/>
                <w:p>
                  <w:pPr>
                    <w:pStyle w:val="Compact"/>
                    <w:jc w:val="left"/>
                    <w:jc w:val="left"/>
                  </w:pPr>
                  <w:r>
                    <w:t xml:space="preserve">-0.840</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4</w:t>
                  </w:r>
                </w:p>
              </w:tc>
              <w:tc>
                <w:tcPr/>
                <w:p>
                  <w:pPr>
                    <w:pStyle w:val="Compact"/>
                    <w:jc w:val="left"/>
                    <w:jc w:val="left"/>
                  </w:pPr>
                  <w:r>
                    <w:t xml:space="preserve">0.562</w:t>
                  </w:r>
                </w:p>
              </w:tc>
              <w:tc>
                <w:tcPr/>
                <w:p>
                  <w:pPr>
                    <w:pStyle w:val="Compact"/>
                    <w:jc w:val="left"/>
                    <w:jc w:val="left"/>
                  </w:pPr>
                  <w:r>
                    <w:t xml:space="preserve">1.051</w:t>
                  </w:r>
                </w:p>
              </w:tc>
              <w:tc>
                <w:tcPr/>
                <w:p>
                  <w:pPr>
                    <w:pStyle w:val="Compact"/>
                    <w:jc w:val="left"/>
                    <w:jc w:val="left"/>
                  </w:pPr>
                  <w:r>
                    <w:t xml:space="preserve">-0.488</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7</w:t>
                  </w:r>
                </w:p>
              </w:tc>
              <w:tc>
                <w:tcPr/>
                <w:p>
                  <w:pPr>
                    <w:pStyle w:val="Compact"/>
                    <w:jc w:val="left"/>
                    <w:jc w:val="left"/>
                  </w:pPr>
                  <w:r>
                    <w:t xml:space="preserve">1.004</w:t>
                  </w:r>
                </w:p>
              </w:tc>
              <w:tc>
                <w:tcPr/>
                <w:p>
                  <w:pPr>
                    <w:pStyle w:val="Compact"/>
                    <w:jc w:val="left"/>
                    <w:jc w:val="left"/>
                  </w:pPr>
                  <w:r>
                    <w:t xml:space="preserve">1.350</w:t>
                  </w:r>
                </w:p>
              </w:tc>
              <w:tc>
                <w:tcPr/>
                <w:p>
                  <w:pPr>
                    <w:pStyle w:val="Compact"/>
                    <w:jc w:val="left"/>
                    <w:jc w:val="left"/>
                  </w:pPr>
                  <w:r>
                    <w:t xml:space="preserve">-0.345</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7</w:t>
                  </w:r>
                </w:p>
              </w:tc>
              <w:tc>
                <w:tcPr/>
                <w:p>
                  <w:pPr>
                    <w:pStyle w:val="Compact"/>
                    <w:jc w:val="left"/>
                    <w:jc w:val="left"/>
                  </w:pPr>
                  <w:r>
                    <w:t xml:space="preserve">1.154</w:t>
                  </w:r>
                </w:p>
              </w:tc>
              <w:tc>
                <w:tcPr/>
                <w:p>
                  <w:pPr>
                    <w:pStyle w:val="Compact"/>
                    <w:jc w:val="left"/>
                    <w:jc w:val="left"/>
                  </w:pPr>
                  <w:r>
                    <w:t xml:space="preserve">1.350</w:t>
                  </w:r>
                </w:p>
              </w:tc>
              <w:tc>
                <w:tcPr/>
                <w:p>
                  <w:pPr>
                    <w:pStyle w:val="Compact"/>
                    <w:jc w:val="left"/>
                    <w:jc w:val="left"/>
                  </w:pPr>
                  <w:r>
                    <w:t xml:space="preserve">-0.196</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7</w:t>
                  </w:r>
                </w:p>
              </w:tc>
              <w:tc>
                <w:tcPr/>
                <w:p>
                  <w:pPr>
                    <w:pStyle w:val="Compact"/>
                    <w:jc w:val="left"/>
                    <w:jc w:val="left"/>
                  </w:pPr>
                  <w:r>
                    <w:t xml:space="preserve">1.748</w:t>
                  </w:r>
                </w:p>
              </w:tc>
              <w:tc>
                <w:tcPr/>
                <w:p>
                  <w:pPr>
                    <w:pStyle w:val="Compact"/>
                    <w:jc w:val="left"/>
                    <w:jc w:val="left"/>
                  </w:pPr>
                  <w:r>
                    <w:t xml:space="preserve">1.350</w:t>
                  </w:r>
                </w:p>
              </w:tc>
              <w:tc>
                <w:tcPr/>
                <w:p>
                  <w:pPr>
                    <w:pStyle w:val="Compact"/>
                    <w:jc w:val="left"/>
                    <w:jc w:val="left"/>
                  </w:pPr>
                  <w:r>
                    <w:t xml:space="preserve">0.398</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28</w:t>
                  </w:r>
                </w:p>
              </w:tc>
              <w:tc>
                <w:tcPr/>
                <w:p>
                  <w:pPr>
                    <w:pStyle w:val="Compact"/>
                    <w:jc w:val="left"/>
                    <w:jc w:val="left"/>
                  </w:pPr>
                  <w:r>
                    <w:t xml:space="preserve">1.336</w:t>
                  </w:r>
                </w:p>
              </w:tc>
              <w:tc>
                <w:tcPr/>
                <w:p>
                  <w:pPr>
                    <w:pStyle w:val="Compact"/>
                    <w:jc w:val="left"/>
                    <w:jc w:val="left"/>
                  </w:pPr>
                  <w:r>
                    <w:t xml:space="preserve">1.876</w:t>
                  </w:r>
                </w:p>
              </w:tc>
              <w:tc>
                <w:tcPr/>
                <w:p>
                  <w:pPr>
                    <w:pStyle w:val="Compact"/>
                    <w:jc w:val="left"/>
                    <w:jc w:val="left"/>
                  </w:pPr>
                  <w:r>
                    <w:t xml:space="preserve">-0.540</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30</w:t>
                  </w:r>
                </w:p>
              </w:tc>
              <w:tc>
                <w:tcPr/>
                <w:p>
                  <w:pPr>
                    <w:pStyle w:val="Compact"/>
                    <w:jc w:val="left"/>
                    <w:jc w:val="left"/>
                  </w:pPr>
                  <w:r>
                    <w:t xml:space="preserve">1.948</w:t>
                  </w:r>
                </w:p>
              </w:tc>
              <w:tc>
                <w:tcPr/>
                <w:p>
                  <w:pPr>
                    <w:pStyle w:val="Compact"/>
                    <w:jc w:val="left"/>
                    <w:jc w:val="left"/>
                  </w:pPr>
                  <w:r>
                    <w:t xml:space="preserve">1.896</w:t>
                  </w:r>
                </w:p>
              </w:tc>
              <w:tc>
                <w:tcPr/>
                <w:p>
                  <w:pPr>
                    <w:pStyle w:val="Compact"/>
                    <w:jc w:val="left"/>
                    <w:jc w:val="left"/>
                  </w:pPr>
                  <w:r>
                    <w:t xml:space="preserve">0.052</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30</w:t>
                  </w:r>
                </w:p>
              </w:tc>
              <w:tc>
                <w:tcPr/>
                <w:p>
                  <w:pPr>
                    <w:pStyle w:val="Compact"/>
                    <w:jc w:val="left"/>
                    <w:jc w:val="left"/>
                  </w:pPr>
                  <w:r>
                    <w:t xml:space="preserve">1.868</w:t>
                  </w:r>
                </w:p>
              </w:tc>
              <w:tc>
                <w:tcPr/>
                <w:p>
                  <w:pPr>
                    <w:pStyle w:val="Compact"/>
                    <w:jc w:val="left"/>
                    <w:jc w:val="left"/>
                  </w:pPr>
                  <w:r>
                    <w:t xml:space="preserve">1.896</w:t>
                  </w:r>
                </w:p>
              </w:tc>
              <w:tc>
                <w:tcPr/>
                <w:p>
                  <w:pPr>
                    <w:pStyle w:val="Compact"/>
                    <w:jc w:val="left"/>
                    <w:jc w:val="left"/>
                  </w:pPr>
                  <w:r>
                    <w:t xml:space="preserve">-0.028</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41</w:t>
                  </w:r>
                </w:p>
              </w:tc>
              <w:tc>
                <w:tcPr/>
                <w:p>
                  <w:pPr>
                    <w:pStyle w:val="Compact"/>
                    <w:jc w:val="left"/>
                    <w:jc w:val="left"/>
                  </w:pPr>
                  <w:r>
                    <w:t xml:space="preserve">2.153</w:t>
                  </w:r>
                </w:p>
              </w:tc>
              <w:tc>
                <w:tcPr/>
                <w:p>
                  <w:pPr>
                    <w:pStyle w:val="Compact"/>
                    <w:jc w:val="left"/>
                    <w:jc w:val="left"/>
                  </w:pPr>
                  <w:r>
                    <w:t xml:space="preserve">1.973</w:t>
                  </w:r>
                </w:p>
              </w:tc>
              <w:tc>
                <w:tcPr/>
                <w:p>
                  <w:pPr>
                    <w:pStyle w:val="Compact"/>
                    <w:jc w:val="left"/>
                    <w:jc w:val="left"/>
                  </w:pPr>
                  <w:r>
                    <w:t xml:space="preserve">0.181</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43</w:t>
                  </w:r>
                </w:p>
              </w:tc>
              <w:tc>
                <w:tcPr/>
                <w:p>
                  <w:pPr>
                    <w:pStyle w:val="Compact"/>
                    <w:jc w:val="left"/>
                    <w:jc w:val="left"/>
                  </w:pPr>
                  <w:r>
                    <w:t xml:space="preserve">1.578</w:t>
                  </w:r>
                </w:p>
              </w:tc>
              <w:tc>
                <w:tcPr/>
                <w:p>
                  <w:pPr>
                    <w:pStyle w:val="Compact"/>
                    <w:jc w:val="left"/>
                    <w:jc w:val="left"/>
                  </w:pPr>
                  <w:r>
                    <w:t xml:space="preserve">1.973</w:t>
                  </w:r>
                </w:p>
              </w:tc>
              <w:tc>
                <w:tcPr/>
                <w:p>
                  <w:pPr>
                    <w:pStyle w:val="Compact"/>
                    <w:jc w:val="left"/>
                    <w:jc w:val="left"/>
                  </w:pPr>
                  <w:r>
                    <w:t xml:space="preserve">-0.395</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43</w:t>
                  </w:r>
                </w:p>
              </w:tc>
              <w:tc>
                <w:tcPr/>
                <w:p>
                  <w:pPr>
                    <w:pStyle w:val="Compact"/>
                    <w:jc w:val="left"/>
                    <w:jc w:val="left"/>
                  </w:pPr>
                  <w:r>
                    <w:t xml:space="preserve">1.677</w:t>
                  </w:r>
                </w:p>
              </w:tc>
              <w:tc>
                <w:tcPr/>
                <w:p>
                  <w:pPr>
                    <w:pStyle w:val="Compact"/>
                    <w:jc w:val="left"/>
                    <w:jc w:val="left"/>
                  </w:pPr>
                  <w:r>
                    <w:t xml:space="preserve">1.973</w:t>
                  </w:r>
                </w:p>
              </w:tc>
              <w:tc>
                <w:tcPr/>
                <w:p>
                  <w:pPr>
                    <w:pStyle w:val="Compact"/>
                    <w:jc w:val="left"/>
                    <w:jc w:val="left"/>
                  </w:pPr>
                  <w:r>
                    <w:t xml:space="preserve">-0.296</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235</w:t>
                  </w:r>
                </w:p>
              </w:tc>
              <w:tc>
                <w:tcPr/>
                <w:p>
                  <w:pPr>
                    <w:pStyle w:val="Compact"/>
                    <w:jc w:val="left"/>
                    <w:jc w:val="left"/>
                  </w:pPr>
                  <w:r>
                    <w:t xml:space="preserve">1.940</w:t>
                  </w:r>
                </w:p>
              </w:tc>
              <w:tc>
                <w:tcPr/>
                <w:p>
                  <w:pPr>
                    <w:pStyle w:val="Compact"/>
                    <w:jc w:val="left"/>
                    <w:jc w:val="left"/>
                  </w:pPr>
                  <w:r>
                    <w:t xml:space="preserve">2.183</w:t>
                  </w:r>
                </w:p>
              </w:tc>
              <w:tc>
                <w:tcPr/>
                <w:p>
                  <w:pPr>
                    <w:pStyle w:val="Compact"/>
                    <w:jc w:val="left"/>
                    <w:jc w:val="left"/>
                  </w:pPr>
                  <w:r>
                    <w:t xml:space="preserve">-0.242</w:t>
                  </w:r>
                </w:p>
              </w:tc>
              <w:tc>
                <w:tcPr/>
                <w:p>
                  <w:pPr>
                    <w:pStyle w:val="Compact"/>
                    <w:jc w:val="left"/>
                    <w:jc w:val="left"/>
                  </w:pPr>
                  <w:r>
                    <w:t xml:space="preserve">yes</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1</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no</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1</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no</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1</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no</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2</w:t>
                  </w:r>
                </w:p>
              </w:tc>
              <w:tc>
                <w:tcPr/>
                <w:p>
                  <w:pPr>
                    <w:pStyle w:val="Compact"/>
                    <w:jc w:val="left"/>
                    <w:jc w:val="left"/>
                  </w:pPr>
                  <w:r>
                    <w:t xml:space="preserve">0.693</w:t>
                  </w:r>
                </w:p>
              </w:tc>
              <w:tc>
                <w:tcPr/>
                <w:p>
                  <w:pPr>
                    <w:pStyle w:val="Compact"/>
                    <w:jc w:val="left"/>
                    <w:jc w:val="left"/>
                  </w:pPr>
                  <w:r>
                    <w:t xml:space="preserve">0.547</w:t>
                  </w:r>
                </w:p>
              </w:tc>
              <w:tc>
                <w:tcPr/>
                <w:p>
                  <w:pPr>
                    <w:pStyle w:val="Compact"/>
                    <w:jc w:val="left"/>
                    <w:jc w:val="left"/>
                  </w:pPr>
                  <w:r>
                    <w:t xml:space="preserve">0.146</w:t>
                  </w:r>
                </w:p>
              </w:tc>
              <w:tc>
                <w:tcPr/>
                <w:p>
                  <w:pPr>
                    <w:pStyle w:val="Compact"/>
                    <w:jc w:val="left"/>
                    <w:jc w:val="left"/>
                  </w:pPr>
                  <w:r>
                    <w:t xml:space="preserve">no</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5</w:t>
                  </w:r>
                </w:p>
              </w:tc>
              <w:tc>
                <w:tcPr/>
                <w:p>
                  <w:pPr>
                    <w:pStyle w:val="Compact"/>
                    <w:jc w:val="left"/>
                    <w:jc w:val="left"/>
                  </w:pPr>
                  <w:r>
                    <w:t xml:space="preserve">1.609</w:t>
                  </w:r>
                </w:p>
              </w:tc>
              <w:tc>
                <w:tcPr/>
                <w:p>
                  <w:pPr>
                    <w:pStyle w:val="Compact"/>
                    <w:jc w:val="left"/>
                    <w:jc w:val="left"/>
                  </w:pPr>
                  <w:r>
                    <w:t xml:space="preserve">1.118</w:t>
                  </w:r>
                </w:p>
              </w:tc>
              <w:tc>
                <w:tcPr/>
                <w:p>
                  <w:pPr>
                    <w:pStyle w:val="Compact"/>
                    <w:jc w:val="left"/>
                    <w:jc w:val="left"/>
                  </w:pPr>
                  <w:r>
                    <w:t xml:space="preserve">0.492</w:t>
                  </w:r>
                </w:p>
              </w:tc>
              <w:tc>
                <w:tcPr/>
                <w:p>
                  <w:pPr>
                    <w:pStyle w:val="Compact"/>
                    <w:jc w:val="left"/>
                    <w:jc w:val="left"/>
                  </w:pPr>
                  <w:r>
                    <w:t xml:space="preserve">yes</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6</w:t>
                  </w:r>
                </w:p>
              </w:tc>
              <w:tc>
                <w:tcPr/>
                <w:p>
                  <w:pPr>
                    <w:pStyle w:val="Compact"/>
                    <w:jc w:val="left"/>
                    <w:jc w:val="left"/>
                  </w:pPr>
                  <w:r>
                    <w:t xml:space="preserve">0.637</w:t>
                  </w:r>
                </w:p>
              </w:tc>
              <w:tc>
                <w:tcPr/>
                <w:p>
                  <w:pPr>
                    <w:pStyle w:val="Compact"/>
                    <w:jc w:val="left"/>
                    <w:jc w:val="left"/>
                  </w:pPr>
                  <w:r>
                    <w:t xml:space="preserve">1.222</w:t>
                  </w:r>
                </w:p>
              </w:tc>
              <w:tc>
                <w:tcPr/>
                <w:p>
                  <w:pPr>
                    <w:pStyle w:val="Compact"/>
                    <w:jc w:val="left"/>
                    <w:jc w:val="left"/>
                  </w:pPr>
                  <w:r>
                    <w:t xml:space="preserve">-0.586</w:t>
                  </w:r>
                </w:p>
              </w:tc>
              <w:tc>
                <w:tcPr/>
                <w:p>
                  <w:pPr>
                    <w:pStyle w:val="Compact"/>
                    <w:jc w:val="left"/>
                    <w:jc w:val="left"/>
                  </w:pPr>
                  <w:r>
                    <w:t xml:space="preserve">yes</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13</w:t>
                  </w:r>
                </w:p>
              </w:tc>
              <w:tc>
                <w:tcPr/>
                <w:p>
                  <w:pPr>
                    <w:pStyle w:val="Compact"/>
                    <w:jc w:val="left"/>
                    <w:jc w:val="left"/>
                  </w:pPr>
                  <w:r>
                    <w:t xml:space="preserve">0.617</w:t>
                  </w:r>
                </w:p>
              </w:tc>
              <w:tc>
                <w:tcPr/>
                <w:p>
                  <w:pPr>
                    <w:pStyle w:val="Compact"/>
                    <w:jc w:val="left"/>
                    <w:jc w:val="left"/>
                  </w:pPr>
                  <w:r>
                    <w:t xml:space="preserve">1.517</w:t>
                  </w:r>
                </w:p>
              </w:tc>
              <w:tc>
                <w:tcPr/>
                <w:p>
                  <w:pPr>
                    <w:pStyle w:val="Compact"/>
                    <w:jc w:val="left"/>
                    <w:jc w:val="left"/>
                  </w:pPr>
                  <w:r>
                    <w:t xml:space="preserve">-0.899</w:t>
                  </w:r>
                </w:p>
              </w:tc>
              <w:tc>
                <w:tcPr/>
                <w:p>
                  <w:pPr>
                    <w:pStyle w:val="Compact"/>
                    <w:jc w:val="left"/>
                    <w:jc w:val="left"/>
                  </w:pPr>
                  <w:r>
                    <w:t xml:space="preserve">yes</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21</w:t>
                  </w:r>
                </w:p>
              </w:tc>
              <w:tc>
                <w:tcPr/>
                <w:p>
                  <w:pPr>
                    <w:pStyle w:val="Compact"/>
                    <w:jc w:val="left"/>
                    <w:jc w:val="left"/>
                  </w:pPr>
                  <w:r>
                    <w:t xml:space="preserve">1.737</w:t>
                  </w:r>
                </w:p>
              </w:tc>
              <w:tc>
                <w:tcPr/>
                <w:p>
                  <w:pPr>
                    <w:pStyle w:val="Compact"/>
                    <w:jc w:val="left"/>
                    <w:jc w:val="left"/>
                  </w:pPr>
                  <w:r>
                    <w:t xml:space="preserve">1.641</w:t>
                  </w:r>
                </w:p>
              </w:tc>
              <w:tc>
                <w:tcPr/>
                <w:p>
                  <w:pPr>
                    <w:pStyle w:val="Compact"/>
                    <w:jc w:val="left"/>
                    <w:jc w:val="left"/>
                  </w:pPr>
                  <w:r>
                    <w:t xml:space="preserve">0.096</w:t>
                  </w:r>
                </w:p>
              </w:tc>
              <w:tc>
                <w:tcPr/>
                <w:p>
                  <w:pPr>
                    <w:pStyle w:val="Compact"/>
                    <w:jc w:val="left"/>
                    <w:jc w:val="left"/>
                  </w:pPr>
                  <w:r>
                    <w:t xml:space="preserve">yes</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43</w:t>
                  </w:r>
                </w:p>
              </w:tc>
              <w:tc>
                <w:tcPr/>
                <w:p>
                  <w:pPr>
                    <w:pStyle w:val="Compact"/>
                    <w:jc w:val="left"/>
                    <w:jc w:val="left"/>
                  </w:pPr>
                  <w:r>
                    <w:t xml:space="preserve">1.945</w:t>
                  </w:r>
                </w:p>
              </w:tc>
              <w:tc>
                <w:tcPr/>
                <w:p>
                  <w:pPr>
                    <w:pStyle w:val="Compact"/>
                    <w:jc w:val="left"/>
                    <w:jc w:val="left"/>
                  </w:pPr>
                  <w:r>
                    <w:t xml:space="preserve">1.781</w:t>
                  </w:r>
                </w:p>
              </w:tc>
              <w:tc>
                <w:tcPr/>
                <w:p>
                  <w:pPr>
                    <w:pStyle w:val="Compact"/>
                    <w:jc w:val="left"/>
                    <w:jc w:val="left"/>
                  </w:pPr>
                  <w:r>
                    <w:t xml:space="preserve">0.165</w:t>
                  </w:r>
                </w:p>
              </w:tc>
              <w:tc>
                <w:tcPr/>
                <w:p>
                  <w:pPr>
                    <w:pStyle w:val="Compact"/>
                    <w:jc w:val="left"/>
                    <w:jc w:val="left"/>
                  </w:pPr>
                  <w:r>
                    <w:t xml:space="preserve">yes</w:t>
                  </w:r>
                </w:p>
              </w:tc>
            </w:tr>
          </w:tbl>
          <w:p>
            <w:pPr>
              <w:jc w:val="left"/>
            </w:pPr>
            <w:pPr>
              <w:jc w:val="start"/>
              <w:spacing w:before="200"/>
              <w:pStyle w:val="ImageCaption"/>
            </w:pPr>
            <w:r>
              <w:t xml:space="preserve">Table AS. Per-site values behind the main-text figure of observed and simulated sign diversity, by phase. Sample size is the row margin of the site-by-sign-type count matrix, that is the number of sign occurrences at the site, and it is the quantity plotted on the figure’s horizontal axis; it is not the object count given in</w:t>
            </w:r>
            <w:r>
              <w:t xml:space="preserve"> </w:t>
            </w:r>
            <w:hyperlink w:anchor="tbl-objcount">
              <w:r>
                <w:rPr>
                  <w:rStyle w:val="Hyperlink"/>
                </w:rPr>
                <w:t xml:space="preserve">Table AR</w:t>
              </w:r>
            </w:hyperlink>
            <w:r>
              <w:t xml:space="preserve">, because one object can carry more than one occurrence of a sign type. H_obs is the observed Shannon diversity, H_exp is the simulated mean at that sample size, and H_excess is H_obs minus H_exp. The final column records whether the site carries a name on the figure; sites below the naming threshold are still plotted as points.</w:t>
            </w:r>
          </w:p>
          <w:bookmarkEnd w:id="239"/>
        </w:tc>
      </w:tr>
    </w:tbl>
    <w:tbl>
      <w:tblPr>
        <w:tblStyle w:val="Table"/>
        <w:tblW w:type="pct" w:w="5000"/>
        <w:tblLook w:firstRow="0" w:lastRow="0" w:firstColumn="0" w:lastColumn="0" w:noHBand="0" w:noVBand="0" w:val="0000"/>
        <w:jc w:val="start"/>
        <w:tblLayout w:type="fixed"/>
      </w:tblPr>
      <w:tblGrid>
        <w:gridCol w:w="7920"/>
      </w:tblGrid>
      <w:tr>
        <w:tc>
          <w:tcPr/>
          <w:bookmarkStart w:id="243" w:name="fig-objhist"/>
          <w:p>
            <w:pPr>
              <w:pStyle w:val="Compact"/>
              <w:jc w:val="left"/>
            </w:pPr>
            <w:r>
              <w:drawing>
                <wp:inline>
                  <wp:extent cx="5943600" cy="2971800"/>
                  <wp:effectExtent b="0" l="0" r="0" t="0"/>
                  <wp:docPr descr="" title="" id="241" name="Picture"/>
                  <a:graphic>
                    <a:graphicData uri="http://schemas.openxmlformats.org/drawingml/2006/picture">
                      <pic:pic>
                        <pic:nvPicPr>
                          <pic:cNvPr descr="S1_File_files/figure-docx/fig-objhist-1.png" id="242" name="Picture"/>
                          <pic:cNvPicPr>
                            <a:picLocks noChangeArrowheads="1" noChangeAspect="1"/>
                          </pic:cNvPicPr>
                        </pic:nvPicPr>
                        <pic:blipFill>
                          <a:blip r:embed="rId240"/>
                          <a:stretch>
                            <a:fillRect/>
                          </a:stretch>
                        </pic:blipFill>
                        <pic:spPr bwMode="auto">
                          <a:xfrm>
                            <a:off x="0" y="0"/>
                            <a:ext cx="5943600" cy="2971800"/>
                          </a:xfrm>
                          <a:prstGeom prst="rect">
                            <a:avLst/>
                          </a:prstGeom>
                          <a:noFill/>
                          <a:ln w="9525">
                            <a:noFill/>
                            <a:headEnd/>
                            <a:tailEnd/>
                          </a:ln>
                        </pic:spPr>
                      </pic:pic>
                    </a:graphicData>
                  </a:graphic>
                </wp:inline>
              </w:drawing>
            </w:r>
          </w:p>
          <w:p>
            <w:pPr>
              <w:jc w:val="left"/>
            </w:pPr>
            <w:pPr>
              <w:jc w:val="start"/>
              <w:spacing w:before="200"/>
              <w:pStyle w:val="ImageCaption"/>
            </w:pPr>
            <w:r>
              <w:t xml:space="preserve">Fig N. Distribution of object counts per site by phase. Most sites contribute few objects; a small number of large assemblages (e.g. Vogelherd) dominate the upper tail.</w:t>
            </w:r>
          </w:p>
          <w:bookmarkEnd w:id="243"/>
        </w:tc>
      </w:tr>
    </w:tbl>
    <w:bookmarkEnd w:id="244"/>
    <w:bookmarkStart w:id="245" w:name="interpretation-19"/>
    <w:p>
      <w:pPr>
        <w:pStyle w:val="Heading3"/>
      </w:pPr>
      <w:r>
        <w:t xml:space="preserve">Interpretation</w:t>
      </w:r>
    </w:p>
    <w:p>
      <w:pPr>
        <w:pStyle w:val="FirstParagraph"/>
      </w:pPr>
      <w:r>
        <w:rPr>
          <w:bCs/>
          <w:b/>
        </w:rPr>
        <w:t xml:space="preserve">Question: how many sites can be retained at each common object count?</w:t>
      </w:r>
      <w:r>
        <w:t xml:space="preserve"> </w:t>
      </w:r>
      <w:r>
        <w:t xml:space="preserve">At</w:t>
      </w:r>
      <w:r>
        <w:t xml:space="preserve"> </w:t>
      </w:r>
      <w:r>
        <w:rPr>
          <w:bCs/>
          <w:b/>
        </w:rPr>
        <w:t xml:space="preserve">k = 3</w:t>
      </w:r>
      <w:r>
        <w:t xml:space="preserve">, 13 of 20 Aur-P1 sites and 5 of 9 Aur-P2 sites qualify. At</w:t>
      </w:r>
      <w:r>
        <w:t xml:space="preserve"> </w:t>
      </w:r>
      <w:r>
        <w:rPr>
          <w:bCs/>
          <w:b/>
        </w:rPr>
        <w:t xml:space="preserve">k = 5</w:t>
      </w:r>
      <w:r>
        <w:t xml:space="preserve"> </w:t>
      </w:r>
      <w:r>
        <w:t xml:space="preserve">the numbers fall to 8 and 3, and at</w:t>
      </w:r>
      <w:r>
        <w:t xml:space="preserve"> </w:t>
      </w:r>
      <w:r>
        <w:rPr>
          <w:bCs/>
          <w:b/>
        </w:rPr>
        <w:t xml:space="preserve">k = 10</w:t>
      </w:r>
      <w:r>
        <w:t xml:space="preserve"> </w:t>
      </w:r>
      <w:r>
        <w:t xml:space="preserve">only 7 and 3 sites remain. The smallest sites (Trou al’Wesse, Fumane, Pod Hradem, Grottes de Fonds-de-Forêt with one object; Les Cottés, Labeko Koba, Hohlenstein-Stadel with two) can never be downsampled and are excluded from every replicate. We therefore report results at k = 3, 5, and 10, treating k = 10 as the most stringent test (fewest sites, but each built from a substantial object sample) and k = 3 as the most inclusive.</w:t>
      </w:r>
    </w:p>
    <w:bookmarkEnd w:id="245"/>
    <w:bookmarkEnd w:id="246"/>
    <w:bookmarkStart w:id="255" w:name="sec-s12-2"/>
    <w:p>
      <w:pPr>
        <w:pStyle w:val="Heading2"/>
      </w:pPr>
      <w:r>
        <w:t xml:space="preserve">S1.12.3 Object-level downsampling sensitivity</w:t>
      </w:r>
    </w:p>
    <w:bookmarkStart w:id="253" w:name="rationale-21"/>
    <w:p>
      <w:pPr>
        <w:pStyle w:val="Heading3"/>
      </w:pPr>
      <w:r>
        <w:t xml:space="preserve">Rationale</w:t>
      </w:r>
    </w:p>
    <w:p>
      <w:pPr>
        <w:pStyle w:val="FirstParagraph"/>
      </w:pPr>
      <w:r>
        <w:t xml:space="preserve">For each phase and each common count k ∈ {3, 5, 10}, and for 500 replicates, we sample k objects</w:t>
      </w:r>
      <w:r>
        <w:t xml:space="preserve"> </w:t>
      </w:r>
      <w:r>
        <w:rPr>
          <w:bCs/>
          <w:b/>
        </w:rPr>
        <w:t xml:space="preserve">without replacement</w:t>
      </w:r>
      <w:r>
        <w:t xml:space="preserve"> </w:t>
      </w:r>
      <w:r>
        <w:t xml:space="preserve">from each qualifying site, aggregate them to a site × sign presence vector (a sign is present at a site if any of its k sampled objects carries it), and rebuild the Jaccard network at the main-text threshold of 0.2. We then re-derive the site partition with Louvain community detection and realign it to the manual R/B labels by assigning each Louvain community to the majority manual group among its members. This mirrors the data-driven re-derivation used in</w:t>
      </w:r>
      <w:r>
        <w:t xml:space="preserve"> </w:t>
      </w:r>
      <w:r>
        <w:t xml:space="preserve">Section S1.6.2</w:t>
      </w:r>
      <w:r>
        <w:t xml:space="preserve">, but operates on object-downsampled data rather than on the observed site totals. Two quantities are recorded per replicate: (i) for each site, whether its realigned partition matches its manual group (</w:t>
      </w:r>
      <w:r>
        <w:rPr>
          <w:bCs/>
          <w:b/>
        </w:rPr>
        <w:t xml:space="preserve">group retention</w:t>
      </w:r>
      <w:r>
        <w:t xml:space="preserve">), and (ii) the Adjusted Rand Index (ARI) between the realigned partition and the manual groups, plus the network modularity. Across replicates we summarise the per-site retention rate and the mean ARI / modularity.</w:t>
      </w:r>
    </w:p>
    <w:p>
      <w:pPr>
        <w:pStyle w:val="BodyText"/>
      </w:pPr>
      <w:r>
        <w:rPr>
          <w:bCs/>
          <w:b/>
        </w:rPr>
        <w:t xml:space="preserve">Question: does each site keep its group under object-level downsampling, and how stable is the community structure?</w:t>
      </w:r>
    </w:p>
    <w:tbl>
      <w:tblPr>
        <w:tblStyle w:val="Table"/>
        <w:tblW w:type="pct" w:w="5000"/>
        <w:tblLook w:firstRow="0" w:lastRow="0" w:firstColumn="0" w:lastColumn="0" w:noHBand="0" w:noVBand="0" w:val="0000"/>
        <w:jc w:val="start"/>
        <w:tblLayout w:type="fixed"/>
      </w:tblPr>
      <w:tblGrid>
        <w:gridCol w:w="7920"/>
      </w:tblGrid>
      <w:tr>
        <w:tc>
          <w:tcPr/>
          <w:bookmarkStart w:id="247" w:name="tbl-retention"/>
          <w:tbl>
            <w:tblPr>
              <w:tblStyle w:val="Table"/>
              <w:tblW w:type="pct" w:w="5000"/>
              <w:tblLook w:firstRow="1" w:lastRow="0" w:firstColumn="0" w:lastColumn="0" w:noHBand="0" w:noVBand="0" w:val="0020"/>
              <w:jc w:val="start"/>
              <w:tblLayout w:type="fixed"/>
            </w:tblPr>
            <w:tblGrid>
              <w:gridCol w:w="2534"/>
              <w:gridCol w:w="1029"/>
              <w:gridCol w:w="950"/>
              <w:gridCol w:w="871"/>
              <w:gridCol w:w="871"/>
              <w:gridCol w:w="871"/>
              <w:gridCol w:w="792"/>
            </w:tblGrid>
            <w:tr>
              <w:trPr>
                <w:tblHeader w:val="true"/>
              </w:trPr>
              <w:tc>
                <w:tcPr/>
                <w:p>
                  <w:pPr>
                    <w:pStyle w:val="Compact"/>
                    <w:jc w:val="left"/>
                    <w:jc w:val="left"/>
                  </w:pPr>
                  <w:r>
                    <w:t xml:space="preserve">Site</w:t>
                  </w:r>
                </w:p>
              </w:tc>
              <w:tc>
                <w:tcPr/>
                <w:p>
                  <w:pPr>
                    <w:pStyle w:val="Compact"/>
                    <w:jc w:val="left"/>
                    <w:jc w:val="left"/>
                  </w:pPr>
                  <w:r>
                    <w:t xml:space="preserve">Phase</w:t>
                  </w:r>
                </w:p>
              </w:tc>
              <w:tc>
                <w:tcPr/>
                <w:p>
                  <w:pPr>
                    <w:pStyle w:val="Compact"/>
                    <w:jc w:val="left"/>
                    <w:jc w:val="left"/>
                  </w:pPr>
                  <w:r>
                    <w:t xml:space="preserve">Group</w:t>
                  </w:r>
                </w:p>
              </w:tc>
              <w:tc>
                <w:tcPr/>
                <w:p>
                  <w:pPr>
                    <w:pStyle w:val="Compact"/>
                    <w:jc w:val="left"/>
                    <w:jc w:val="left"/>
                  </w:pPr>
                  <w:r>
                    <w:t xml:space="preserve">Objects</w:t>
                  </w:r>
                </w:p>
              </w:tc>
              <w:tc>
                <w:tcPr/>
                <w:p>
                  <w:pPr>
                    <w:pStyle w:val="Compact"/>
                    <w:jc w:val="left"/>
                    <w:jc w:val="left"/>
                  </w:pPr>
                  <w:r>
                    <w:t xml:space="preserve">k=3</w:t>
                  </w:r>
                </w:p>
              </w:tc>
              <w:tc>
                <w:tcPr/>
                <w:p>
                  <w:pPr>
                    <w:pStyle w:val="Compact"/>
                    <w:jc w:val="left"/>
                    <w:jc w:val="left"/>
                  </w:pPr>
                  <w:r>
                    <w:t xml:space="preserve">k=5</w:t>
                  </w:r>
                </w:p>
              </w:tc>
              <w:tc>
                <w:tcPr/>
                <w:p>
                  <w:pPr>
                    <w:pStyle w:val="Compact"/>
                    <w:jc w:val="left"/>
                    <w:jc w:val="left"/>
                  </w:pPr>
                  <w:r>
                    <w:t xml:space="preserve">k=10</w:t>
                  </w:r>
                </w:p>
              </w:tc>
            </w:tr>
            <w:tr>
              <w:tc>
                <w:tcPr/>
                <w:p>
                  <w:pPr>
                    <w:pStyle w:val="Compact"/>
                    <w:jc w:val="left"/>
                    <w:jc w:val="left"/>
                  </w:pPr>
                  <w:r>
                    <w:t xml:space="preserve">Grotte de la Verpillière I</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4</w:t>
                  </w:r>
                </w:p>
              </w:tc>
              <w:tc>
                <w:tcPr/>
                <w:p>
                  <w:pPr>
                    <w:pStyle w:val="Compact"/>
                    <w:jc w:val="left"/>
                    <w:jc w:val="left"/>
                  </w:pPr>
                  <w:r>
                    <w:t xml:space="preserve">0.15</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Abri Pataud</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0.72</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Gatzarria</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0.16</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Riparo Bombrini</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0.72</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Vogelherd</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173</w:t>
                  </w:r>
                </w:p>
              </w:tc>
              <w:tc>
                <w:tcPr/>
                <w:p>
                  <w:pPr>
                    <w:pStyle w:val="Compact"/>
                    <w:jc w:val="left"/>
                    <w:jc w:val="left"/>
                  </w:pPr>
                  <w:r>
                    <w:t xml:space="preserve">0.73</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Geissenklösterle</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30</w:t>
                  </w:r>
                </w:p>
              </w:tc>
              <w:tc>
                <w:tcPr/>
                <w:p>
                  <w:pPr>
                    <w:pStyle w:val="Compact"/>
                    <w:jc w:val="left"/>
                    <w:jc w:val="left"/>
                  </w:pPr>
                  <w:r>
                    <w:t xml:space="preserve">0.71</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Cellier</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28</w:t>
                  </w:r>
                </w:p>
              </w:tc>
              <w:tc>
                <w:tcPr/>
                <w:p>
                  <w:pPr>
                    <w:pStyle w:val="Compact"/>
                    <w:jc w:val="left"/>
                    <w:jc w:val="left"/>
                  </w:pPr>
                  <w:r>
                    <w:t xml:space="preserve">0.81</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La Ferrassie</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22</w:t>
                  </w:r>
                </w:p>
              </w:tc>
              <w:tc>
                <w:tcPr/>
                <w:p>
                  <w:pPr>
                    <w:pStyle w:val="Compact"/>
                    <w:jc w:val="left"/>
                    <w:jc w:val="left"/>
                  </w:pPr>
                  <w:r>
                    <w:t xml:space="preserve">0.92</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Castanet</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21</w:t>
                  </w:r>
                </w:p>
              </w:tc>
              <w:tc>
                <w:tcPr/>
                <w:p>
                  <w:pPr>
                    <w:pStyle w:val="Compact"/>
                    <w:jc w:val="left"/>
                    <w:jc w:val="left"/>
                  </w:pPr>
                  <w:r>
                    <w:t xml:space="preserve">0.92</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Hohle Fels</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20</w:t>
                  </w:r>
                </w:p>
              </w:tc>
              <w:tc>
                <w:tcPr/>
                <w:p>
                  <w:pPr>
                    <w:pStyle w:val="Compact"/>
                    <w:jc w:val="left"/>
                    <w:jc w:val="left"/>
                  </w:pPr>
                  <w:r>
                    <w:t xml:space="preserve">0.97</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Blanchard</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18</w:t>
                  </w:r>
                </w:p>
              </w:tc>
              <w:tc>
                <w:tcPr/>
                <w:p>
                  <w:pPr>
                    <w:pStyle w:val="Compact"/>
                    <w:jc w:val="left"/>
                    <w:jc w:val="left"/>
                  </w:pPr>
                  <w:r>
                    <w:t xml:space="preserve">0.89</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Grotte du Renne</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7</w:t>
                  </w:r>
                </w:p>
              </w:tc>
              <w:tc>
                <w:tcPr/>
                <w:p>
                  <w:pPr>
                    <w:pStyle w:val="Compact"/>
                    <w:jc w:val="left"/>
                    <w:jc w:val="left"/>
                  </w:pPr>
                  <w:r>
                    <w:t xml:space="preserve">0.94</w:t>
                  </w:r>
                </w:p>
              </w:tc>
              <w:tc>
                <w:tcPr/>
                <w:p>
                  <w:pPr>
                    <w:pStyle w:val="Compact"/>
                    <w:jc w:val="left"/>
                    <w:jc w:val="left"/>
                  </w:pPr>
                  <w:r>
                    <w:t xml:space="preserve">1.00</w:t>
                  </w:r>
                </w:p>
              </w:tc>
              <w:tc>
                <w:tcPr/>
                <w:p>
                  <w:pPr>
                    <w:pStyle w:val="Compact"/>
                    <w:jc w:val="left"/>
                    <w:jc w:val="left"/>
                  </w:pPr>
                  <w:r>
                    <w:t xml:space="preserve">NA</w:t>
                  </w:r>
                </w:p>
              </w:tc>
            </w:tr>
            <w:tr>
              <w:tc>
                <w:tcPr/>
                <w:p>
                  <w:pPr>
                    <w:pStyle w:val="Compact"/>
                    <w:jc w:val="left"/>
                    <w:jc w:val="left"/>
                  </w:pPr>
                  <w:r>
                    <w:t xml:space="preserve">Solutré</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4</w:t>
                  </w:r>
                </w:p>
              </w:tc>
              <w:tc>
                <w:tcPr/>
                <w:p>
                  <w:pPr>
                    <w:pStyle w:val="Compact"/>
                    <w:jc w:val="left"/>
                    <w:jc w:val="left"/>
                  </w:pPr>
                  <w:r>
                    <w:t xml:space="preserve">0.87</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Gargas</w:t>
                  </w:r>
                </w:p>
              </w:tc>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11</w:t>
                  </w:r>
                </w:p>
              </w:tc>
              <w:tc>
                <w:tcPr/>
                <w:p>
                  <w:pPr>
                    <w:pStyle w:val="Compact"/>
                    <w:jc w:val="left"/>
                    <w:jc w:val="left"/>
                  </w:pPr>
                  <w:r>
                    <w:t xml:space="preserve">0.47</w:t>
                  </w:r>
                </w:p>
              </w:tc>
              <w:tc>
                <w:tcPr/>
                <w:p>
                  <w:pPr>
                    <w:pStyle w:val="Compact"/>
                    <w:jc w:val="left"/>
                    <w:jc w:val="left"/>
                  </w:pPr>
                  <w:r>
                    <w:t xml:space="preserve">0.15</w:t>
                  </w:r>
                </w:p>
              </w:tc>
              <w:tc>
                <w:tcPr/>
                <w:p>
                  <w:pPr>
                    <w:pStyle w:val="Compact"/>
                    <w:jc w:val="left"/>
                    <w:jc w:val="left"/>
                  </w:pPr>
                  <w:r>
                    <w:t xml:space="preserve">0.03</w:t>
                  </w:r>
                </w:p>
              </w:tc>
            </w:tr>
            <w:tr>
              <w:tc>
                <w:tcPr/>
                <w:p>
                  <w:pPr>
                    <w:pStyle w:val="Compact"/>
                    <w:jc w:val="left"/>
                    <w:jc w:val="left"/>
                  </w:pPr>
                  <w:r>
                    <w:t xml:space="preserve">Mladeč</w:t>
                  </w:r>
                </w:p>
              </w:tc>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4</w:t>
                  </w:r>
                </w:p>
              </w:tc>
              <w:tc>
                <w:tcPr/>
                <w:p>
                  <w:pPr>
                    <w:pStyle w:val="Compact"/>
                    <w:jc w:val="left"/>
                    <w:jc w:val="left"/>
                  </w:pPr>
                  <w:r>
                    <w:t xml:space="preserve">0.46</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Hohle Fels</w:t>
                  </w:r>
                </w:p>
              </w:tc>
              <w:tc>
                <w:tcPr/>
                <w:p>
                  <w:pPr>
                    <w:pStyle w:val="Compact"/>
                    <w:jc w:val="left"/>
                    <w:jc w:val="left"/>
                  </w:pPr>
                  <w:r>
                    <w:t xml:space="preserve">Aur-P2</w:t>
                  </w:r>
                </w:p>
              </w:tc>
              <w:tc>
                <w:tcPr/>
                <w:p>
                  <w:pPr>
                    <w:pStyle w:val="Compact"/>
                    <w:jc w:val="left"/>
                    <w:jc w:val="left"/>
                  </w:pPr>
                  <w:r>
                    <w:t xml:space="preserve">2</w:t>
                  </w:r>
                </w:p>
              </w:tc>
              <w:tc>
                <w:tcPr/>
                <w:p>
                  <w:pPr>
                    <w:pStyle w:val="Compact"/>
                    <w:jc w:val="left"/>
                    <w:jc w:val="left"/>
                  </w:pPr>
                  <w:r>
                    <w:t xml:space="preserve">29</w:t>
                  </w:r>
                </w:p>
              </w:tc>
              <w:tc>
                <w:tcPr/>
                <w:p>
                  <w:pPr>
                    <w:pStyle w:val="Compact"/>
                    <w:jc w:val="left"/>
                    <w:jc w:val="left"/>
                  </w:pPr>
                  <w:r>
                    <w:t xml:space="preserve">0.92</w:t>
                  </w:r>
                </w:p>
              </w:tc>
              <w:tc>
                <w:tcPr/>
                <w:p>
                  <w:pPr>
                    <w:pStyle w:val="Compact"/>
                    <w:jc w:val="left"/>
                    <w:jc w:val="left"/>
                  </w:pPr>
                  <w:r>
                    <w:t xml:space="preserve">0.99</w:t>
                  </w:r>
                </w:p>
              </w:tc>
              <w:tc>
                <w:tcPr/>
                <w:p>
                  <w:pPr>
                    <w:pStyle w:val="Compact"/>
                    <w:jc w:val="left"/>
                    <w:jc w:val="left"/>
                  </w:pPr>
                  <w:r>
                    <w:t xml:space="preserve">1.00</w:t>
                  </w:r>
                </w:p>
              </w:tc>
            </w:tr>
            <w:tr>
              <w:tc>
                <w:tcPr/>
                <w:p>
                  <w:pPr>
                    <w:pStyle w:val="Compact"/>
                    <w:jc w:val="left"/>
                    <w:jc w:val="left"/>
                  </w:pPr>
                  <w:r>
                    <w:t xml:space="preserve">Trou Magrite</w:t>
                  </w:r>
                </w:p>
              </w:tc>
              <w:tc>
                <w:tcPr/>
                <w:p>
                  <w:pPr>
                    <w:pStyle w:val="Compact"/>
                    <w:jc w:val="left"/>
                    <w:jc w:val="left"/>
                  </w:pPr>
                  <w:r>
                    <w:t xml:space="preserve">Aur-P2</w:t>
                  </w:r>
                </w:p>
              </w:tc>
              <w:tc>
                <w:tcPr/>
                <w:p>
                  <w:pPr>
                    <w:pStyle w:val="Compact"/>
                    <w:jc w:val="left"/>
                    <w:jc w:val="left"/>
                  </w:pPr>
                  <w:r>
                    <w:t xml:space="preserve">2</w:t>
                  </w:r>
                </w:p>
              </w:tc>
              <w:tc>
                <w:tcPr/>
                <w:p>
                  <w:pPr>
                    <w:pStyle w:val="Compact"/>
                    <w:jc w:val="left"/>
                    <w:jc w:val="left"/>
                  </w:pPr>
                  <w:r>
                    <w:t xml:space="preserve">12</w:t>
                  </w:r>
                </w:p>
              </w:tc>
              <w:tc>
                <w:tcPr/>
                <w:p>
                  <w:pPr>
                    <w:pStyle w:val="Compact"/>
                    <w:jc w:val="left"/>
                    <w:jc w:val="left"/>
                  </w:pPr>
                  <w:r>
                    <w:t xml:space="preserve">0.70</w:t>
                  </w:r>
                </w:p>
              </w:tc>
              <w:tc>
                <w:tcPr/>
                <w:p>
                  <w:pPr>
                    <w:pStyle w:val="Compact"/>
                    <w:jc w:val="left"/>
                    <w:jc w:val="left"/>
                  </w:pPr>
                  <w:r>
                    <w:t xml:space="preserve">0.88</w:t>
                  </w:r>
                </w:p>
              </w:tc>
              <w:tc>
                <w:tcPr/>
                <w:p>
                  <w:pPr>
                    <w:pStyle w:val="Compact"/>
                    <w:jc w:val="left"/>
                    <w:jc w:val="left"/>
                  </w:pPr>
                  <w:r>
                    <w:t xml:space="preserve">0.97</w:t>
                  </w:r>
                </w:p>
              </w:tc>
            </w:tr>
            <w:tr>
              <w:tc>
                <w:tcPr/>
                <w:p>
                  <w:pPr>
                    <w:pStyle w:val="Compact"/>
                    <w:jc w:val="left"/>
                    <w:jc w:val="left"/>
                  </w:pPr>
                  <w:r>
                    <w:t xml:space="preserve">Bockstein-Törle</w:t>
                  </w:r>
                </w:p>
              </w:tc>
              <w:tc>
                <w:tcPr/>
                <w:p>
                  <w:pPr>
                    <w:pStyle w:val="Compact"/>
                    <w:jc w:val="left"/>
                    <w:jc w:val="left"/>
                  </w:pPr>
                  <w:r>
                    <w:t xml:space="preserve">Aur-P2</w:t>
                  </w:r>
                </w:p>
              </w:tc>
              <w:tc>
                <w:tcPr/>
                <w:p>
                  <w:pPr>
                    <w:pStyle w:val="Compact"/>
                    <w:jc w:val="left"/>
                    <w:jc w:val="left"/>
                  </w:pPr>
                  <w:r>
                    <w:t xml:space="preserve">2</w:t>
                  </w:r>
                </w:p>
              </w:tc>
              <w:tc>
                <w:tcPr/>
                <w:p>
                  <w:pPr>
                    <w:pStyle w:val="Compact"/>
                    <w:jc w:val="left"/>
                    <w:jc w:val="left"/>
                  </w:pPr>
                  <w:r>
                    <w:t xml:space="preserve">3</w:t>
                  </w:r>
                </w:p>
              </w:tc>
              <w:tc>
                <w:tcPr/>
                <w:p>
                  <w:pPr>
                    <w:pStyle w:val="Compact"/>
                    <w:jc w:val="left"/>
                    <w:jc w:val="left"/>
                  </w:pPr>
                  <w:r>
                    <w:t xml:space="preserve">0.76</w:t>
                  </w:r>
                </w:p>
              </w:tc>
              <w:tc>
                <w:tcPr/>
                <w:p>
                  <w:pPr>
                    <w:pStyle w:val="Compact"/>
                    <w:jc w:val="left"/>
                    <w:jc w:val="left"/>
                  </w:pPr>
                  <w:r>
                    <w:t xml:space="preserve">NA</w:t>
                  </w:r>
                </w:p>
              </w:tc>
              <w:tc>
                <w:tcPr/>
                <w:p>
                  <w:pPr>
                    <w:pStyle w:val="Compact"/>
                    <w:jc w:val="left"/>
                    <w:jc w:val="left"/>
                  </w:pPr>
                  <w:r>
                    <w:t xml:space="preserve">NA</w:t>
                  </w:r>
                </w:p>
              </w:tc>
            </w:tr>
          </w:tbl>
          <w:p>
            <w:pPr>
              <w:jc w:val="left"/>
            </w:pPr>
            <w:pPr>
              <w:jc w:val="start"/>
              <w:spacing w:before="200"/>
              <w:pStyle w:val="ImageCaption"/>
            </w:pPr>
            <w:r>
              <w:t xml:space="preserve">Table AT. Per-site group-retention rate under object-level downsampling to k = 3, 5, 10 objects per site (500 replicates each). Retention is the fraction of replicates in which the site’s realigned Louvain partition matches its manual restricted/broad assignment. Sites with fewer than k objects are excluded at that level.</w:t>
            </w:r>
          </w:p>
          <w:bookmarkEnd w:id="247"/>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248" w:name="tbl-stability"/>
          <w:tbl>
            <w:tblPr>
              <w:tblStyle w:val="Table"/>
              <w:tblW w:type="pct" w:w="5000"/>
              <w:tblLook w:firstRow="1" w:lastRow="0" w:firstColumn="0" w:lastColumn="0" w:noHBand="0" w:noVBand="0" w:val="0020"/>
              <w:jc w:val="start"/>
              <w:tblLayout w:type="fixed"/>
            </w:tblPr>
            <w:tblGrid>
              <w:gridCol w:w="1188"/>
              <w:gridCol w:w="633"/>
              <w:gridCol w:w="950"/>
              <w:gridCol w:w="1267"/>
              <w:gridCol w:w="1900"/>
              <w:gridCol w:w="1980"/>
            </w:tblGrid>
            <w:tr>
              <w:trPr>
                <w:tblHeader w:val="true"/>
              </w:trPr>
              <w:tc>
                <w:tcPr/>
                <w:p>
                  <w:pPr>
                    <w:pStyle w:val="Compact"/>
                    <w:jc w:val="left"/>
                    <w:jc w:val="left"/>
                  </w:pPr>
                  <w:r>
                    <w:t xml:space="preserve">Phase</w:t>
                  </w:r>
                </w:p>
              </w:tc>
              <w:tc>
                <w:tcPr/>
                <w:p>
                  <w:pPr>
                    <w:pStyle w:val="Compact"/>
                    <w:jc w:val="left"/>
                    <w:jc w:val="left"/>
                  </w:pPr>
                  <w:r>
                    <w:t xml:space="preserve">k</w:t>
                  </w:r>
                </w:p>
              </w:tc>
              <w:tc>
                <w:tcPr/>
                <w:p>
                  <w:pPr>
                    <w:pStyle w:val="Compact"/>
                    <w:jc w:val="left"/>
                    <w:jc w:val="left"/>
                  </w:pPr>
                  <w:r>
                    <w:t xml:space="preserve">Sites</w:t>
                  </w:r>
                </w:p>
              </w:tc>
              <w:tc>
                <w:tcPr/>
                <w:p>
                  <w:pPr>
                    <w:pStyle w:val="Compact"/>
                    <w:jc w:val="left"/>
                    <w:jc w:val="left"/>
                  </w:pPr>
                  <w:r>
                    <w:t xml:space="preserve">Mean ARI</w:t>
                  </w:r>
                </w:p>
              </w:tc>
              <w:tc>
                <w:tcPr/>
                <w:p>
                  <w:pPr>
                    <w:pStyle w:val="Compact"/>
                    <w:jc w:val="left"/>
                    <w:jc w:val="left"/>
                  </w:pPr>
                  <w:r>
                    <w:t xml:space="preserve">Mean modularity</w:t>
                  </w:r>
                </w:p>
              </w:tc>
              <w:tc>
                <w:tcPr/>
                <w:p>
                  <w:pPr>
                    <w:pStyle w:val="Compact"/>
                    <w:jc w:val="left"/>
                    <w:jc w:val="left"/>
                  </w:pPr>
                  <w:r>
                    <w:t xml:space="preserve">Mean # communities</w:t>
                  </w:r>
                </w:p>
              </w:tc>
            </w:tr>
            <w:tr>
              <w:tc>
                <w:tcPr/>
                <w:p>
                  <w:pPr>
                    <w:pStyle w:val="Compact"/>
                    <w:jc w:val="left"/>
                    <w:jc w:val="left"/>
                  </w:pPr>
                  <w:r>
                    <w:t xml:space="preserve">Aur-P1</w:t>
                  </w:r>
                </w:p>
              </w:tc>
              <w:tc>
                <w:tcPr/>
                <w:p>
                  <w:pPr>
                    <w:pStyle w:val="Compact"/>
                    <w:jc w:val="left"/>
                    <w:jc w:val="left"/>
                  </w:pPr>
                  <w:r>
                    <w:t xml:space="preserve">3</w:t>
                  </w:r>
                </w:p>
              </w:tc>
              <w:tc>
                <w:tcPr/>
                <w:p>
                  <w:pPr>
                    <w:pStyle w:val="Compact"/>
                    <w:jc w:val="left"/>
                    <w:jc w:val="left"/>
                  </w:pPr>
                  <w:r>
                    <w:t xml:space="preserve">13</w:t>
                  </w:r>
                </w:p>
              </w:tc>
              <w:tc>
                <w:tcPr/>
                <w:p>
                  <w:pPr>
                    <w:pStyle w:val="Compact"/>
                    <w:jc w:val="left"/>
                    <w:jc w:val="left"/>
                  </w:pPr>
                  <w:r>
                    <w:t xml:space="preserve">0.186</w:t>
                  </w:r>
                </w:p>
              </w:tc>
              <w:tc>
                <w:tcPr/>
                <w:p>
                  <w:pPr>
                    <w:pStyle w:val="Compact"/>
                    <w:jc w:val="left"/>
                    <w:jc w:val="left"/>
                  </w:pPr>
                  <w:r>
                    <w:t xml:space="preserve">0.145</w:t>
                  </w:r>
                </w:p>
              </w:tc>
              <w:tc>
                <w:tcPr/>
                <w:p>
                  <w:pPr>
                    <w:pStyle w:val="Compact"/>
                    <w:jc w:val="left"/>
                    <w:jc w:val="left"/>
                  </w:pPr>
                  <w:r>
                    <w:t xml:space="preserve">2.690</w:t>
                  </w:r>
                </w:p>
              </w:tc>
            </w:tr>
            <w:tr>
              <w:tc>
                <w:tcPr/>
                <w:p>
                  <w:pPr>
                    <w:pStyle w:val="Compact"/>
                    <w:jc w:val="left"/>
                    <w:jc w:val="left"/>
                  </w:pPr>
                  <w:r>
                    <w:t xml:space="preserve">Aur-P2</w:t>
                  </w:r>
                </w:p>
              </w:tc>
              <w:tc>
                <w:tcPr/>
                <w:p>
                  <w:pPr>
                    <w:pStyle w:val="Compact"/>
                    <w:jc w:val="left"/>
                    <w:jc w:val="left"/>
                  </w:pPr>
                  <w:r>
                    <w:t xml:space="preserve">3</w:t>
                  </w:r>
                </w:p>
              </w:tc>
              <w:tc>
                <w:tcPr/>
                <w:p>
                  <w:pPr>
                    <w:pStyle w:val="Compact"/>
                    <w:jc w:val="left"/>
                    <w:jc w:val="left"/>
                  </w:pPr>
                  <w:r>
                    <w:t xml:space="preserve">5</w:t>
                  </w:r>
                </w:p>
              </w:tc>
              <w:tc>
                <w:tcPr/>
                <w:p>
                  <w:pPr>
                    <w:pStyle w:val="Compact"/>
                    <w:jc w:val="left"/>
                    <w:jc w:val="left"/>
                  </w:pPr>
                  <w:r>
                    <w:t xml:space="preserve">0.118</w:t>
                  </w:r>
                </w:p>
              </w:tc>
              <w:tc>
                <w:tcPr/>
                <w:p>
                  <w:pPr>
                    <w:pStyle w:val="Compact"/>
                    <w:jc w:val="left"/>
                    <w:jc w:val="left"/>
                  </w:pPr>
                  <w:r>
                    <w:t xml:space="preserve">0.009</w:t>
                  </w:r>
                </w:p>
              </w:tc>
              <w:tc>
                <w:tcPr/>
                <w:p>
                  <w:pPr>
                    <w:pStyle w:val="Compact"/>
                    <w:jc w:val="left"/>
                    <w:jc w:val="left"/>
                  </w:pPr>
                  <w:r>
                    <w:t xml:space="preserve">1.486</w:t>
                  </w:r>
                </w:p>
              </w:tc>
            </w:tr>
            <w:tr>
              <w:tc>
                <w:tcPr/>
                <w:p>
                  <w:pPr>
                    <w:pStyle w:val="Compact"/>
                    <w:jc w:val="left"/>
                    <w:jc w:val="left"/>
                  </w:pPr>
                  <w:r>
                    <w:t xml:space="preserve">Aur-P1</w:t>
                  </w:r>
                </w:p>
              </w:tc>
              <w:tc>
                <w:tcPr/>
                <w:p>
                  <w:pPr>
                    <w:pStyle w:val="Compact"/>
                    <w:jc w:val="left"/>
                    <w:jc w:val="left"/>
                  </w:pPr>
                  <w:r>
                    <w:t xml:space="preserve">5</w:t>
                  </w:r>
                </w:p>
              </w:tc>
              <w:tc>
                <w:tcPr/>
                <w:p>
                  <w:pPr>
                    <w:pStyle w:val="Compact"/>
                    <w:jc w:val="left"/>
                    <w:jc w:val="left"/>
                  </w:pPr>
                  <w:r>
                    <w:t xml:space="preserve">8</w:t>
                  </w:r>
                </w:p>
              </w:tc>
              <w:tc>
                <w:tcPr/>
                <w:p>
                  <w:pPr>
                    <w:pStyle w:val="Compact"/>
                    <w:jc w:val="left"/>
                    <w:jc w:val="left"/>
                  </w:pPr>
                  <w:r>
                    <w:t xml:space="preserve">NA</w:t>
                  </w:r>
                </w:p>
              </w:tc>
              <w:tc>
                <w:tcPr/>
                <w:p>
                  <w:pPr>
                    <w:pStyle w:val="Compact"/>
                    <w:jc w:val="left"/>
                    <w:jc w:val="left"/>
                  </w:pPr>
                  <w:r>
                    <w:t xml:space="preserve">0.115</w:t>
                  </w:r>
                </w:p>
              </w:tc>
              <w:tc>
                <w:tcPr/>
                <w:p>
                  <w:pPr>
                    <w:pStyle w:val="Compact"/>
                    <w:jc w:val="left"/>
                    <w:jc w:val="left"/>
                  </w:pPr>
                  <w:r>
                    <w:t xml:space="preserve">2.198</w:t>
                  </w:r>
                </w:p>
              </w:tc>
            </w:tr>
            <w:tr>
              <w:tc>
                <w:tcPr/>
                <w:p>
                  <w:pPr>
                    <w:pStyle w:val="Compact"/>
                    <w:jc w:val="left"/>
                    <w:jc w:val="left"/>
                  </w:pPr>
                  <w:r>
                    <w:t xml:space="preserve">Aur-P2</w:t>
                  </w:r>
                </w:p>
              </w:tc>
              <w:tc>
                <w:tcPr/>
                <w:p>
                  <w:pPr>
                    <w:pStyle w:val="Compact"/>
                    <w:jc w:val="left"/>
                    <w:jc w:val="left"/>
                  </w:pPr>
                  <w:r>
                    <w:t xml:space="preserve">5</w:t>
                  </w:r>
                </w:p>
              </w:tc>
              <w:tc>
                <w:tcPr/>
                <w:p>
                  <w:pPr>
                    <w:pStyle w:val="Compact"/>
                    <w:jc w:val="left"/>
                    <w:jc w:val="left"/>
                  </w:pPr>
                  <w:r>
                    <w:t xml:space="preserve">3</w:t>
                  </w:r>
                </w:p>
              </w:tc>
              <w:tc>
                <w:tcPr/>
                <w:p>
                  <w:pPr>
                    <w:pStyle w:val="Compact"/>
                    <w:jc w:val="left"/>
                    <w:jc w:val="left"/>
                  </w:pPr>
                  <w:r>
                    <w:t xml:space="preserve">-0.266</w:t>
                  </w:r>
                </w:p>
              </w:tc>
              <w:tc>
                <w:tcPr/>
                <w:p>
                  <w:pPr>
                    <w:pStyle w:val="Compact"/>
                    <w:jc w:val="left"/>
                    <w:jc w:val="left"/>
                  </w:pPr>
                  <w:r>
                    <w:t xml:space="preserve">0.000</w:t>
                  </w:r>
                </w:p>
              </w:tc>
              <w:tc>
                <w:tcPr/>
                <w:p>
                  <w:pPr>
                    <w:pStyle w:val="Compact"/>
                    <w:jc w:val="left"/>
                    <w:jc w:val="left"/>
                  </w:pPr>
                  <w:r>
                    <w:t xml:space="preserve">1.160</w:t>
                  </w:r>
                </w:p>
              </w:tc>
            </w:tr>
            <w:tr>
              <w:tc>
                <w:tcPr/>
                <w:p>
                  <w:pPr>
                    <w:pStyle w:val="Compact"/>
                    <w:jc w:val="left"/>
                    <w:jc w:val="left"/>
                  </w:pPr>
                  <w:r>
                    <w:t xml:space="preserve">Aur-P1</w:t>
                  </w:r>
                </w:p>
              </w:tc>
              <w:tc>
                <w:tcPr/>
                <w:p>
                  <w:pPr>
                    <w:pStyle w:val="Compact"/>
                    <w:jc w:val="left"/>
                    <w:jc w:val="left"/>
                  </w:pPr>
                  <w:r>
                    <w:t xml:space="preserve">10</w:t>
                  </w:r>
                </w:p>
              </w:tc>
              <w:tc>
                <w:tcPr/>
                <w:p>
                  <w:pPr>
                    <w:pStyle w:val="Compact"/>
                    <w:jc w:val="left"/>
                    <w:jc w:val="left"/>
                  </w:pPr>
                  <w:r>
                    <w:t xml:space="preserve">7</w:t>
                  </w:r>
                </w:p>
              </w:tc>
              <w:tc>
                <w:tcPr/>
                <w:p>
                  <w:pPr>
                    <w:pStyle w:val="Compact"/>
                    <w:jc w:val="left"/>
                    <w:jc w:val="left"/>
                  </w:pPr>
                  <w:r>
                    <w:t xml:space="preserve">NA</w:t>
                  </w:r>
                </w:p>
              </w:tc>
              <w:tc>
                <w:tcPr/>
                <w:p>
                  <w:pPr>
                    <w:pStyle w:val="Compact"/>
                    <w:jc w:val="left"/>
                    <w:jc w:val="left"/>
                  </w:pPr>
                  <w:r>
                    <w:t xml:space="preserve">0.086</w:t>
                  </w:r>
                </w:p>
              </w:tc>
              <w:tc>
                <w:tcPr/>
                <w:p>
                  <w:pPr>
                    <w:pStyle w:val="Compact"/>
                    <w:jc w:val="left"/>
                    <w:jc w:val="left"/>
                  </w:pPr>
                  <w:r>
                    <w:t xml:space="preserve">1.990</w:t>
                  </w:r>
                </w:p>
              </w:tc>
            </w:tr>
            <w:tr>
              <w:tc>
                <w:tcPr/>
                <w:p>
                  <w:pPr>
                    <w:pStyle w:val="Compact"/>
                    <w:jc w:val="left"/>
                    <w:jc w:val="left"/>
                  </w:pPr>
                  <w:r>
                    <w:t xml:space="preserve">Aur-P2</w:t>
                  </w:r>
                </w:p>
              </w:tc>
              <w:tc>
                <w:tcPr/>
                <w:p>
                  <w:pPr>
                    <w:pStyle w:val="Compact"/>
                    <w:jc w:val="left"/>
                    <w:jc w:val="left"/>
                  </w:pPr>
                  <w:r>
                    <w:t xml:space="preserve">10</w:t>
                  </w:r>
                </w:p>
              </w:tc>
              <w:tc>
                <w:tcPr/>
                <w:p>
                  <w:pPr>
                    <w:pStyle w:val="Compact"/>
                    <w:jc w:val="left"/>
                    <w:jc w:val="left"/>
                  </w:pPr>
                  <w:r>
                    <w:t xml:space="preserve">3</w:t>
                  </w:r>
                </w:p>
              </w:tc>
              <w:tc>
                <w:tcPr/>
                <w:p>
                  <w:pPr>
                    <w:pStyle w:val="Compact"/>
                    <w:jc w:val="left"/>
                    <w:jc w:val="left"/>
                  </w:pPr>
                  <w:r>
                    <w:t xml:space="preserve">-0.500</w:t>
                  </w:r>
                </w:p>
              </w:tc>
              <w:tc>
                <w:tcPr/>
                <w:p>
                  <w:pPr>
                    <w:pStyle w:val="Compact"/>
                    <w:jc w:val="left"/>
                    <w:jc w:val="left"/>
                  </w:pPr>
                  <w:r>
                    <w:t xml:space="preserve">0.000</w:t>
                  </w:r>
                </w:p>
              </w:tc>
              <w:tc>
                <w:tcPr/>
                <w:p>
                  <w:pPr>
                    <w:pStyle w:val="Compact"/>
                    <w:jc w:val="left"/>
                    <w:jc w:val="left"/>
                  </w:pPr>
                  <w:r>
                    <w:t xml:space="preserve">1.032</w:t>
                  </w:r>
                </w:p>
              </w:tc>
            </w:tr>
          </w:tbl>
          <w:p>
            <w:pPr>
              <w:jc w:val="left"/>
            </w:pPr>
            <w:pPr>
              <w:jc w:val="start"/>
              <w:spacing w:before="200"/>
              <w:pStyle w:val="ImageCaption"/>
            </w:pPr>
            <w:r>
              <w:t xml:space="preserve">Table AU. Community-structure stability under object-level downsampling. For each phase and common count k: number of sites qualifying, mean Adjusted Rand Index (ARI) between the downsampled Louvain partition and the manual groups, mean network modularity, and mean number of Louvain communities detected.</w:t>
            </w:r>
          </w:p>
          <w:bookmarkEnd w:id="248"/>
        </w:tc>
      </w:tr>
    </w:tbl>
    <w:tbl>
      <w:tblPr>
        <w:tblStyle w:val="Table"/>
        <w:tblW w:type="pct" w:w="5000"/>
        <w:tblLook w:firstRow="0" w:lastRow="0" w:firstColumn="0" w:lastColumn="0" w:noHBand="0" w:noVBand="0" w:val="0000"/>
        <w:jc w:val="start"/>
        <w:tblLayout w:type="fixed"/>
      </w:tblPr>
      <w:tblGrid>
        <w:gridCol w:w="7920"/>
      </w:tblGrid>
      <w:tr>
        <w:tc>
          <w:tcPr/>
          <w:bookmarkStart w:id="252" w:name="fig-retention"/>
          <w:p>
            <w:pPr>
              <w:pStyle w:val="Compact"/>
              <w:jc w:val="left"/>
            </w:pPr>
            <w:r>
              <w:drawing>
                <wp:inline>
                  <wp:extent cx="5943600" cy="5943600"/>
                  <wp:effectExtent b="0" l="0" r="0" t="0"/>
                  <wp:docPr descr="" title="" id="250" name="Picture"/>
                  <a:graphic>
                    <a:graphicData uri="http://schemas.openxmlformats.org/drawingml/2006/picture">
                      <pic:pic>
                        <pic:nvPicPr>
                          <pic:cNvPr descr="S1_File_files/figure-docx/fig-retention-1.png" id="251" name="Picture"/>
                          <pic:cNvPicPr>
                            <a:picLocks noChangeArrowheads="1" noChangeAspect="1"/>
                          </pic:cNvPicPr>
                        </pic:nvPicPr>
                        <pic:blipFill>
                          <a:blip r:embed="rId249"/>
                          <a:stretch>
                            <a:fillRect/>
                          </a:stretch>
                        </pic:blipFill>
                        <pic:spPr bwMode="auto">
                          <a:xfrm>
                            <a:off x="0" y="0"/>
                            <a:ext cx="5943600" cy="5943600"/>
                          </a:xfrm>
                          <a:prstGeom prst="rect">
                            <a:avLst/>
                          </a:prstGeom>
                          <a:noFill/>
                          <a:ln w="9525">
                            <a:noFill/>
                            <a:headEnd/>
                            <a:tailEnd/>
                          </a:ln>
                        </pic:spPr>
                      </pic:pic>
                    </a:graphicData>
                  </a:graphic>
                </wp:inline>
              </w:drawing>
            </w:r>
          </w:p>
          <w:p>
            <w:pPr>
              <w:jc w:val="left"/>
            </w:pPr>
            <w:pPr>
              <w:jc w:val="start"/>
              <w:spacing w:before="200"/>
              <w:pStyle w:val="ImageCaption"/>
            </w:pPr>
            <w:r>
              <w:t xml:space="preserve">Fig O. Group-retention rate by site under object-level downsampling to k = 3, 5, 10 objects per site. Bars near 1 indicate assignments that survive downsampling; bars &lt;0.5 indicate assignments that are essentially random with respect to the manual grouping and therefore unstable.</w:t>
            </w:r>
          </w:p>
          <w:bookmarkEnd w:id="252"/>
        </w:tc>
      </w:tr>
    </w:tbl>
    <w:bookmarkEnd w:id="253"/>
    <w:bookmarkStart w:id="254" w:name="interpretation-20"/>
    <w:p>
      <w:pPr>
        <w:pStyle w:val="Heading3"/>
      </w:pPr>
      <w:r>
        <w:t xml:space="preserve">Interpretation</w:t>
      </w:r>
    </w:p>
    <w:p>
      <w:pPr>
        <w:pStyle w:val="FirstParagraph"/>
      </w:pPr>
      <w:r>
        <w:rPr>
          <w:bCs/>
          <w:b/>
        </w:rPr>
        <w:t xml:space="preserve">Question: does each site keep its group under object-level downsampling, and how stable is the community structure?</w:t>
      </w:r>
      <w:r>
        <w:t xml:space="preserve"> </w:t>
      </w:r>
      <w:r>
        <w:t xml:space="preserve">No. The assignment is stable only for the better-sampled sites. In Aur-P1 at k = 3, large broad-range sites such as Vogelherd (0.73), Hohle Fels (0.97), and La Ferrassie (0.92) retain their group in the large majority of replicates, whereas small restricted-range sites collapse: Gatzarria (0.16) and Grotte de la Verpillière I (0.15) keep their group little more often than chance. In Aur-P1 the mean ARI between the downsampled partition and the manual groups is low at k = 3 (0.19). At k = 5 and k = 10 the ARI cannot be computed: no restricted Aur-P1 site has more than 4 objects, so only broad-range sites qualify (</w:t>
      </w:r>
      <w:hyperlink w:anchor="tbl-retention">
        <w:r>
          <w:rPr>
            <w:rStyle w:val="Hyperlink"/>
          </w:rPr>
          <w:t xml:space="preserve">Table AT</w:t>
        </w:r>
      </w:hyperlink>
      <w:r>
        <w:t xml:space="preserve">). Mean modularity in Aur-P1 falls to 0.15, 0.11 and 0.09 at k = 3, 5 and 10. This is lower than at baseline (</w:t>
      </w:r>
      <w:hyperlink w:anchor="tbl-sens-stats">
        <w:r>
          <w:rPr>
            <w:rStyle w:val="Hyperlink"/>
          </w:rPr>
          <w:t xml:space="preserve">Table B</w:t>
        </w:r>
      </w:hyperlink>
      <w:r>
        <w:t xml:space="preserve">) but not near zero. In Aur-P2, mean modularity falls to near zero (0.009, 0 and 0). This reflects the fragmentation of the network when each site is represented by only a handful of objects.</w:t>
      </w:r>
    </w:p>
    <w:p>
      <w:pPr>
        <w:pStyle w:val="BodyText"/>
      </w:pPr>
      <w:r>
        <w:t xml:space="preserve">The same pattern holds in Aur-P2, where even fewer sites qualify at higher k and retention is correspondingly noisier.</w:t>
      </w:r>
      <w:r>
        <w:t xml:space="preserve"> </w:t>
      </w:r>
      <w:r>
        <w:rPr>
          <w:bCs/>
          <w:b/>
        </w:rPr>
        <w:t xml:space="preserve">Answer:</w:t>
      </w:r>
      <w:r>
        <w:t xml:space="preserve"> </w:t>
      </w:r>
      <w:r>
        <w:t xml:space="preserve">the R/B assignment of small-object sites is not robust to object-level downsampling; only the best-sampled sites retain their grouping, and the community structure as a whole loses coherence under downsampling. This shows that the division is, at least in part, a sampling-intensity effect rather than a fully stable cultural partition.</w:t>
      </w:r>
    </w:p>
    <w:bookmarkEnd w:id="254"/>
    <w:bookmarkEnd w:id="255"/>
    <w:bookmarkStart w:id="263" w:name="sec-s12-3"/>
    <w:p>
      <w:pPr>
        <w:pStyle w:val="Heading2"/>
      </w:pPr>
      <w:r>
        <w:t xml:space="preserve">S1.12.4 Coverage-based rarefaction</w:t>
      </w:r>
    </w:p>
    <w:bookmarkStart w:id="261" w:name="rationale-22"/>
    <w:p>
      <w:pPr>
        <w:pStyle w:val="Heading3"/>
      </w:pPr>
      <w:r>
        <w:t xml:space="preserve">Rationale</w:t>
      </w:r>
    </w:p>
    <w:p>
      <w:pPr>
        <w:pStyle w:val="FirstParagraph"/>
      </w:pPr>
      <w:r>
        <w:t xml:space="preserve">Equal object counts do not equalise</w:t>
      </w:r>
      <w:r>
        <w:t xml:space="preserve"> </w:t>
      </w:r>
      <w:r>
        <w:rPr>
          <w:iCs/>
          <w:i/>
        </w:rPr>
        <w:t xml:space="preserve">sampling effort</w:t>
      </w:r>
      <w:r>
        <w:t xml:space="preserve"> </w:t>
      </w:r>
      <w:r>
        <w:t xml:space="preserve">when sites differ in how concentrated their signs are. Our method is</w:t>
      </w:r>
      <w:r>
        <w:t xml:space="preserve"> </w:t>
      </w:r>
      <w:r>
        <w:rPr>
          <w:bCs/>
          <w:b/>
        </w:rPr>
        <w:t xml:space="preserve">coverage-based rarefaction</w:t>
      </w:r>
      <w:r>
        <w:t xml:space="preserve">: compare richness at equal</w:t>
      </w:r>
      <w:r>
        <w:t xml:space="preserve"> </w:t>
      </w:r>
      <w:r>
        <w:rPr>
          <w:iCs/>
          <w:i/>
        </w:rPr>
        <w:t xml:space="preserve">sample coverage</w:t>
      </w:r>
      <w:r>
        <w:t xml:space="preserve"> </w:t>
      </w:r>
      <w:r>
        <w:t xml:space="preserve">rather than equal object count</w:t>
      </w:r>
      <w:r>
        <w:t xml:space="preserve"> </w:t>
      </w:r>
      <w:r>
        <w:t xml:space="preserve">[24,25]</w:t>
      </w:r>
      <w:r>
        <w:t xml:space="preserve">. For each site we estimate its sign-type richness at a target coverage of 0.9 (a standard</w:t>
      </w:r>
      <w:r>
        <w:t xml:space="preserve"> </w:t>
      </w:r>
      <w:r>
        <w:t xml:space="preserve">“</w:t>
      </w:r>
      <w:r>
        <w:t xml:space="preserve">high coverage</w:t>
      </w:r>
      <w:r>
        <w:t xml:space="preserve">”</w:t>
      </w:r>
      <w:r>
        <w:t xml:space="preserve"> </w:t>
      </w:r>
      <w:r>
        <w:t xml:space="preserve">benchmark) with</w:t>
      </w:r>
      <w:r>
        <w:t xml:space="preserve"> </w:t>
      </w:r>
      <w:r>
        <w:rPr>
          <w:rStyle w:val="VerbatimChar"/>
        </w:rPr>
        <w:t xml:space="preserve">iNEXT::estimateD</w:t>
      </w:r>
      <w:r>
        <w:t xml:space="preserve"> </w:t>
      </w:r>
      <w:r>
        <w:t xml:space="preserve">on the site’s object-by-sign incidence matrix (</w:t>
      </w:r>
      <w:r>
        <w:rPr>
          <w:rStyle w:val="VerbatimChar"/>
        </w:rPr>
        <w:t xml:space="preserve">datatype = "incidence_raw"</w:t>
      </w:r>
      <w:r>
        <w:t xml:space="preserve">), which returns 95% confidence intervals from 200 bootstrap replicates</w:t>
      </w:r>
      <w:r>
        <w:t xml:space="preserve"> </w:t>
      </w:r>
      <w:r>
        <w:t xml:space="preserve">[26]</w:t>
      </w:r>
      <w:r>
        <w:t xml:space="preserve">. Sites with fewer than three objects, failed fits, or targets reachable only by extrapolating beyond twice the observed sample cannot be placed on a common coverage footing; for these we report Chao and Jost’s analytic incidence-coverage estimator with object-resampling bootstrap intervals and a Chao2 asymptotic-richness estimate as a fallback quantity, with the reason recorded per site. We then compare restricted and broad sites at that equal coverage.</w:t>
      </w:r>
    </w:p>
    <w:p>
      <w:pPr>
        <w:pStyle w:val="BodyText"/>
      </w:pPr>
      <w:r>
        <w:rPr>
          <w:bCs/>
          <w:b/>
        </w:rPr>
        <w:t xml:space="preserve">Question: at equal sample coverage, do restricted and broad sites still differ in sign-type richness?</w:t>
      </w:r>
    </w:p>
    <w:tbl>
      <w:tblPr>
        <w:tblStyle w:val="Table"/>
        <w:tblW w:type="pct" w:w="5000"/>
        <w:tblLook w:firstRow="0" w:lastRow="0" w:firstColumn="0" w:lastColumn="0" w:noHBand="0" w:noVBand="0" w:val="0000"/>
        <w:jc w:val="start"/>
        <w:tblLayout w:type="fixed"/>
      </w:tblPr>
      <w:tblGrid>
        <w:gridCol w:w="7920"/>
      </w:tblGrid>
      <w:tr>
        <w:tc>
          <w:tcPr/>
          <w:bookmarkStart w:id="256" w:name="tbl-rarefaction"/>
          <w:tbl>
            <w:tblPr>
              <w:tblStyle w:val="Table"/>
              <w:tblW w:type="pct" w:w="5000"/>
              <w:tblLook w:firstRow="1" w:lastRow="0" w:firstColumn="0" w:lastColumn="0" w:noHBand="0" w:noVBand="0" w:val="0020"/>
              <w:jc w:val="start"/>
              <w:tblLayout w:type="fixed"/>
            </w:tblPr>
            <w:tblGrid>
              <w:gridCol w:w="554"/>
              <w:gridCol w:w="1188"/>
              <w:gridCol w:w="554"/>
              <w:gridCol w:w="475"/>
              <w:gridCol w:w="554"/>
              <w:gridCol w:w="633"/>
              <w:gridCol w:w="475"/>
              <w:gridCol w:w="475"/>
              <w:gridCol w:w="633"/>
              <w:gridCol w:w="396"/>
              <w:gridCol w:w="396"/>
              <w:gridCol w:w="396"/>
              <w:gridCol w:w="1188"/>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Group</w:t>
                  </w:r>
                </w:p>
              </w:tc>
              <w:tc>
                <w:tcPr/>
                <w:p>
                  <w:pPr>
                    <w:pStyle w:val="Compact"/>
                    <w:jc w:val="left"/>
                    <w:jc w:val="left"/>
                  </w:pPr>
                  <w:r>
                    <w:t xml:space="preserve">Objects</w:t>
                  </w:r>
                </w:p>
              </w:tc>
              <w:tc>
                <w:tcPr/>
                <w:p>
                  <w:pPr>
                    <w:pStyle w:val="Compact"/>
                    <w:jc w:val="left"/>
                    <w:jc w:val="left"/>
                  </w:pPr>
                  <w:r>
                    <w:t xml:space="preserve">Richness (full)</w:t>
                  </w:r>
                </w:p>
              </w:tc>
              <w:tc>
                <w:tcPr/>
                <w:p>
                  <w:pPr>
                    <w:pStyle w:val="Compact"/>
                    <w:jc w:val="left"/>
                    <w:jc w:val="left"/>
                  </w:pPr>
                  <w:r>
                    <w:t xml:space="preserve">Coverage (Chao)</w:t>
                  </w:r>
                </w:p>
              </w:tc>
              <w:tc>
                <w:tcPr/>
                <w:p>
                  <w:pPr>
                    <w:pStyle w:val="Compact"/>
                    <w:jc w:val="left"/>
                    <w:jc w:val="left"/>
                  </w:pPr>
                  <w:r>
                    <w:t xml:space="preserve">Cov LCL</w:t>
                  </w:r>
                </w:p>
              </w:tc>
              <w:tc>
                <w:tcPr/>
                <w:p>
                  <w:pPr>
                    <w:pStyle w:val="Compact"/>
                    <w:jc w:val="left"/>
                    <w:jc w:val="left"/>
                  </w:pPr>
                  <w:r>
                    <w:t xml:space="preserve">Cov UCL</w:t>
                  </w:r>
                </w:p>
              </w:tc>
              <w:tc>
                <w:tcPr/>
                <w:p>
                  <w:pPr>
                    <w:pStyle w:val="Compact"/>
                    <w:jc w:val="left"/>
                    <w:jc w:val="left"/>
                  </w:pPr>
                  <w:r>
                    <w:t xml:space="preserve">Richness at 0.9 cov.</w:t>
                  </w:r>
                </w:p>
              </w:tc>
              <w:tc>
                <w:tcPr/>
                <w:p>
                  <w:pPr>
                    <w:pStyle w:val="Compact"/>
                    <w:jc w:val="left"/>
                    <w:jc w:val="left"/>
                  </w:pPr>
                  <w:r>
                    <w:t xml:space="preserve">Rt LCL</w:t>
                  </w:r>
                </w:p>
              </w:tc>
              <w:tc>
                <w:tcPr/>
                <w:p>
                  <w:pPr>
                    <w:pStyle w:val="Compact"/>
                    <w:jc w:val="left"/>
                    <w:jc w:val="left"/>
                  </w:pPr>
                  <w:r>
                    <w:t xml:space="preserve">Rt UCL</w:t>
                  </w:r>
                </w:p>
              </w:tc>
              <w:tc>
                <w:tcPr/>
                <w:p>
                  <w:pPr>
                    <w:pStyle w:val="Compact"/>
                    <w:jc w:val="left"/>
                    <w:jc w:val="left"/>
                  </w:pPr>
                  <w:r>
                    <w:t xml:space="preserve">Chao2</w:t>
                  </w:r>
                </w:p>
              </w:tc>
              <w:tc>
                <w:tcPr/>
                <w:p>
                  <w:pPr>
                    <w:pStyle w:val="Compact"/>
                    <w:jc w:val="left"/>
                    <w:jc w:val="left"/>
                  </w:pPr>
                  <w:r>
                    <w:t xml:space="preserve">Target method</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broad</w:t>
                  </w:r>
                </w:p>
              </w:tc>
              <w:tc>
                <w:tcPr/>
                <w:p>
                  <w:pPr>
                    <w:pStyle w:val="Compact"/>
                    <w:jc w:val="left"/>
                    <w:jc w:val="left"/>
                  </w:pPr>
                  <w:r>
                    <w:t xml:space="preserve">18</w:t>
                  </w:r>
                </w:p>
              </w:tc>
              <w:tc>
                <w:tcPr/>
                <w:p>
                  <w:pPr>
                    <w:pStyle w:val="Compact"/>
                    <w:jc w:val="left"/>
                    <w:jc w:val="left"/>
                  </w:pPr>
                  <w:r>
                    <w:t xml:space="preserve">9</w:t>
                  </w:r>
                </w:p>
              </w:tc>
              <w:tc>
                <w:tcPr/>
                <w:p>
                  <w:pPr>
                    <w:pStyle w:val="Compact"/>
                    <w:jc w:val="left"/>
                    <w:jc w:val="left"/>
                  </w:pPr>
                  <w:r>
                    <w:t xml:space="preserve">0.84</w:t>
                  </w:r>
                </w:p>
              </w:tc>
              <w:tc>
                <w:tcPr/>
                <w:p>
                  <w:pPr>
                    <w:pStyle w:val="Compact"/>
                    <w:jc w:val="left"/>
                    <w:jc w:val="left"/>
                  </w:pPr>
                  <w:r>
                    <w:t xml:space="preserve">0.78</w:t>
                  </w:r>
                </w:p>
              </w:tc>
              <w:tc>
                <w:tcPr/>
                <w:p>
                  <w:pPr>
                    <w:pStyle w:val="Compact"/>
                    <w:jc w:val="left"/>
                    <w:jc w:val="left"/>
                  </w:pPr>
                  <w:r>
                    <w:t xml:space="preserve">1</w:t>
                  </w:r>
                </w:p>
              </w:tc>
              <w:tc>
                <w:tcPr/>
                <w:p>
                  <w:pPr>
                    <w:pStyle w:val="Compact"/>
                    <w:jc w:val="left"/>
                    <w:jc w:val="left"/>
                  </w:pPr>
                  <w:r>
                    <w:t xml:space="preserve">8.83</w:t>
                  </w:r>
                </w:p>
              </w:tc>
              <w:tc>
                <w:tcPr/>
                <w:p>
                  <w:pPr>
                    <w:pStyle w:val="Compact"/>
                    <w:jc w:val="left"/>
                    <w:jc w:val="left"/>
                  </w:pPr>
                  <w:r>
                    <w:t xml:space="preserve">3.07</w:t>
                  </w:r>
                </w:p>
              </w:tc>
              <w:tc>
                <w:tcPr/>
                <w:p>
                  <w:pPr>
                    <w:pStyle w:val="Compact"/>
                    <w:jc w:val="left"/>
                    <w:jc w:val="left"/>
                  </w:pPr>
                  <w:r>
                    <w:t xml:space="preserve">14.60</w:t>
                  </w:r>
                </w:p>
              </w:tc>
              <w:tc>
                <w:tcPr/>
                <w:p>
                  <w:pPr>
                    <w:pStyle w:val="Compact"/>
                    <w:jc w:val="left"/>
                    <w:jc w:val="left"/>
                  </w:pPr>
                  <w:r>
                    <w:t xml:space="preserve">13.25</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broad</w:t>
                  </w:r>
                </w:p>
              </w:tc>
              <w:tc>
                <w:tcPr/>
                <w:p>
                  <w:pPr>
                    <w:pStyle w:val="Compact"/>
                    <w:jc w:val="left"/>
                    <w:jc w:val="left"/>
                  </w:pPr>
                  <w:r>
                    <w:t xml:space="preserve">22</w:t>
                  </w:r>
                </w:p>
              </w:tc>
              <w:tc>
                <w:tcPr/>
                <w:p>
                  <w:pPr>
                    <w:pStyle w:val="Compact"/>
                    <w:jc w:val="left"/>
                    <w:jc w:val="left"/>
                  </w:pPr>
                  <w:r>
                    <w:t xml:space="preserve">9</w:t>
                  </w:r>
                </w:p>
              </w:tc>
              <w:tc>
                <w:tcPr/>
                <w:p>
                  <w:pPr>
                    <w:pStyle w:val="Compact"/>
                    <w:jc w:val="left"/>
                    <w:jc w:val="left"/>
                  </w:pPr>
                  <w:r>
                    <w:t xml:space="preserve">0.82</w:t>
                  </w:r>
                </w:p>
              </w:tc>
              <w:tc>
                <w:tcPr/>
                <w:p>
                  <w:pPr>
                    <w:pStyle w:val="Compact"/>
                    <w:jc w:val="left"/>
                    <w:jc w:val="left"/>
                  </w:pPr>
                  <w:r>
                    <w:t xml:space="preserve">0.77</w:t>
                  </w:r>
                </w:p>
              </w:tc>
              <w:tc>
                <w:tcPr/>
                <w:p>
                  <w:pPr>
                    <w:pStyle w:val="Compact"/>
                    <w:jc w:val="left"/>
                    <w:jc w:val="left"/>
                  </w:pPr>
                  <w:r>
                    <w:t xml:space="preserve">1</w:t>
                  </w:r>
                </w:p>
              </w:tc>
              <w:tc>
                <w:tcPr/>
                <w:p>
                  <w:pPr>
                    <w:pStyle w:val="Compact"/>
                    <w:jc w:val="left"/>
                    <w:jc w:val="left"/>
                  </w:pPr>
                  <w:r>
                    <w:t xml:space="preserve">10.77</w:t>
                  </w:r>
                </w:p>
              </w:tc>
              <w:tc>
                <w:tcPr/>
                <w:p>
                  <w:pPr>
                    <w:pStyle w:val="Compact"/>
                    <w:jc w:val="left"/>
                    <w:jc w:val="left"/>
                  </w:pPr>
                  <w:r>
                    <w:t xml:space="preserve">1.70</w:t>
                  </w:r>
                </w:p>
              </w:tc>
              <w:tc>
                <w:tcPr/>
                <w:p>
                  <w:pPr>
                    <w:pStyle w:val="Compact"/>
                    <w:jc w:val="left"/>
                    <w:jc w:val="left"/>
                  </w:pPr>
                  <w:r>
                    <w:t xml:space="preserve">19.84</w:t>
                  </w:r>
                </w:p>
              </w:tc>
              <w:tc>
                <w:tcPr/>
                <w:p>
                  <w:pPr>
                    <w:pStyle w:val="Compact"/>
                    <w:jc w:val="left"/>
                    <w:jc w:val="left"/>
                  </w:pPr>
                  <w:r>
                    <w:t xml:space="preserve">16.64</w:t>
                  </w:r>
                </w:p>
              </w:tc>
              <w:tc>
                <w:tcPr/>
                <w:p>
                  <w:pPr>
                    <w:pStyle w:val="Compact"/>
                    <w:jc w:val="left"/>
                    <w:jc w:val="left"/>
                  </w:pPr>
                  <w:r>
                    <w:t xml:space="preserve">iNEXT incidence_raw (Extrapolation)</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broad</w:t>
                  </w:r>
                </w:p>
              </w:tc>
              <w:tc>
                <w:tcPr/>
                <w:p>
                  <w:pPr>
                    <w:pStyle w:val="Compact"/>
                    <w:jc w:val="left"/>
                    <w:jc w:val="left"/>
                  </w:pPr>
                  <w:r>
                    <w:t xml:space="preserve">20</w:t>
                  </w:r>
                </w:p>
              </w:tc>
              <w:tc>
                <w:tcPr/>
                <w:p>
                  <w:pPr>
                    <w:pStyle w:val="Compact"/>
                    <w:jc w:val="left"/>
                    <w:jc w:val="left"/>
                  </w:pPr>
                  <w:r>
                    <w:t xml:space="preserve">11</w:t>
                  </w:r>
                </w:p>
              </w:tc>
              <w:tc>
                <w:tcPr/>
                <w:p>
                  <w:pPr>
                    <w:pStyle w:val="Compact"/>
                    <w:jc w:val="left"/>
                    <w:jc w:val="left"/>
                  </w:pPr>
                  <w:r>
                    <w:t xml:space="preserve">0.91</w:t>
                  </w:r>
                </w:p>
              </w:tc>
              <w:tc>
                <w:tcPr/>
                <w:p>
                  <w:pPr>
                    <w:pStyle w:val="Compact"/>
                    <w:jc w:val="left"/>
                    <w:jc w:val="left"/>
                  </w:pPr>
                  <w:r>
                    <w:t xml:space="preserve">0.76</w:t>
                  </w:r>
                </w:p>
              </w:tc>
              <w:tc>
                <w:tcPr/>
                <w:p>
                  <w:pPr>
                    <w:pStyle w:val="Compact"/>
                    <w:jc w:val="left"/>
                    <w:jc w:val="left"/>
                  </w:pPr>
                  <w:r>
                    <w:t xml:space="preserve">1</w:t>
                  </w:r>
                </w:p>
              </w:tc>
              <w:tc>
                <w:tcPr/>
                <w:p>
                  <w:pPr>
                    <w:pStyle w:val="Compact"/>
                    <w:jc w:val="left"/>
                    <w:jc w:val="left"/>
                  </w:pPr>
                  <w:r>
                    <w:t xml:space="preserve">10.06</w:t>
                  </w:r>
                </w:p>
              </w:tc>
              <w:tc>
                <w:tcPr/>
                <w:p>
                  <w:pPr>
                    <w:pStyle w:val="Compact"/>
                    <w:jc w:val="left"/>
                    <w:jc w:val="left"/>
                  </w:pPr>
                  <w:r>
                    <w:t xml:space="preserve">7.35</w:t>
                  </w:r>
                </w:p>
              </w:tc>
              <w:tc>
                <w:tcPr/>
                <w:p>
                  <w:pPr>
                    <w:pStyle w:val="Compact"/>
                    <w:jc w:val="left"/>
                    <w:jc w:val="left"/>
                  </w:pPr>
                  <w:r>
                    <w:t xml:space="preserve">12.77</w:t>
                  </w:r>
                </w:p>
              </w:tc>
              <w:tc>
                <w:tcPr/>
                <w:p>
                  <w:pPr>
                    <w:pStyle w:val="Compact"/>
                    <w:jc w:val="left"/>
                    <w:jc w:val="left"/>
                  </w:pPr>
                  <w:r>
                    <w:t xml:space="preserve">11.63</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restricted</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0.83</w:t>
                  </w:r>
                </w:p>
              </w:tc>
              <w:tc>
                <w:tcPr/>
                <w:p>
                  <w:pPr>
                    <w:pStyle w:val="Compact"/>
                    <w:jc w:val="left"/>
                    <w:jc w:val="left"/>
                  </w:pPr>
                  <w:r>
                    <w:t xml:space="preserve">0.83</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2.25</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broad</w:t>
                  </w:r>
                </w:p>
              </w:tc>
              <w:tc>
                <w:tcPr/>
                <w:p>
                  <w:pPr>
                    <w:pStyle w:val="Compact"/>
                    <w:jc w:val="left"/>
                    <w:jc w:val="left"/>
                  </w:pPr>
                  <w:r>
                    <w:t xml:space="preserve">4</w:t>
                  </w:r>
                </w:p>
              </w:tc>
              <w:tc>
                <w:tcPr/>
                <w:p>
                  <w:pPr>
                    <w:pStyle w:val="Compact"/>
                    <w:jc w:val="left"/>
                    <w:jc w:val="left"/>
                  </w:pPr>
                  <w:r>
                    <w:t xml:space="preserve">6</w:t>
                  </w:r>
                </w:p>
              </w:tc>
              <w:tc>
                <w:tcPr/>
                <w:p>
                  <w:pPr>
                    <w:pStyle w:val="Compact"/>
                    <w:jc w:val="left"/>
                    <w:jc w:val="left"/>
                  </w:pPr>
                  <w:r>
                    <w:t xml:space="preserve">-0.10</w:t>
                  </w:r>
                </w:p>
              </w:tc>
              <w:tc>
                <w:tcPr/>
                <w:p>
                  <w:pPr>
                    <w:pStyle w:val="Compact"/>
                    <w:jc w:val="left"/>
                    <w:jc w:val="left"/>
                  </w:pPr>
                  <w:r>
                    <w:t xml:space="preserve">-0.10</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15.38</w:t>
                  </w:r>
                </w:p>
              </w:tc>
              <w:tc>
                <w:tcPr/>
                <w:p>
                  <w:pPr>
                    <w:pStyle w:val="Compact"/>
                    <w:jc w:val="left"/>
                    <w:jc w:val="left"/>
                  </w:pPr>
                  <w:r>
                    <w:t xml:space="preserve">target unreachable (extrapolation beyond 2x sample)</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restricted</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restricted</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broad</w:t>
                  </w:r>
                </w:p>
              </w:tc>
              <w:tc>
                <w:tcPr/>
                <w:p>
                  <w:pPr>
                    <w:pStyle w:val="Compact"/>
                    <w:jc w:val="left"/>
                    <w:jc w:val="left"/>
                  </w:pPr>
                  <w:r>
                    <w:t xml:space="preserve">7</w:t>
                  </w:r>
                </w:p>
              </w:tc>
              <w:tc>
                <w:tcPr/>
                <w:p>
                  <w:pPr>
                    <w:pStyle w:val="Compact"/>
                    <w:jc w:val="left"/>
                    <w:jc w:val="left"/>
                  </w:pPr>
                  <w:r>
                    <w:t xml:space="preserve">4</w:t>
                  </w:r>
                </w:p>
              </w:tc>
              <w:tc>
                <w:tcPr/>
                <w:p>
                  <w:pPr>
                    <w:pStyle w:val="Compact"/>
                    <w:jc w:val="left"/>
                    <w:jc w:val="left"/>
                  </w:pPr>
                  <w:r>
                    <w:t xml:space="preserve">0.57</w:t>
                  </w:r>
                </w:p>
              </w:tc>
              <w:tc>
                <w:tcPr/>
                <w:p>
                  <w:pPr>
                    <w:pStyle w:val="Compact"/>
                    <w:jc w:val="left"/>
                    <w:jc w:val="left"/>
                  </w:pPr>
                  <w:r>
                    <w:t xml:space="preserve">0.57</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6.57</w:t>
                  </w:r>
                </w:p>
              </w:tc>
              <w:tc>
                <w:tcPr/>
                <w:p>
                  <w:pPr>
                    <w:pStyle w:val="Compact"/>
                    <w:jc w:val="left"/>
                    <w:jc w:val="left"/>
                  </w:pPr>
                  <w:r>
                    <w:t xml:space="preserve">target unreachable (extrapolation beyond 2x sample)</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broad</w:t>
                  </w:r>
                </w:p>
              </w:tc>
              <w:tc>
                <w:tcPr/>
                <w:p>
                  <w:pPr>
                    <w:pStyle w:val="Compact"/>
                    <w:jc w:val="left"/>
                    <w:jc w:val="left"/>
                  </w:pPr>
                  <w:r>
                    <w:t xml:space="preserve">30</w:t>
                  </w:r>
                </w:p>
              </w:tc>
              <w:tc>
                <w:tcPr/>
                <w:p>
                  <w:pPr>
                    <w:pStyle w:val="Compact"/>
                    <w:jc w:val="left"/>
                    <w:jc w:val="left"/>
                  </w:pPr>
                  <w:r>
                    <w:t xml:space="preserve">11</w:t>
                  </w:r>
                </w:p>
              </w:tc>
              <w:tc>
                <w:tcPr/>
                <w:p>
                  <w:pPr>
                    <w:pStyle w:val="Compact"/>
                    <w:jc w:val="left"/>
                    <w:jc w:val="left"/>
                  </w:pPr>
                  <w:r>
                    <w:t xml:space="preserve">0.80</w:t>
                  </w:r>
                </w:p>
              </w:tc>
              <w:tc>
                <w:tcPr/>
                <w:p>
                  <w:pPr>
                    <w:pStyle w:val="Compact"/>
                    <w:jc w:val="left"/>
                    <w:jc w:val="left"/>
                  </w:pPr>
                  <w:r>
                    <w:t xml:space="preserve">0.77</w:t>
                  </w:r>
                </w:p>
              </w:tc>
              <w:tc>
                <w:tcPr/>
                <w:p>
                  <w:pPr>
                    <w:pStyle w:val="Compact"/>
                    <w:jc w:val="left"/>
                    <w:jc w:val="left"/>
                  </w:pPr>
                  <w:r>
                    <w:t xml:space="preserve">1</w:t>
                  </w:r>
                </w:p>
              </w:tc>
              <w:tc>
                <w:tcPr/>
                <w:p>
                  <w:pPr>
                    <w:pStyle w:val="Compact"/>
                    <w:jc w:val="left"/>
                    <w:jc w:val="left"/>
                  </w:pPr>
                  <w:r>
                    <w:t xml:space="preserve">15.79</w:t>
                  </w:r>
                </w:p>
              </w:tc>
              <w:tc>
                <w:tcPr/>
                <w:p>
                  <w:pPr>
                    <w:pStyle w:val="Compact"/>
                    <w:jc w:val="left"/>
                    <w:jc w:val="left"/>
                  </w:pPr>
                  <w:r>
                    <w:t xml:space="preserve">0.00</w:t>
                  </w:r>
                </w:p>
              </w:tc>
              <w:tc>
                <w:tcPr/>
                <w:p>
                  <w:pPr>
                    <w:pStyle w:val="Compact"/>
                    <w:jc w:val="left"/>
                    <w:jc w:val="left"/>
                  </w:pPr>
                  <w:r>
                    <w:t xml:space="preserve">33.53</w:t>
                  </w:r>
                </w:p>
              </w:tc>
              <w:tc>
                <w:tcPr/>
                <w:p>
                  <w:pPr>
                    <w:pStyle w:val="Compact"/>
                    <w:jc w:val="left"/>
                    <w:jc w:val="left"/>
                  </w:pPr>
                  <w:r>
                    <w:t xml:space="preserve">28.40</w:t>
                  </w:r>
                </w:p>
              </w:tc>
              <w:tc>
                <w:tcPr/>
                <w:p>
                  <w:pPr>
                    <w:pStyle w:val="Compact"/>
                    <w:jc w:val="left"/>
                    <w:jc w:val="left"/>
                  </w:pPr>
                  <w:r>
                    <w:t xml:space="preserve">iNEXT incidence_raw (Extrapolation)</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broad</w:t>
                  </w:r>
                </w:p>
              </w:tc>
              <w:tc>
                <w:tcPr/>
                <w:p>
                  <w:pPr>
                    <w:pStyle w:val="Compact"/>
                    <w:jc w:val="left"/>
                    <w:jc w:val="left"/>
                  </w:pPr>
                  <w:r>
                    <w:t xml:space="preserve">21</w:t>
                  </w:r>
                </w:p>
              </w:tc>
              <w:tc>
                <w:tcPr/>
                <w:p>
                  <w:pPr>
                    <w:pStyle w:val="Compact"/>
                    <w:jc w:val="left"/>
                    <w:jc w:val="left"/>
                  </w:pPr>
                  <w:r>
                    <w:t xml:space="preserve">6</w:t>
                  </w:r>
                </w:p>
              </w:tc>
              <w:tc>
                <w:tcPr/>
                <w:p>
                  <w:pPr>
                    <w:pStyle w:val="Compact"/>
                    <w:jc w:val="left"/>
                    <w:jc w:val="left"/>
                  </w:pPr>
                  <w:r>
                    <w:t xml:space="preserve">0.91</w:t>
                  </w:r>
                </w:p>
              </w:tc>
              <w:tc>
                <w:tcPr/>
                <w:p>
                  <w:pPr>
                    <w:pStyle w:val="Compact"/>
                    <w:jc w:val="left"/>
                    <w:jc w:val="left"/>
                  </w:pPr>
                  <w:r>
                    <w:t xml:space="preserve">0.86</w:t>
                  </w:r>
                </w:p>
              </w:tc>
              <w:tc>
                <w:tcPr/>
                <w:p>
                  <w:pPr>
                    <w:pStyle w:val="Compact"/>
                    <w:jc w:val="left"/>
                    <w:jc w:val="left"/>
                  </w:pPr>
                  <w:r>
                    <w:t xml:space="preserve">1</w:t>
                  </w:r>
                </w:p>
              </w:tc>
              <w:tc>
                <w:tcPr/>
                <w:p>
                  <w:pPr>
                    <w:pStyle w:val="Compact"/>
                    <w:jc w:val="left"/>
                    <w:jc w:val="left"/>
                  </w:pPr>
                  <w:r>
                    <w:t xml:space="preserve">5.43</w:t>
                  </w:r>
                </w:p>
              </w:tc>
              <w:tc>
                <w:tcPr/>
                <w:p>
                  <w:pPr>
                    <w:pStyle w:val="Compact"/>
                    <w:jc w:val="left"/>
                    <w:jc w:val="left"/>
                  </w:pPr>
                  <w:r>
                    <w:t xml:space="preserve">2.73</w:t>
                  </w:r>
                </w:p>
              </w:tc>
              <w:tc>
                <w:tcPr/>
                <w:p>
                  <w:pPr>
                    <w:pStyle w:val="Compact"/>
                    <w:jc w:val="left"/>
                    <w:jc w:val="left"/>
                  </w:pPr>
                  <w:r>
                    <w:t xml:space="preserve">8.13</w:t>
                  </w:r>
                </w:p>
              </w:tc>
              <w:tc>
                <w:tcPr/>
                <w:p>
                  <w:pPr>
                    <w:pStyle w:val="Compact"/>
                    <w:jc w:val="left"/>
                    <w:jc w:val="left"/>
                  </w:pPr>
                  <w:r>
                    <w:t xml:space="preserve">6.95</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broad</w:t>
                  </w:r>
                </w:p>
              </w:tc>
              <w:tc>
                <w:tcPr/>
                <w:p>
                  <w:pPr>
                    <w:pStyle w:val="Compact"/>
                    <w:jc w:val="left"/>
                    <w:jc w:val="left"/>
                  </w:pPr>
                  <w:r>
                    <w:t xml:space="preserve">28</w:t>
                  </w:r>
                </w:p>
              </w:tc>
              <w:tc>
                <w:tcPr/>
                <w:p>
                  <w:pPr>
                    <w:pStyle w:val="Compact"/>
                    <w:jc w:val="left"/>
                    <w:jc w:val="left"/>
                  </w:pPr>
                  <w:r>
                    <w:t xml:space="preserve">5</w:t>
                  </w:r>
                </w:p>
              </w:tc>
              <w:tc>
                <w:tcPr/>
                <w:p>
                  <w:pPr>
                    <w:pStyle w:val="Compact"/>
                    <w:jc w:val="left"/>
                    <w:jc w:val="left"/>
                  </w:pPr>
                  <w:r>
                    <w:t xml:space="preserve">1.00</w:t>
                  </w:r>
                </w:p>
              </w:tc>
              <w:tc>
                <w:tcPr/>
                <w:p>
                  <w:pPr>
                    <w:pStyle w:val="Compact"/>
                    <w:jc w:val="left"/>
                    <w:jc w:val="left"/>
                  </w:pPr>
                  <w:r>
                    <w:t xml:space="preserve">0.96</w:t>
                  </w:r>
                </w:p>
              </w:tc>
              <w:tc>
                <w:tcPr/>
                <w:p>
                  <w:pPr>
                    <w:pStyle w:val="Compact"/>
                    <w:jc w:val="left"/>
                    <w:jc w:val="left"/>
                  </w:pPr>
                  <w:r>
                    <w:t xml:space="preserve">1</w:t>
                  </w:r>
                </w:p>
              </w:tc>
              <w:tc>
                <w:tcPr/>
                <w:p>
                  <w:pPr>
                    <w:pStyle w:val="Compact"/>
                    <w:jc w:val="left"/>
                    <w:jc w:val="left"/>
                  </w:pPr>
                  <w:r>
                    <w:t xml:space="preserve">4.52</w:t>
                  </w:r>
                </w:p>
              </w:tc>
              <w:tc>
                <w:tcPr/>
                <w:p>
                  <w:pPr>
                    <w:pStyle w:val="Compact"/>
                    <w:jc w:val="left"/>
                    <w:jc w:val="left"/>
                  </w:pPr>
                  <w:r>
                    <w:t xml:space="preserve">4.21</w:t>
                  </w:r>
                </w:p>
              </w:tc>
              <w:tc>
                <w:tcPr/>
                <w:p>
                  <w:pPr>
                    <w:pStyle w:val="Compact"/>
                    <w:jc w:val="left"/>
                    <w:jc w:val="left"/>
                  </w:pPr>
                  <w:r>
                    <w:t xml:space="preserve">4.82</w:t>
                  </w:r>
                </w:p>
              </w:tc>
              <w:tc>
                <w:tcPr/>
                <w:p>
                  <w:pPr>
                    <w:pStyle w:val="Compact"/>
                    <w:jc w:val="left"/>
                    <w:jc w:val="left"/>
                  </w:pPr>
                  <w:r>
                    <w:t xml:space="preserve">5.00</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broad</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2.50</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broad</w:t>
                  </w:r>
                </w:p>
              </w:tc>
              <w:tc>
                <w:tcPr/>
                <w:p>
                  <w:pPr>
                    <w:pStyle w:val="Compact"/>
                    <w:jc w:val="left"/>
                    <w:jc w:val="left"/>
                  </w:pPr>
                  <w:r>
                    <w:t xml:space="preserve">173</w:t>
                  </w:r>
                </w:p>
              </w:tc>
              <w:tc>
                <w:tcPr/>
                <w:p>
                  <w:pPr>
                    <w:pStyle w:val="Compact"/>
                    <w:jc w:val="left"/>
                    <w:jc w:val="left"/>
                  </w:pPr>
                  <w:r>
                    <w:t xml:space="preserve">17</w:t>
                  </w:r>
                </w:p>
              </w:tc>
              <w:tc>
                <w:tcPr/>
                <w:p>
                  <w:pPr>
                    <w:pStyle w:val="Compact"/>
                    <w:jc w:val="left"/>
                    <w:jc w:val="left"/>
                  </w:pPr>
                  <w:r>
                    <w:t xml:space="preserve">0.98</w:t>
                  </w:r>
                </w:p>
              </w:tc>
              <w:tc>
                <w:tcPr/>
                <w:p>
                  <w:pPr>
                    <w:pStyle w:val="Compact"/>
                    <w:jc w:val="left"/>
                    <w:jc w:val="left"/>
                  </w:pPr>
                  <w:r>
                    <w:t xml:space="preserve">0.97</w:t>
                  </w:r>
                </w:p>
              </w:tc>
              <w:tc>
                <w:tcPr/>
                <w:p>
                  <w:pPr>
                    <w:pStyle w:val="Compact"/>
                    <w:jc w:val="left"/>
                    <w:jc w:val="left"/>
                  </w:pPr>
                  <w:r>
                    <w:t xml:space="preserve">1</w:t>
                  </w:r>
                </w:p>
              </w:tc>
              <w:tc>
                <w:tcPr/>
                <w:p>
                  <w:pPr>
                    <w:pStyle w:val="Compact"/>
                    <w:jc w:val="left"/>
                    <w:jc w:val="left"/>
                  </w:pPr>
                  <w:r>
                    <w:t xml:space="preserve">9.84</w:t>
                  </w:r>
                </w:p>
              </w:tc>
              <w:tc>
                <w:tcPr/>
                <w:p>
                  <w:pPr>
                    <w:pStyle w:val="Compact"/>
                    <w:jc w:val="left"/>
                    <w:jc w:val="left"/>
                  </w:pPr>
                  <w:r>
                    <w:t xml:space="preserve">8.28</w:t>
                  </w:r>
                </w:p>
              </w:tc>
              <w:tc>
                <w:tcPr/>
                <w:p>
                  <w:pPr>
                    <w:pStyle w:val="Compact"/>
                    <w:jc w:val="left"/>
                    <w:jc w:val="left"/>
                  </w:pPr>
                  <w:r>
                    <w:t xml:space="preserve">11.39</w:t>
                  </w:r>
                </w:p>
              </w:tc>
              <w:tc>
                <w:tcPr/>
                <w:p>
                  <w:pPr>
                    <w:pStyle w:val="Compact"/>
                    <w:jc w:val="left"/>
                    <w:jc w:val="left"/>
                  </w:pPr>
                  <w:r>
                    <w:t xml:space="preserve">18.12</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broad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2.00</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restricted</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0.67</w:t>
                  </w:r>
                </w:p>
              </w:tc>
              <w:tc>
                <w:tcPr/>
                <w:p>
                  <w:pPr>
                    <w:pStyle w:val="Compact"/>
                    <w:jc w:val="left"/>
                    <w:jc w:val="left"/>
                  </w:pPr>
                  <w:r>
                    <w:t xml:space="preserve">0.67</w:t>
                  </w:r>
                </w:p>
              </w:tc>
              <w:tc>
                <w:tcPr/>
                <w:p>
                  <w:pPr>
                    <w:pStyle w:val="Compact"/>
                    <w:jc w:val="left"/>
                    <w:jc w:val="left"/>
                  </w:pPr>
                  <w:r>
                    <w:t xml:space="preserve">1</w:t>
                  </w:r>
                </w:p>
              </w:tc>
              <w:tc>
                <w:tcPr/>
                <w:p>
                  <w:pPr>
                    <w:pStyle w:val="Compact"/>
                    <w:jc w:val="left"/>
                    <w:jc w:val="left"/>
                  </w:pPr>
                  <w:r>
                    <w:t xml:space="preserve">2.77</w:t>
                  </w:r>
                </w:p>
              </w:tc>
              <w:tc>
                <w:tcPr/>
                <w:p>
                  <w:pPr>
                    <w:pStyle w:val="Compact"/>
                    <w:jc w:val="left"/>
                    <w:jc w:val="left"/>
                  </w:pPr>
                  <w:r>
                    <w:t xml:space="preserve">2.05</w:t>
                  </w:r>
                </w:p>
              </w:tc>
              <w:tc>
                <w:tcPr/>
                <w:p>
                  <w:pPr>
                    <w:pStyle w:val="Compact"/>
                    <w:jc w:val="left"/>
                    <w:jc w:val="left"/>
                  </w:pPr>
                  <w:r>
                    <w:t xml:space="preserve">3.49</w:t>
                  </w:r>
                </w:p>
              </w:tc>
              <w:tc>
                <w:tcPr/>
                <w:p>
                  <w:pPr>
                    <w:pStyle w:val="Compact"/>
                    <w:jc w:val="left"/>
                    <w:jc w:val="left"/>
                  </w:pPr>
                  <w:r>
                    <w:t xml:space="preserve">3.00</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restricted</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restricted</w:t>
                  </w:r>
                </w:p>
              </w:tc>
              <w:tc>
                <w:tcPr/>
                <w:p>
                  <w:pPr>
                    <w:pStyle w:val="Compact"/>
                    <w:jc w:val="left"/>
                    <w:jc w:val="left"/>
                  </w:pPr>
                  <w:r>
                    <w:t xml:space="preserve">4</w:t>
                  </w:r>
                </w:p>
              </w:tc>
              <w:tc>
                <w:tcPr/>
                <w:p>
                  <w:pPr>
                    <w:pStyle w:val="Compact"/>
                    <w:jc w:val="left"/>
                    <w:jc w:val="left"/>
                  </w:pPr>
                  <w:r>
                    <w:t xml:space="preserve">2</w:t>
                  </w:r>
                </w:p>
              </w:tc>
              <w:tc>
                <w:tcPr/>
                <w:p>
                  <w:pPr>
                    <w:pStyle w:val="Compact"/>
                    <w:jc w:val="left"/>
                    <w:jc w:val="left"/>
                  </w:pPr>
                  <w:r>
                    <w:t xml:space="preserve">0.75</w:t>
                  </w:r>
                </w:p>
              </w:tc>
              <w:tc>
                <w:tcPr/>
                <w:p>
                  <w:pPr>
                    <w:pStyle w:val="Compact"/>
                    <w:jc w:val="left"/>
                    <w:jc w:val="left"/>
                  </w:pPr>
                  <w:r>
                    <w:t xml:space="preserve">0.75</w:t>
                  </w:r>
                </w:p>
              </w:tc>
              <w:tc>
                <w:tcPr/>
                <w:p>
                  <w:pPr>
                    <w:pStyle w:val="Compact"/>
                    <w:jc w:val="left"/>
                    <w:jc w:val="left"/>
                  </w:pPr>
                  <w:r>
                    <w:t xml:space="preserve">1</w:t>
                  </w:r>
                </w:p>
              </w:tc>
              <w:tc>
                <w:tcPr/>
                <w:p>
                  <w:pPr>
                    <w:pStyle w:val="Compact"/>
                    <w:jc w:val="left"/>
                    <w:jc w:val="left"/>
                  </w:pPr>
                  <w:r>
                    <w:t xml:space="preserve">1.90</w:t>
                  </w:r>
                </w:p>
              </w:tc>
              <w:tc>
                <w:tcPr/>
                <w:p>
                  <w:pPr>
                    <w:pStyle w:val="Compact"/>
                    <w:jc w:val="left"/>
                    <w:jc w:val="left"/>
                  </w:pPr>
                  <w:r>
                    <w:t xml:space="preserve">1.00</w:t>
                  </w:r>
                </w:p>
              </w:tc>
              <w:tc>
                <w:tcPr/>
                <w:p>
                  <w:pPr>
                    <w:pStyle w:val="Compact"/>
                    <w:jc w:val="left"/>
                    <w:jc w:val="left"/>
                  </w:pPr>
                  <w:r>
                    <w:t xml:space="preserve">2.80</w:t>
                  </w:r>
                </w:p>
              </w:tc>
              <w:tc>
                <w:tcPr/>
                <w:p>
                  <w:pPr>
                    <w:pStyle w:val="Compact"/>
                    <w:jc w:val="left"/>
                    <w:jc w:val="left"/>
                  </w:pPr>
                  <w:r>
                    <w:t xml:space="preserve">2.00</w:t>
                  </w:r>
                </w:p>
              </w:tc>
              <w:tc>
                <w:tcPr/>
                <w:p>
                  <w:pPr>
                    <w:pStyle w:val="Compact"/>
                    <w:jc w:val="left"/>
                    <w:jc w:val="left"/>
                  </w:pPr>
                  <w:r>
                    <w:t xml:space="preserve">iNEXT incidence_raw (Rarefaction)</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broad</w:t>
                  </w:r>
                </w:p>
              </w:tc>
              <w:tc>
                <w:tcPr/>
                <w:p>
                  <w:pPr>
                    <w:pStyle w:val="Compact"/>
                    <w:jc w:val="left"/>
                    <w:jc w:val="left"/>
                  </w:pPr>
                  <w:r>
                    <w:t xml:space="preserve">29</w:t>
                  </w:r>
                </w:p>
              </w:tc>
              <w:tc>
                <w:tcPr/>
                <w:p>
                  <w:pPr>
                    <w:pStyle w:val="Compact"/>
                    <w:jc w:val="left"/>
                    <w:jc w:val="left"/>
                  </w:pPr>
                  <w:r>
                    <w:t xml:space="preserve">10</w:t>
                  </w:r>
                </w:p>
              </w:tc>
              <w:tc>
                <w:tcPr/>
                <w:p>
                  <w:pPr>
                    <w:pStyle w:val="Compact"/>
                    <w:jc w:val="left"/>
                    <w:jc w:val="left"/>
                  </w:pPr>
                  <w:r>
                    <w:t xml:space="preserve">0.90</w:t>
                  </w:r>
                </w:p>
              </w:tc>
              <w:tc>
                <w:tcPr/>
                <w:p>
                  <w:pPr>
                    <w:pStyle w:val="Compact"/>
                    <w:jc w:val="left"/>
                    <w:jc w:val="left"/>
                  </w:pPr>
                  <w:r>
                    <w:t xml:space="preserve">0.86</w:t>
                  </w:r>
                </w:p>
              </w:tc>
              <w:tc>
                <w:tcPr/>
                <w:p>
                  <w:pPr>
                    <w:pStyle w:val="Compact"/>
                    <w:jc w:val="left"/>
                    <w:jc w:val="left"/>
                  </w:pPr>
                  <w:r>
                    <w:t xml:space="preserve">1</w:t>
                  </w:r>
                </w:p>
              </w:tc>
              <w:tc>
                <w:tcPr/>
                <w:p>
                  <w:pPr>
                    <w:pStyle w:val="Compact"/>
                    <w:jc w:val="left"/>
                    <w:jc w:val="left"/>
                  </w:pPr>
                  <w:r>
                    <w:t xml:space="preserve">8.95</w:t>
                  </w:r>
                </w:p>
              </w:tc>
              <w:tc>
                <w:tcPr/>
                <w:p>
                  <w:pPr>
                    <w:pStyle w:val="Compact"/>
                    <w:jc w:val="left"/>
                    <w:jc w:val="left"/>
                  </w:pPr>
                  <w:r>
                    <w:t xml:space="preserve">4.60</w:t>
                  </w:r>
                </w:p>
              </w:tc>
              <w:tc>
                <w:tcPr/>
                <w:p>
                  <w:pPr>
                    <w:pStyle w:val="Compact"/>
                    <w:jc w:val="left"/>
                    <w:jc w:val="left"/>
                  </w:pPr>
                  <w:r>
                    <w:t xml:space="preserve">13.31</w:t>
                  </w:r>
                </w:p>
              </w:tc>
              <w:tc>
                <w:tcPr/>
                <w:p>
                  <w:pPr>
                    <w:pStyle w:val="Compact"/>
                    <w:jc w:val="left"/>
                    <w:jc w:val="left"/>
                  </w:pPr>
                  <w:r>
                    <w:t xml:space="preserve">12.17</w:t>
                  </w:r>
                </w:p>
              </w:tc>
              <w:tc>
                <w:tcPr/>
                <w:p>
                  <w:pPr>
                    <w:pStyle w:val="Compact"/>
                    <w:jc w:val="left"/>
                    <w:jc w:val="left"/>
                  </w:pPr>
                  <w:r>
                    <w:t xml:space="preserve">iNEXT incidence_raw (Rarefaction)</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restricted</w:t>
                  </w:r>
                </w:p>
              </w:tc>
              <w:tc>
                <w:tcPr/>
                <w:p>
                  <w:pPr>
                    <w:pStyle w:val="Compact"/>
                    <w:jc w:val="left"/>
                    <w:jc w:val="left"/>
                  </w:pPr>
                  <w:r>
                    <w:t xml:space="preserve">4</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0.75</w:t>
                  </w:r>
                </w:p>
              </w:tc>
              <w:tc>
                <w:tcPr/>
                <w:p>
                  <w:pPr>
                    <w:pStyle w:val="Compact"/>
                    <w:jc w:val="left"/>
                    <w:jc w:val="left"/>
                  </w:pPr>
                  <w:r>
                    <w:t xml:space="preserve">1</w:t>
                  </w:r>
                </w:p>
              </w:tc>
              <w:tc>
                <w:tcPr/>
                <w:p>
                  <w:pPr>
                    <w:pStyle w:val="Compact"/>
                    <w:jc w:val="left"/>
                    <w:jc w:val="left"/>
                  </w:pPr>
                  <w:r>
                    <w:t xml:space="preserve">1.85</w:t>
                  </w:r>
                </w:p>
              </w:tc>
              <w:tc>
                <w:tcPr/>
                <w:p>
                  <w:pPr>
                    <w:pStyle w:val="Compact"/>
                    <w:jc w:val="left"/>
                    <w:jc w:val="left"/>
                  </w:pPr>
                  <w:r>
                    <w:t xml:space="preserve">1.44</w:t>
                  </w:r>
                </w:p>
              </w:tc>
              <w:tc>
                <w:tcPr/>
                <w:p>
                  <w:pPr>
                    <w:pStyle w:val="Compact"/>
                    <w:jc w:val="left"/>
                    <w:jc w:val="left"/>
                  </w:pPr>
                  <w:r>
                    <w:t xml:space="preserve">2.26</w:t>
                  </w:r>
                </w:p>
              </w:tc>
              <w:tc>
                <w:tcPr/>
                <w:p>
                  <w:pPr>
                    <w:pStyle w:val="Compact"/>
                    <w:jc w:val="left"/>
                    <w:jc w:val="left"/>
                  </w:pPr>
                  <w:r>
                    <w:t xml:space="preserve">2.00</w:t>
                  </w:r>
                </w:p>
              </w:tc>
              <w:tc>
                <w:tcPr/>
                <w:p>
                  <w:pPr>
                    <w:pStyle w:val="Compact"/>
                    <w:jc w:val="left"/>
                    <w:jc w:val="left"/>
                  </w:pPr>
                  <w:r>
                    <w:t xml:space="preserve">iNEXT incidence_raw (Rarefaction)</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broad</w:t>
                  </w:r>
                </w:p>
              </w:tc>
              <w:tc>
                <w:tcPr/>
                <w:p>
                  <w:pPr>
                    <w:pStyle w:val="Compact"/>
                    <w:jc w:val="left"/>
                    <w:jc w:val="left"/>
                  </w:pPr>
                  <w:r>
                    <w:t xml:space="preserve">3</w:t>
                  </w:r>
                </w:p>
              </w:tc>
              <w:tc>
                <w:tcPr/>
                <w:p>
                  <w:pPr>
                    <w:pStyle w:val="Compact"/>
                    <w:jc w:val="left"/>
                    <w:jc w:val="left"/>
                  </w:pPr>
                  <w:r>
                    <w:t xml:space="preserve">5</w:t>
                  </w:r>
                </w:p>
              </w:tc>
              <w:tc>
                <w:tcPr/>
                <w:p>
                  <w:pPr>
                    <w:pStyle w:val="Compact"/>
                    <w:jc w:val="left"/>
                    <w:jc w:val="left"/>
                  </w:pPr>
                  <w:r>
                    <w:t xml:space="preserve">-0.67</w:t>
                  </w:r>
                </w:p>
              </w:tc>
              <w:tc>
                <w:tcPr/>
                <w:p>
                  <w:pPr>
                    <w:pStyle w:val="Compact"/>
                    <w:jc w:val="left"/>
                    <w:jc w:val="left"/>
                  </w:pPr>
                  <w:r>
                    <w:t xml:space="preserve">-0.67</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11.67</w:t>
                  </w:r>
                </w:p>
              </w:tc>
              <w:tc>
                <w:tcPr/>
                <w:p>
                  <w:pPr>
                    <w:pStyle w:val="Compact"/>
                    <w:jc w:val="left"/>
                    <w:jc w:val="left"/>
                  </w:pPr>
                  <w:r>
                    <w:t xml:space="preserve">target unreachable (extrapolation beyond 2x sample)</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restricted</w:t>
                  </w:r>
                </w:p>
              </w:tc>
              <w:tc>
                <w:tcPr/>
                <w:p>
                  <w:pPr>
                    <w:pStyle w:val="Compact"/>
                    <w:jc w:val="left"/>
                    <w:jc w:val="left"/>
                  </w:pPr>
                  <w:r>
                    <w:t xml:space="preserve">11</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0.91</w:t>
                  </w:r>
                </w:p>
              </w:tc>
              <w:tc>
                <w:tcPr/>
                <w:p>
                  <w:pPr>
                    <w:pStyle w:val="Compact"/>
                    <w:jc w:val="left"/>
                    <w:jc w:val="left"/>
                  </w:pPr>
                  <w:r>
                    <w:t xml:space="preserve">1</w:t>
                  </w:r>
                </w:p>
              </w:tc>
              <w:tc>
                <w:tcPr/>
                <w:p>
                  <w:pPr>
                    <w:pStyle w:val="Compact"/>
                    <w:jc w:val="left"/>
                    <w:jc w:val="left"/>
                  </w:pPr>
                  <w:r>
                    <w:t xml:space="preserve">1.76</w:t>
                  </w:r>
                </w:p>
              </w:tc>
              <w:tc>
                <w:tcPr/>
                <w:p>
                  <w:pPr>
                    <w:pStyle w:val="Compact"/>
                    <w:jc w:val="left"/>
                    <w:jc w:val="left"/>
                  </w:pPr>
                  <w:r>
                    <w:t xml:space="preserve">1.57</w:t>
                  </w:r>
                </w:p>
              </w:tc>
              <w:tc>
                <w:tcPr/>
                <w:p>
                  <w:pPr>
                    <w:pStyle w:val="Compact"/>
                    <w:jc w:val="left"/>
                    <w:jc w:val="left"/>
                  </w:pPr>
                  <w:r>
                    <w:t xml:space="preserve">1.95</w:t>
                  </w:r>
                </w:p>
              </w:tc>
              <w:tc>
                <w:tcPr/>
                <w:p>
                  <w:pPr>
                    <w:pStyle w:val="Compact"/>
                    <w:jc w:val="left"/>
                    <w:jc w:val="left"/>
                  </w:pPr>
                  <w:r>
                    <w:t xml:space="preserve">2.00</w:t>
                  </w:r>
                </w:p>
              </w:tc>
              <w:tc>
                <w:tcPr/>
                <w:p>
                  <w:pPr>
                    <w:pStyle w:val="Compact"/>
                    <w:jc w:val="left"/>
                    <w:jc w:val="left"/>
                  </w:pPr>
                  <w:r>
                    <w:t xml:space="preserve">iNEXT incidence_raw (Rarefaction)</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2.00</w:t>
                  </w:r>
                </w:p>
              </w:tc>
              <w:tc>
                <w:tcPr/>
                <w:p>
                  <w:pPr>
                    <w:pStyle w:val="Compact"/>
                    <w:jc w:val="left"/>
                    <w:jc w:val="left"/>
                  </w:pPr>
                  <w:r>
                    <w:t xml:space="preserve">n &lt; 3: Chao fallback only</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broad</w:t>
                  </w:r>
                </w:p>
              </w:tc>
              <w:tc>
                <w:tcPr/>
                <w:p>
                  <w:pPr>
                    <w:pStyle w:val="Compact"/>
                    <w:jc w:val="left"/>
                    <w:jc w:val="left"/>
                  </w:pPr>
                  <w:r>
                    <w:t xml:space="preserve">12</w:t>
                  </w:r>
                </w:p>
              </w:tc>
              <w:tc>
                <w:tcPr/>
                <w:p>
                  <w:pPr>
                    <w:pStyle w:val="Compact"/>
                    <w:jc w:val="left"/>
                    <w:jc w:val="left"/>
                  </w:pPr>
                  <w:r>
                    <w:t xml:space="preserve">8</w:t>
                  </w:r>
                </w:p>
              </w:tc>
              <w:tc>
                <w:tcPr/>
                <w:p>
                  <w:pPr>
                    <w:pStyle w:val="Compact"/>
                    <w:jc w:val="left"/>
                    <w:jc w:val="left"/>
                  </w:pPr>
                  <w:r>
                    <w:t xml:space="preserve">0.69</w:t>
                  </w:r>
                </w:p>
              </w:tc>
              <w:tc>
                <w:tcPr/>
                <w:p>
                  <w:pPr>
                    <w:pStyle w:val="Compact"/>
                    <w:jc w:val="left"/>
                    <w:jc w:val="left"/>
                  </w:pPr>
                  <w:r>
                    <w:t xml:space="preserve">0.60</w:t>
                  </w:r>
                </w:p>
              </w:tc>
              <w:tc>
                <w:tcPr/>
                <w:p>
                  <w:pPr>
                    <w:pStyle w:val="Compact"/>
                    <w:jc w:val="left"/>
                    <w:jc w:val="left"/>
                  </w:pPr>
                  <w:r>
                    <w:t xml:space="preserve">1</w:t>
                  </w:r>
                </w:p>
              </w:tc>
              <w:tc>
                <w:tcPr/>
                <w:p>
                  <w:pPr>
                    <w:pStyle w:val="Compact"/>
                    <w:jc w:val="left"/>
                    <w:jc w:val="left"/>
                  </w:pPr>
                  <w:r>
                    <w:t xml:space="preserve">9.57</w:t>
                  </w:r>
                </w:p>
              </w:tc>
              <w:tc>
                <w:tcPr/>
                <w:p>
                  <w:pPr>
                    <w:pStyle w:val="Compact"/>
                    <w:jc w:val="left"/>
                    <w:jc w:val="left"/>
                  </w:pPr>
                  <w:r>
                    <w:t xml:space="preserve">2.09</w:t>
                  </w:r>
                </w:p>
              </w:tc>
              <w:tc>
                <w:tcPr/>
                <w:p>
                  <w:pPr>
                    <w:pStyle w:val="Compact"/>
                    <w:jc w:val="left"/>
                    <w:jc w:val="left"/>
                  </w:pPr>
                  <w:r>
                    <w:t xml:space="preserve">17.05</w:t>
                  </w:r>
                </w:p>
              </w:tc>
              <w:tc>
                <w:tcPr/>
                <w:p>
                  <w:pPr>
                    <w:pStyle w:val="Compact"/>
                    <w:jc w:val="left"/>
                    <w:jc w:val="left"/>
                  </w:pPr>
                  <w:r>
                    <w:t xml:space="preserve">11.67</w:t>
                  </w:r>
                </w:p>
              </w:tc>
              <w:tc>
                <w:tcPr/>
                <w:p>
                  <w:pPr>
                    <w:pStyle w:val="Compact"/>
                    <w:jc w:val="left"/>
                    <w:jc w:val="left"/>
                  </w:pPr>
                  <w:r>
                    <w:t xml:space="preserve">iNEXT incidence_raw (Extrapolation)</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bl>
          <w:p>
            <w:pPr>
              <w:jc w:val="left"/>
            </w:pPr>
            <w:pPr>
              <w:jc w:val="start"/>
              <w:spacing w:before="200"/>
              <w:pStyle w:val="ImageCaption"/>
            </w:pPr>
            <w:r>
              <w:t xml:space="preserve">Table AV. Coverage-based rarefaction per site. richness_full is the observed number of sign types; coverage_chao is Chao and Jost’s analytic sample-coverage estimate at the full sample with 95% bootstrap interval; richness_at_target is the iNEXT incidence_raw richness estimate at target coverage = 0.9 with 95% interval. Sites that never reach the target coverage are reported as NA with the reason in at_target_method, and carry a Chao2 asymptotic-richness estimate with interval as a fallback quantity.</w:t>
            </w:r>
          </w:p>
          <w:bookmarkEnd w:id="256"/>
        </w:tc>
      </w:tr>
    </w:tbl>
    <w:tbl>
      <w:tblPr>
        <w:tblStyle w:val="Table"/>
        <w:tblW w:type="pct" w:w="5000"/>
        <w:tblLook w:firstRow="0" w:lastRow="0" w:firstColumn="0" w:lastColumn="0" w:noHBand="0" w:noVBand="0" w:val="0000"/>
        <w:jc w:val="start"/>
        <w:tblLayout w:type="fixed"/>
      </w:tblPr>
      <w:tblGrid>
        <w:gridCol w:w="7920"/>
      </w:tblGrid>
      <w:tr>
        <w:tc>
          <w:tcPr/>
          <w:bookmarkStart w:id="260" w:name="fig-rarefaction"/>
          <w:p>
            <w:pPr>
              <w:pStyle w:val="Compact"/>
              <w:jc w:val="left"/>
            </w:pPr>
            <w:r>
              <w:drawing>
                <wp:inline>
                  <wp:extent cx="5943600" cy="3396342"/>
                  <wp:effectExtent b="0" l="0" r="0" t="0"/>
                  <wp:docPr descr="" title="" id="258" name="Picture"/>
                  <a:graphic>
                    <a:graphicData uri="http://schemas.openxmlformats.org/drawingml/2006/picture">
                      <pic:pic>
                        <pic:nvPicPr>
                          <pic:cNvPr descr="S1_File_files/figure-docx/fig-rarefaction-1.png" id="259" name="Picture"/>
                          <pic:cNvPicPr>
                            <a:picLocks noChangeArrowheads="1" noChangeAspect="1"/>
                          </pic:cNvPicPr>
                        </pic:nvPicPr>
                        <pic:blipFill>
                          <a:blip r:embed="rId257"/>
                          <a:stretch>
                            <a:fillRect/>
                          </a:stretch>
                        </pic:blipFill>
                        <pic:spPr bwMode="auto">
                          <a:xfrm>
                            <a:off x="0" y="0"/>
                            <a:ext cx="5943600" cy="3396342"/>
                          </a:xfrm>
                          <a:prstGeom prst="rect">
                            <a:avLst/>
                          </a:prstGeom>
                          <a:noFill/>
                          <a:ln w="9525">
                            <a:noFill/>
                            <a:headEnd/>
                            <a:tailEnd/>
                          </a:ln>
                        </pic:spPr>
                      </pic:pic>
                    </a:graphicData>
                  </a:graphic>
                </wp:inline>
              </w:drawing>
            </w:r>
          </w:p>
          <w:p>
            <w:pPr>
              <w:jc w:val="left"/>
            </w:pPr>
            <w:pPr>
              <w:jc w:val="start"/>
              <w:spacing w:before="200"/>
              <w:pStyle w:val="ImageCaption"/>
            </w:pPr>
            <w:r>
              <w:t xml:space="preserve">Fig P. Sign-type richness estimated at target coverage = 0.9 with 95% confidence intervals, by manual group, for sites that reach that coverage. Restricted sites (orange) that attain high coverage remain low-richness; broad sites (blue) remain high-richness.</w:t>
            </w:r>
          </w:p>
          <w:bookmarkEnd w:id="260"/>
        </w:tc>
      </w:tr>
    </w:tbl>
    <w:bookmarkEnd w:id="261"/>
    <w:bookmarkStart w:id="262" w:name="interpretation-21"/>
    <w:p>
      <w:pPr>
        <w:pStyle w:val="Heading3"/>
      </w:pPr>
      <w:r>
        <w:t xml:space="preserve">Interpretation</w:t>
      </w:r>
    </w:p>
    <w:p>
      <w:pPr>
        <w:pStyle w:val="FirstParagraph"/>
      </w:pPr>
      <w:r>
        <w:rPr>
          <w:bCs/>
          <w:b/>
        </w:rPr>
        <w:t xml:space="preserve">Question: at equal sample coverage, do restricted and broad sites still differ in sign-type richness?</w:t>
      </w:r>
      <w:r>
        <w:t xml:space="preserve"> </w:t>
      </w:r>
      <w:r>
        <w:t xml:space="preserve">Only a subset of sites can be assessed. In Aur-P1, 11 of 20 sites reach coverage 0.9; in Aur-P2 only 4 of 9 do. Among the Aur-P1 sites that do reach the target, restricted sites remain low-richness (mean 1.67 sign types) while broad sites remain high-richness (mean 9.32), a difference that persists at equal coverage (Wilcoxon p = 0.006). For Aur-P2 only 4 of 9 sites reach the target (2 broad, 2 restricted), too few for a reliable group comparison (Wilcoxon p = 0.333).</w:t>
      </w:r>
    </w:p>
    <w:p>
      <w:pPr>
        <w:pStyle w:val="BodyText"/>
      </w:pPr>
      <w:r>
        <w:rPr>
          <w:bCs/>
          <w:b/>
        </w:rPr>
        <w:t xml:space="preserve">Answer:</w:t>
      </w:r>
      <w:r>
        <w:t xml:space="preserve"> </w:t>
      </w:r>
      <w:r>
        <w:t xml:space="preserve">at equal coverage the broad/restricted richness contrast is preserved</w:t>
      </w:r>
      <w:r>
        <w:t xml:space="preserve"> </w:t>
      </w:r>
      <w:r>
        <w:rPr>
          <w:iCs/>
          <w:i/>
        </w:rPr>
        <w:t xml:space="preserve">among the sites that can be evaluated</w:t>
      </w:r>
      <w:r>
        <w:t xml:space="preserve"> </w:t>
      </w:r>
      <w:r>
        <w:t xml:space="preserve">— it is not removed by standardising on completeness — but the majority of the smallest sites never attain the target coverage and therefore cannot be placed on a common coverage footing at all. Coverage-based rarefaction is consequently unreliable for the smallest assemblages: it can compare well-sampled sites, but it cannot rescue the assignment of sites with only one or two objects, for which the table reports Chao coverage and Chao2 fallback quantities instead. This is the same limitation encountered in</w:t>
      </w:r>
      <w:r>
        <w:t xml:space="preserve"> </w:t>
      </w:r>
      <w:r>
        <w:t xml:space="preserve">Section S1.12.3</w:t>
      </w:r>
      <w:r>
        <w:t xml:space="preserve">, approached from the richness axis.</w:t>
      </w:r>
    </w:p>
    <w:bookmarkEnd w:id="262"/>
    <w:bookmarkEnd w:id="263"/>
    <w:bookmarkStart w:id="267" w:name="sec-s12-4"/>
    <w:p>
      <w:pPr>
        <w:pStyle w:val="Heading2"/>
      </w:pPr>
      <w:r>
        <w:t xml:space="preserve">S1.12.5 Negative-binomial regression with object-count covariate</w:t>
      </w:r>
    </w:p>
    <w:bookmarkStart w:id="265" w:name="rationale-23"/>
    <w:p>
      <w:pPr>
        <w:pStyle w:val="Heading3"/>
      </w:pPr>
      <w:r>
        <w:t xml:space="preserve">Rationale</w:t>
      </w:r>
    </w:p>
    <w:p>
      <w:pPr>
        <w:pStyle w:val="FirstParagraph"/>
      </w:pPr>
      <w:r>
        <w:t xml:space="preserve">The two resampling approaches above ask whether the</w:t>
      </w:r>
      <w:r>
        <w:t xml:space="preserve"> </w:t>
      </w:r>
      <w:r>
        <w:rPr>
          <w:iCs/>
          <w:i/>
        </w:rPr>
        <w:t xml:space="preserve">partition</w:t>
      </w:r>
      <w:r>
        <w:t xml:space="preserve"> </w:t>
      </w:r>
      <w:r>
        <w:t xml:space="preserve">and the</w:t>
      </w:r>
      <w:r>
        <w:t xml:space="preserve"> </w:t>
      </w:r>
      <w:r>
        <w:rPr>
          <w:iCs/>
          <w:i/>
        </w:rPr>
        <w:t xml:space="preserve">richness</w:t>
      </w:r>
      <w:r>
        <w:t xml:space="preserve"> </w:t>
      </w:r>
      <w:r>
        <w:t xml:space="preserve">survive downsampling. We also ask whether group predicts sign-type richness once sampling effort is held constant. Entering</w:t>
      </w:r>
      <w:r>
        <w:t xml:space="preserve"> </w:t>
      </w:r>
      <w:r>
        <w:rPr>
          <w:rStyle w:val="VerbatimChar"/>
        </w:rPr>
        <w:t xml:space="preserve">log(object count)</w:t>
      </w:r>
      <w:r>
        <w:t xml:space="preserve"> </w:t>
      </w:r>
      <w:r>
        <w:t xml:space="preserve">as an</w:t>
      </w:r>
      <w:r>
        <w:t xml:space="preserve"> </w:t>
      </w:r>
      <w:r>
        <w:rPr>
          <w:bCs/>
          <w:b/>
        </w:rPr>
        <w:t xml:space="preserve">offset</w:t>
      </w:r>
      <w:r>
        <w:t xml:space="preserve"> </w:t>
      </w:r>
      <w:r>
        <w:t xml:space="preserve">(the exposure term) fixes the richness-effort exponent at 1, which assumes sign-type richness grows in proportion to the number of objects; richness instead saturates with effort</w:t>
      </w:r>
      <w:r>
        <w:t xml:space="preserve"> </w:t>
      </w:r>
      <w:r>
        <w:t xml:space="preserve">[25]</w:t>
      </w:r>
      <w:r>
        <w:t xml:space="preserve">, so under an offset a site with 1 object and 1 sign type has a</w:t>
      </w:r>
      <w:r>
        <w:t xml:space="preserve"> </w:t>
      </w:r>
      <w:r>
        <w:t xml:space="preserve">“</w:t>
      </w:r>
      <w:r>
        <w:t xml:space="preserve">rate</w:t>
      </w:r>
      <w:r>
        <w:t xml:space="preserve">”</w:t>
      </w:r>
      <w:r>
        <w:t xml:space="preserve"> </w:t>
      </w:r>
      <w:r>
        <w:t xml:space="preserve">of 1.0 while Vogelherd (173 objects, 17 types) has a rate of 0.1, biasing the contrast against the large broad-group sites. We therefore fit two negative-binomial regressions</w:t>
      </w:r>
      <w:r>
        <w:t xml:space="preserve"> </w:t>
      </w:r>
      <w:r>
        <w:t xml:space="preserve">[27]</w:t>
      </w:r>
      <w:r>
        <w:t xml:space="preserve"> </w:t>
      </w:r>
      <w:r>
        <w:t xml:space="preserve">of per-site sign-type richness with the manual group and phase as predictors: (i) the offset specification, and (ii) a free-slope specification with</w:t>
      </w:r>
      <w:r>
        <w:t xml:space="preserve"> </w:t>
      </w:r>
      <w:r>
        <w:rPr>
          <w:rStyle w:val="VerbatimChar"/>
        </w:rPr>
        <w:t xml:space="preserve">log(object count)</w:t>
      </w:r>
      <w:r>
        <w:t xml:space="preserve"> </w:t>
      </w:r>
      <w:r>
        <w:t xml:space="preserve">as a covariate, which estimates the exponent with its interval:</w:t>
      </w:r>
    </w:p>
    <w:p>
      <w:pPr>
        <w:pStyle w:val="BodyText"/>
      </w:pPr>
      <m:oMathPara>
        <m:oMathParaPr>
          <m:jc m:val="center"/>
        </m:oMathParaPr>
        <m:oMath>
          <m:sSub>
            <m:e>
              <m:r>
                <m:rPr>
                  <m:nor/>
                  <m:sty m:val="p"/>
                </m:rPr>
                <m:t>richness</m:t>
              </m:r>
            </m:e>
            <m:sub>
              <m:r>
                <m:t>i</m:t>
              </m:r>
            </m:sub>
          </m:sSub>
          <m:r>
            <m:rPr>
              <m:sty m:val="p"/>
            </m:rPr>
            <m:t>∼</m:t>
          </m:r>
          <m:r>
            <m:rPr>
              <m:nor/>
              <m:sty m:val="p"/>
            </m:rPr>
            <m:t>NegativeBinomial</m:t>
          </m:r>
          <m:d>
            <m:dPr>
              <m:begChr m:val="("/>
              <m:endChr m:val=")"/>
              <m:sepChr m:val=""/>
              <m:grow/>
            </m:dPr>
            <m:e>
              <m:r>
                <m:rPr>
                  <m:sty m:val="p"/>
                </m:rPr>
                <m:t>exp</m:t>
              </m:r>
              <m:d>
                <m:dPr>
                  <m:begChr m:val="("/>
                  <m:endChr m:val=")"/>
                  <m:sepChr m:val=""/>
                  <m:grow/>
                </m:dPr>
                <m:e>
                  <m:sSub>
                    <m:e>
                      <m:r>
                        <m:t>β</m:t>
                      </m:r>
                    </m:e>
                    <m:sub>
                      <m:r>
                        <m:t>0</m:t>
                      </m:r>
                    </m:sub>
                  </m:sSub>
                  <m:r>
                    <m:rPr>
                      <m:sty m:val="p"/>
                    </m:rPr>
                    <m:t>+</m:t>
                  </m:r>
                  <m:sSub>
                    <m:e>
                      <m:r>
                        <m:t>β</m:t>
                      </m:r>
                    </m:e>
                    <m:sub>
                      <m:r>
                        <m:t>1</m:t>
                      </m:r>
                    </m:sub>
                  </m:sSub>
                  <m:sSub>
                    <m:e>
                      <m:r>
                        <m:rPr>
                          <m:nor/>
                          <m:sty m:val="p"/>
                        </m:rPr>
                        <m:t>group</m:t>
                      </m:r>
                    </m:e>
                    <m:sub>
                      <m:r>
                        <m:t>i</m:t>
                      </m:r>
                    </m:sub>
                  </m:sSub>
                  <m:r>
                    <m:rPr>
                      <m:sty m:val="p"/>
                    </m:rPr>
                    <m:t>+</m:t>
                  </m:r>
                  <m:sSub>
                    <m:e>
                      <m:r>
                        <m:t>β</m:t>
                      </m:r>
                    </m:e>
                    <m:sub>
                      <m:r>
                        <m:t>2</m:t>
                      </m:r>
                    </m:sub>
                  </m:sSub>
                  <m:sSub>
                    <m:e>
                      <m:r>
                        <m:rPr>
                          <m:nor/>
                          <m:sty m:val="p"/>
                        </m:rPr>
                        <m:t>phase</m:t>
                      </m:r>
                    </m:e>
                    <m:sub>
                      <m:r>
                        <m:t>i</m:t>
                      </m:r>
                    </m:sub>
                  </m:sSub>
                  <m:r>
                    <m:rPr>
                      <m:sty m:val="p"/>
                    </m:rPr>
                    <m:t>+</m:t>
                  </m:r>
                  <m:sSub>
                    <m:e>
                      <m:r>
                        <m:t>β</m:t>
                      </m:r>
                    </m:e>
                    <m:sub>
                      <m:r>
                        <m:t>3</m:t>
                      </m:r>
                    </m:sub>
                  </m:sSub>
                  <m:r>
                    <m:rPr>
                      <m:sty m:val="p"/>
                    </m:rPr>
                    <m:t>log</m:t>
                  </m:r>
                  <m:d>
                    <m:dPr>
                      <m:begChr m:val="("/>
                      <m:endChr m:val=")"/>
                      <m:sepChr m:val=""/>
                      <m:grow/>
                    </m:dPr>
                    <m:e>
                      <m:sSub>
                        <m:e>
                          <m:r>
                            <m:rPr>
                              <m:nor/>
                              <m:sty m:val="p"/>
                            </m:rPr>
                            <m:t>objects</m:t>
                          </m:r>
                        </m:e>
                        <m:sub>
                          <m:r>
                            <m:t>i</m:t>
                          </m:r>
                        </m:sub>
                      </m:sSub>
                    </m:e>
                  </m:d>
                </m:e>
              </m:d>
            </m:e>
          </m:d>
          <m:r>
            <m:rPr>
              <m:sty m:val="p"/>
            </m:rPr>
            <m:t>.</m:t>
          </m:r>
        </m:oMath>
      </m:oMathPara>
    </w:p>
    <w:p>
      <w:pPr>
        <w:pStyle w:val="FirstParagraph"/>
      </w:pPr>
      <w:r>
        <w:rPr>
          <w:bCs/>
          <w:b/>
        </w:rPr>
        <w:t xml:space="preserve">Question: does the group effect on sign-type richness survive after accounting for sampling effort?</w:t>
      </w:r>
    </w:p>
    <w:tbl>
      <w:tblPr>
        <w:tblStyle w:val="Table"/>
        <w:tblW w:type="pct" w:w="5000"/>
        <w:tblLook w:firstRow="0" w:lastRow="0" w:firstColumn="0" w:lastColumn="0" w:noHBand="0" w:noVBand="0" w:val="0000"/>
        <w:jc w:val="start"/>
        <w:tblLayout w:type="fixed"/>
      </w:tblPr>
      <w:tblGrid>
        <w:gridCol w:w="7920"/>
      </w:tblGrid>
      <w:tr>
        <w:tc>
          <w:tcPr/>
          <w:bookmarkStart w:id="264" w:name="tbl-mixed-nb"/>
          <w:tbl>
            <w:tblPr>
              <w:tblStyle w:val="Table"/>
              <w:tblW w:type="pct" w:w="5000"/>
              <w:tblLook w:firstRow="1" w:lastRow="0" w:firstColumn="0" w:lastColumn="0" w:noHBand="0" w:noVBand="0" w:val="0020"/>
              <w:jc w:val="start"/>
              <w:tblLayout w:type="fixed"/>
            </w:tblPr>
            <w:tblGrid>
              <w:gridCol w:w="2376"/>
              <w:gridCol w:w="1425"/>
              <w:gridCol w:w="1346"/>
              <w:gridCol w:w="1425"/>
              <w:gridCol w:w="1346"/>
            </w:tblGrid>
            <w:tr>
              <w:trPr>
                <w:tblHeader w:val="true"/>
              </w:trPr>
              <w:tc>
                <w:tcPr/>
                <w:p>
                  <w:pPr>
                    <w:pStyle w:val="Compact"/>
                    <w:jc w:val="left"/>
                    <w:jc w:val="left"/>
                  </w:pPr>
                  <w:r>
                    <w:t xml:space="preserve">Term</w:t>
                  </w:r>
                </w:p>
              </w:tc>
              <w:tc>
                <w:tcPr/>
                <w:p>
                  <w:pPr>
                    <w:pStyle w:val="Compact"/>
                    <w:jc w:val="left"/>
                    <w:jc w:val="left"/>
                  </w:pPr>
                  <w:r>
                    <w:t xml:space="preserve">log-rate (offset)</w:t>
                  </w:r>
                </w:p>
              </w:tc>
              <w:tc>
                <w:tcPr/>
                <w:p>
                  <w:pPr>
                    <w:pStyle w:val="Compact"/>
                    <w:jc w:val="left"/>
                    <w:jc w:val="left"/>
                  </w:pPr>
                  <w:r>
                    <w:t xml:space="preserve">rate ratio (offset)</w:t>
                  </w:r>
                </w:p>
              </w:tc>
              <w:tc>
                <w:tcPr/>
                <w:p>
                  <w:pPr>
                    <w:pStyle w:val="Compact"/>
                    <w:jc w:val="left"/>
                    <w:jc w:val="left"/>
                  </w:pPr>
                  <w:r>
                    <w:t xml:space="preserve">log-rate (free slope)</w:t>
                  </w:r>
                </w:p>
              </w:tc>
              <w:tc>
                <w:tcPr/>
                <w:p>
                  <w:pPr>
                    <w:pStyle w:val="Compact"/>
                    <w:jc w:val="left"/>
                    <w:jc w:val="left"/>
                  </w:pPr>
                  <w:r>
                    <w:t xml:space="preserve">rate ratio (free slope)</w:t>
                  </w:r>
                </w:p>
              </w:tc>
            </w:tr>
            <w:tr>
              <w:tc>
                <w:tcPr/>
                <w:p>
                  <w:pPr>
                    <w:pStyle w:val="Compact"/>
                    <w:jc w:val="left"/>
                    <w:jc w:val="left"/>
                  </w:pPr>
                  <w:r>
                    <w:t xml:space="preserve">Intercept</w:t>
                  </w:r>
                </w:p>
              </w:tc>
              <w:tc>
                <w:tcPr/>
                <w:p>
                  <w:pPr>
                    <w:pStyle w:val="Compact"/>
                    <w:jc w:val="left"/>
                    <w:jc w:val="left"/>
                  </w:pPr>
                  <w:r>
                    <w:t xml:space="preserve">-0.455</w:t>
                  </w:r>
                </w:p>
              </w:tc>
              <w:tc>
                <w:tcPr/>
                <w:p>
                  <w:pPr>
                    <w:pStyle w:val="Compact"/>
                    <w:jc w:val="left"/>
                    <w:jc w:val="left"/>
                  </w:pPr>
                  <w:r>
                    <w:t xml:space="preserve">0.635</w:t>
                  </w:r>
                </w:p>
              </w:tc>
              <w:tc>
                <w:tcPr/>
                <w:p>
                  <w:pPr>
                    <w:pStyle w:val="Compact"/>
                    <w:jc w:val="left"/>
                    <w:jc w:val="left"/>
                  </w:pPr>
                  <w:r>
                    <w:t xml:space="preserve">0.085</w:t>
                  </w:r>
                </w:p>
              </w:tc>
              <w:tc>
                <w:tcPr/>
                <w:p>
                  <w:pPr>
                    <w:pStyle w:val="Compact"/>
                    <w:jc w:val="left"/>
                    <w:jc w:val="left"/>
                  </w:pPr>
                  <w:r>
                    <w:t xml:space="preserve">1.089</w:t>
                  </w:r>
                </w:p>
              </w:tc>
            </w:tr>
            <w:tr>
              <w:tc>
                <w:tcPr/>
                <w:p>
                  <w:pPr>
                    <w:pStyle w:val="Compact"/>
                    <w:jc w:val="left"/>
                    <w:jc w:val="left"/>
                  </w:pPr>
                  <w:r>
                    <w:t xml:space="preserve">Group (broad vs restricted)</w:t>
                  </w:r>
                </w:p>
              </w:tc>
              <w:tc>
                <w:tcPr/>
                <w:p>
                  <w:pPr>
                    <w:pStyle w:val="Compact"/>
                    <w:jc w:val="left"/>
                    <w:jc w:val="left"/>
                  </w:pPr>
                  <w:r>
                    <w:t xml:space="preserve">-0.329</w:t>
                  </w:r>
                </w:p>
              </w:tc>
              <w:tc>
                <w:tcPr/>
                <w:p>
                  <w:pPr>
                    <w:pStyle w:val="Compact"/>
                    <w:jc w:val="left"/>
                    <w:jc w:val="left"/>
                  </w:pPr>
                  <w:r>
                    <w:t xml:space="preserve">0.720</w:t>
                  </w:r>
                </w:p>
              </w:tc>
              <w:tc>
                <w:tcPr/>
                <w:p>
                  <w:pPr>
                    <w:pStyle w:val="Compact"/>
                    <w:jc w:val="left"/>
                    <w:jc w:val="left"/>
                  </w:pPr>
                  <w:r>
                    <w:t xml:space="preserve">0.838</w:t>
                  </w:r>
                </w:p>
              </w:tc>
              <w:tc>
                <w:tcPr/>
                <w:p>
                  <w:pPr>
                    <w:pStyle w:val="Compact"/>
                    <w:jc w:val="left"/>
                    <w:jc w:val="left"/>
                  </w:pPr>
                  <w:r>
                    <w:t xml:space="preserve">2.311</w:t>
                  </w:r>
                </w:p>
              </w:tc>
            </w:tr>
            <w:tr>
              <w:tc>
                <w:tcPr/>
                <w:p>
                  <w:pPr>
                    <w:pStyle w:val="Compact"/>
                    <w:jc w:val="left"/>
                    <w:jc w:val="left"/>
                  </w:pPr>
                  <w:r>
                    <w:t xml:space="preserve">Phase (Aur-P2 vs Aur-P1)</w:t>
                  </w:r>
                </w:p>
              </w:tc>
              <w:tc>
                <w:tcPr/>
                <w:p>
                  <w:pPr>
                    <w:pStyle w:val="Compact"/>
                    <w:jc w:val="left"/>
                    <w:jc w:val="left"/>
                  </w:pPr>
                  <w:r>
                    <w:t xml:space="preserve">0.238</w:t>
                  </w:r>
                </w:p>
              </w:tc>
              <w:tc>
                <w:tcPr/>
                <w:p>
                  <w:pPr>
                    <w:pStyle w:val="Compact"/>
                    <w:jc w:val="left"/>
                    <w:jc w:val="left"/>
                  </w:pPr>
                  <w:r>
                    <w:t xml:space="preserve">1.269</w:t>
                  </w:r>
                </w:p>
              </w:tc>
              <w:tc>
                <w:tcPr/>
                <w:p>
                  <w:pPr>
                    <w:pStyle w:val="Compact"/>
                    <w:jc w:val="left"/>
                    <w:jc w:val="left"/>
                  </w:pPr>
                  <w:r>
                    <w:t xml:space="preserve">0.130</w:t>
                  </w:r>
                </w:p>
              </w:tc>
              <w:tc>
                <w:tcPr/>
                <w:p>
                  <w:pPr>
                    <w:pStyle w:val="Compact"/>
                    <w:jc w:val="left"/>
                    <w:jc w:val="left"/>
                  </w:pPr>
                  <w:r>
                    <w:t xml:space="preserve">1.139</w:t>
                  </w:r>
                </w:p>
              </w:tc>
            </w:tr>
            <w:tr>
              <w:tc>
                <w:tcPr/>
                <w:p>
                  <w:pPr>
                    <w:pStyle w:val="Compact"/>
                    <w:jc w:val="left"/>
                    <w:jc w:val="left"/>
                  </w:pPr>
                  <w:r>
                    <w:t xml:space="preserve">log(objects) exponent (free-slope only)</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0.377</w:t>
                  </w:r>
                </w:p>
              </w:tc>
              <w:tc>
                <w:tcPr/>
                <w:p>
                  <w:pPr>
                    <w:pStyle w:val="Compact"/>
                    <w:jc w:val="left"/>
                    <w:jc w:val="left"/>
                  </w:pPr>
                  <w:r>
                    <w:t xml:space="preserve">1.459</w:t>
                  </w:r>
                </w:p>
              </w:tc>
            </w:tr>
          </w:tbl>
          <w:p>
            <w:pPr>
              <w:jc w:val="left"/>
            </w:pPr>
            <w:pPr>
              <w:jc w:val="start"/>
              <w:spacing w:before="200"/>
              <w:pStyle w:val="ImageCaption"/>
            </w:pPr>
            <w:r>
              <w:t xml:space="preserve">Table AW. Negative-binomial regressions of per-site sign-type richness: offset specification (richness-effort exponent fixed at 1) versus free-slope specification (exponent estimated). A non-significant group coefficient under the offset does not by itself show the richness gap is explained by object count, because the fixed exponent mis-specifies the saturating richness-effort relationship.</w:t>
            </w:r>
          </w:p>
          <w:bookmarkEnd w:id="264"/>
        </w:tc>
      </w:tr>
    </w:tbl>
    <w:bookmarkEnd w:id="265"/>
    <w:bookmarkStart w:id="266" w:name="interpretation-22"/>
    <w:p>
      <w:pPr>
        <w:pStyle w:val="Heading3"/>
      </w:pPr>
      <w:r>
        <w:t xml:space="preserve">Interpretation</w:t>
      </w:r>
    </w:p>
    <w:p>
      <w:pPr>
        <w:pStyle w:val="FirstParagraph"/>
      </w:pPr>
      <w:r>
        <w:rPr>
          <w:bCs/>
          <w:b/>
        </w:rPr>
        <w:t xml:space="preserve">Question: does the group effect on sign-type richness survive after accounting for sampling effort?</w:t>
      </w:r>
      <w:r>
        <w:t xml:space="preserve"> </w:t>
      </w:r>
      <w:r>
        <w:t xml:space="preserve">The answer depends on the specification, which is itself the finding. Under the offset specification the group coefficient is -0.329 (rate ratio 0.72, p = 0.292), i.e. non-significant and even slightly</w:t>
      </w:r>
      <w:r>
        <w:t xml:space="preserve"> </w:t>
      </w:r>
      <w:r>
        <w:rPr>
          <w:iCs/>
          <w:i/>
        </w:rPr>
        <w:t xml:space="preserve">negative</w:t>
      </w:r>
      <w:r>
        <w:t xml:space="preserve">. Under the free-slope specification the estimated richness-effort exponent is 0.377 (95% CI 0.228–0.528), which excludes 1: richness saturates with object count, so the offset’s proportionality assumption is rejected on these data and its rate ratio is biased against the large broad-group sites. With the exponent freed, broad-range sites are richer than restricted-range sites at equal object count (rate ratio 2.311, p = 0.003). This reversal shows the offset-based</w:t>
      </w:r>
      <w:r>
        <w:t xml:space="preserve"> </w:t>
      </w:r>
      <w:r>
        <w:t xml:space="preserve">“</w:t>
      </w:r>
      <w:r>
        <w:t xml:space="preserve">sampling-effort artefact</w:t>
      </w:r>
      <w:r>
        <w:t xml:space="preserve">”</w:t>
      </w:r>
      <w:r>
        <w:t xml:space="preserve"> </w:t>
      </w:r>
      <w:r>
        <w:t xml:space="preserve">reading was a property of the mis-specified model, not of the data, and it agrees with</w:t>
      </w:r>
      <w:r>
        <w:t xml:space="preserve"> </w:t>
      </w:r>
      <w:r>
        <w:t xml:space="preserve">Section S1.12.4</w:t>
      </w:r>
      <w:r>
        <w:t xml:space="preserve">, where the contrast persists among the sites assessable at equal coverage.</w:t>
      </w:r>
      <w:r>
        <w:t xml:space="preserve"> </w:t>
      </w:r>
      <w:r>
        <w:rPr>
          <w:bCs/>
          <w:b/>
        </w:rPr>
        <w:t xml:space="preserve">Caveat:</w:t>
      </w:r>
      <w:r>
        <w:t xml:space="preserve"> </w:t>
      </w:r>
      <w:r>
        <w:t xml:space="preserve">the free-slope fit has three predictors on 29 site-phase units with group strongly collinear with object count, and the dispersion fit reached its iteration limit, so its intervals are approximate; it is reported as a corrected specification, not a precise effect estimate.</w:t>
      </w:r>
      <w:r>
        <w:t xml:space="preserve"> </w:t>
      </w:r>
      <w:r>
        <w:rPr>
          <w:bCs/>
          <w:b/>
        </w:rPr>
        <w:t xml:space="preserve">Answer:</w:t>
      </w:r>
      <w:r>
        <w:t xml:space="preserve"> </w:t>
      </w:r>
      <w:r>
        <w:t xml:space="preserve">the raw richness gap is not distinguishable from a genuine group difference once saturating sampling effort is accounted for; a non-significant offset coefficient cannot be read as positive evidence that effort explains the gap.</w:t>
      </w:r>
    </w:p>
    <w:bookmarkEnd w:id="266"/>
    <w:bookmarkEnd w:id="267"/>
    <w:bookmarkStart w:id="275" w:name="sec-s12-5"/>
    <w:p>
      <w:pPr>
        <w:pStyle w:val="Heading2"/>
      </w:pPr>
      <w:r>
        <w:t xml:space="preserve">S1.12.6 Equal-effort pool comparison (iNEXT)</w:t>
      </w:r>
    </w:p>
    <w:bookmarkStart w:id="273" w:name="rationale-24"/>
    <w:p>
      <w:pPr>
        <w:pStyle w:val="Heading3"/>
      </w:pPr>
      <w:r>
        <w:t xml:space="preserve">Rationale</w:t>
      </w:r>
    </w:p>
    <w:p>
      <w:pPr>
        <w:pStyle w:val="FirstParagraph"/>
      </w:pPr>
      <w:r>
        <w:t xml:space="preserve">The main-text Discussion asks whether the larger sign-type pool in Aur-P1 (26 types) than in Aur-P2 (15 types) could reflect cultural drift in small populations. This raw count compares pools sampled with very different effort: 346 objects at 20 sites in Aur-P1 versus 63 objects at 9 sites in Aur-P2. It is also confounded with object classes that occur only in Aur-P1, such as limestone blocs, tubes and figurine classes that carry the most frequent Aur-P1-only sign types (vulva, zoomorph, cupule). A smaller pool in Aur-P2 is therefore expected from fewer objects alone, without any phase-level change in cultural repertoire.</w:t>
      </w:r>
    </w:p>
    <w:p>
      <w:pPr>
        <w:pStyle w:val="BodyText"/>
      </w:pPr>
      <w:r>
        <w:t xml:space="preserve">We test the contraction at equal effort with incidence-based rarefaction and extrapolation using</w:t>
      </w:r>
      <w:r>
        <w:t xml:space="preserve"> </w:t>
      </w:r>
      <w:r>
        <w:rPr>
          <w:rStyle w:val="VerbatimChar"/>
        </w:rPr>
        <w:t xml:space="preserve">iNEXT</w:t>
      </w:r>
      <w:r>
        <w:t xml:space="preserve"> </w:t>
      </w:r>
      <w:r>
        <w:t xml:space="preserve">[24,26]</w:t>
      </w:r>
      <w:r>
        <w:t xml:space="preserve">. Each mobile object is a sampling unit and each geometric sign type is a species. For each phase the incidence frequency of a sign type is the number of objects that carry it.</w:t>
      </w:r>
      <w:r>
        <w:t xml:space="preserve"> </w:t>
      </w:r>
      <w:r>
        <w:rPr>
          <w:rStyle w:val="VerbatimChar"/>
        </w:rPr>
        <w:t xml:space="preserve">iNEXT</w:t>
      </w:r>
      <w:r>
        <w:t xml:space="preserve"> </w:t>
      </w:r>
      <w:r>
        <w:t xml:space="preserve">with</w:t>
      </w:r>
      <w:r>
        <w:t xml:space="preserve"> </w:t>
      </w:r>
      <w:r>
        <w:rPr>
          <w:rStyle w:val="VerbatimChar"/>
        </w:rPr>
        <w:t xml:space="preserve">datatype = "incidence_freq"</w:t>
      </w:r>
      <w:r>
        <w:t xml:space="preserve"> </w:t>
      </w:r>
      <w:r>
        <w:t xml:space="preserve">standardises richness by sample completeness and returns 95% confidence intervals from 200 bootstrap replicates. We report two comparisons: (a) all object types and (b) restricted to object types present in both phases, which removes the class confound as a check.</w:t>
      </w:r>
    </w:p>
    <w:p>
      <w:pPr>
        <w:pStyle w:val="BodyText"/>
      </w:pPr>
      <w:r>
        <w:rPr>
          <w:bCs/>
          <w:b/>
        </w:rPr>
        <w:t xml:space="preserve">Question: does the raw 26 vs 15 pool contraction survive equal effort?</w:t>
      </w:r>
    </w:p>
    <w:tbl>
      <w:tblPr>
        <w:tblStyle w:val="Table"/>
        <w:tblW w:type="pct" w:w="5000"/>
        <w:tblLook w:firstRow="0" w:lastRow="0" w:firstColumn="0" w:lastColumn="0" w:noHBand="0" w:noVBand="0" w:val="0000"/>
        <w:jc w:val="start"/>
        <w:tblLayout w:type="fixed"/>
      </w:tblPr>
      <w:tblGrid>
        <w:gridCol w:w="7920"/>
      </w:tblGrid>
      <w:tr>
        <w:tc>
          <w:tcPr/>
          <w:bookmarkStart w:id="268" w:name="tbl-pool-inext"/>
          <w:tbl>
            <w:tblPr>
              <w:tblStyle w:val="Table"/>
              <w:tblW w:type="pct" w:w="5000"/>
              <w:tblLook w:firstRow="1" w:lastRow="0" w:firstColumn="0" w:lastColumn="0" w:noHBand="0" w:noVBand="0" w:val="0020"/>
              <w:jc w:val="start"/>
              <w:tblLayout w:type="fixed"/>
            </w:tblPr>
            <w:tblGrid>
              <w:gridCol w:w="1425"/>
              <w:gridCol w:w="950"/>
              <w:gridCol w:w="950"/>
              <w:gridCol w:w="1108"/>
              <w:gridCol w:w="950"/>
              <w:gridCol w:w="950"/>
              <w:gridCol w:w="1584"/>
            </w:tblGrid>
            <w:tr>
              <w:trPr>
                <w:tblHeader w:val="true"/>
              </w:trPr>
              <w:tc>
                <w:tcPr/>
                <w:p>
                  <w:pPr>
                    <w:pStyle w:val="Compact"/>
                    <w:jc w:val="left"/>
                    <w:jc w:val="left"/>
                  </w:pPr>
                  <w:r>
                    <w:t xml:space="preserve">Object-type set</w:t>
                  </w:r>
                </w:p>
              </w:tc>
              <w:tc>
                <w:tcPr/>
                <w:p>
                  <w:pPr>
                    <w:pStyle w:val="Compact"/>
                    <w:jc w:val="left"/>
                    <w:jc w:val="left"/>
                  </w:pPr>
                  <w:r>
                    <w:t xml:space="preserve">Phase</w:t>
                  </w:r>
                </w:p>
              </w:tc>
              <w:tc>
                <w:tcPr/>
                <w:p>
                  <w:pPr>
                    <w:pStyle w:val="Compact"/>
                    <w:jc w:val="left"/>
                    <w:jc w:val="left"/>
                  </w:pPr>
                  <w:r>
                    <w:t xml:space="preserve">m (objects)</w:t>
                  </w:r>
                </w:p>
              </w:tc>
              <w:tc>
                <w:tcPr/>
                <w:p>
                  <w:pPr>
                    <w:pStyle w:val="Compact"/>
                    <w:jc w:val="left"/>
                    <w:jc w:val="left"/>
                  </w:pPr>
                  <w:r>
                    <w:t xml:space="preserve">Richness (qD)</w:t>
                  </w:r>
                </w:p>
              </w:tc>
              <w:tc>
                <w:tcPr/>
                <w:p>
                  <w:pPr>
                    <w:pStyle w:val="Compact"/>
                    <w:jc w:val="left"/>
                    <w:jc w:val="left"/>
                  </w:pPr>
                  <w:r>
                    <w:t xml:space="preserve">LCL</w:t>
                  </w:r>
                </w:p>
              </w:tc>
              <w:tc>
                <w:tcPr/>
                <w:p>
                  <w:pPr>
                    <w:pStyle w:val="Compact"/>
                    <w:jc w:val="left"/>
                    <w:jc w:val="left"/>
                  </w:pPr>
                  <w:r>
                    <w:t xml:space="preserve">UCL</w:t>
                  </w:r>
                </w:p>
              </w:tc>
              <w:tc>
                <w:tcPr/>
                <w:p>
                  <w:pPr>
                    <w:pStyle w:val="Compact"/>
                    <w:jc w:val="left"/>
                    <w:jc w:val="left"/>
                  </w:pPr>
                  <w:r>
                    <w:t xml:space="preserve">Method</w:t>
                  </w:r>
                </w:p>
              </w:tc>
            </w:tr>
            <w:tr>
              <w:tc>
                <w:tcPr/>
                <w:p>
                  <w:pPr>
                    <w:pStyle w:val="Compact"/>
                    <w:jc w:val="left"/>
                    <w:jc w:val="left"/>
                  </w:pPr>
                  <w:r>
                    <w:t xml:space="preserve">all types</w:t>
                  </w:r>
                </w:p>
              </w:tc>
              <w:tc>
                <w:tcPr/>
                <w:p>
                  <w:pPr>
                    <w:pStyle w:val="Compact"/>
                    <w:jc w:val="left"/>
                    <w:jc w:val="left"/>
                  </w:pPr>
                  <w:r>
                    <w:t xml:space="preserve">Aur-P1</w:t>
                  </w:r>
                </w:p>
              </w:tc>
              <w:tc>
                <w:tcPr/>
                <w:p>
                  <w:pPr>
                    <w:pStyle w:val="Compact"/>
                    <w:jc w:val="left"/>
                    <w:jc w:val="left"/>
                  </w:pPr>
                  <w:r>
                    <w:t xml:space="preserve">63</w:t>
                  </w:r>
                </w:p>
              </w:tc>
              <w:tc>
                <w:tcPr/>
                <w:p>
                  <w:pPr>
                    <w:pStyle w:val="Compact"/>
                    <w:jc w:val="left"/>
                    <w:jc w:val="left"/>
                  </w:pPr>
                  <w:r>
                    <w:t xml:space="preserve">16.9</w:t>
                  </w:r>
                </w:p>
              </w:tc>
              <w:tc>
                <w:tcPr/>
                <w:p>
                  <w:pPr>
                    <w:pStyle w:val="Compact"/>
                    <w:jc w:val="left"/>
                    <w:jc w:val="left"/>
                  </w:pPr>
                  <w:r>
                    <w:t xml:space="preserve">15.5</w:t>
                  </w:r>
                </w:p>
              </w:tc>
              <w:tc>
                <w:tcPr/>
                <w:p>
                  <w:pPr>
                    <w:pStyle w:val="Compact"/>
                    <w:jc w:val="left"/>
                    <w:jc w:val="left"/>
                  </w:pPr>
                  <w:r>
                    <w:t xml:space="preserve">18.3</w:t>
                  </w:r>
                </w:p>
              </w:tc>
              <w:tc>
                <w:tcPr/>
                <w:p>
                  <w:pPr>
                    <w:pStyle w:val="Compact"/>
                    <w:jc w:val="left"/>
                    <w:jc w:val="left"/>
                  </w:pPr>
                  <w:r>
                    <w:t xml:space="preserve">Rarefaction</w:t>
                  </w:r>
                </w:p>
              </w:tc>
            </w:tr>
            <w:tr>
              <w:tc>
                <w:tcPr/>
                <w:p>
                  <w:pPr>
                    <w:pStyle w:val="Compact"/>
                    <w:jc w:val="left"/>
                    <w:jc w:val="left"/>
                  </w:pPr>
                  <w:r>
                    <w:t xml:space="preserve">all types</w:t>
                  </w:r>
                </w:p>
              </w:tc>
              <w:tc>
                <w:tcPr/>
                <w:p>
                  <w:pPr>
                    <w:pStyle w:val="Compact"/>
                    <w:jc w:val="left"/>
                    <w:jc w:val="left"/>
                  </w:pPr>
                  <w:r>
                    <w:t xml:space="preserve">Aur-P1</w:t>
                  </w:r>
                </w:p>
              </w:tc>
              <w:tc>
                <w:tcPr/>
                <w:p>
                  <w:pPr>
                    <w:pStyle w:val="Compact"/>
                    <w:jc w:val="left"/>
                    <w:jc w:val="left"/>
                  </w:pPr>
                  <w:r>
                    <w:t xml:space="preserve">346</w:t>
                  </w:r>
                </w:p>
              </w:tc>
              <w:tc>
                <w:tcPr/>
                <w:p>
                  <w:pPr>
                    <w:pStyle w:val="Compact"/>
                    <w:jc w:val="left"/>
                    <w:jc w:val="left"/>
                  </w:pPr>
                  <w:r>
                    <w:t xml:space="preserve">26.0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Observed</w:t>
                  </w:r>
                </w:p>
              </w:tc>
            </w:tr>
            <w:tr>
              <w:tc>
                <w:tcPr/>
                <w:p>
                  <w:pPr>
                    <w:pStyle w:val="Compact"/>
                    <w:jc w:val="left"/>
                    <w:jc w:val="left"/>
                  </w:pPr>
                  <w:r>
                    <w:t xml:space="preserve">all types</w:t>
                  </w:r>
                </w:p>
              </w:tc>
              <w:tc>
                <w:tcPr/>
                <w:p>
                  <w:pPr>
                    <w:pStyle w:val="Compact"/>
                    <w:jc w:val="left"/>
                    <w:jc w:val="left"/>
                  </w:pPr>
                  <w:r>
                    <w:t xml:space="preserve">Aur-P2</w:t>
                  </w:r>
                </w:p>
              </w:tc>
              <w:tc>
                <w:tcPr/>
                <w:p>
                  <w:pPr>
                    <w:pStyle w:val="Compact"/>
                    <w:jc w:val="left"/>
                    <w:jc w:val="left"/>
                  </w:pPr>
                  <w:r>
                    <w:t xml:space="preserve">63</w:t>
                  </w:r>
                </w:p>
              </w:tc>
              <w:tc>
                <w:tcPr/>
                <w:p>
                  <w:pPr>
                    <w:pStyle w:val="Compact"/>
                    <w:jc w:val="left"/>
                    <w:jc w:val="left"/>
                  </w:pPr>
                  <w:r>
                    <w:t xml:space="preserve">15.0</w:t>
                  </w:r>
                </w:p>
              </w:tc>
              <w:tc>
                <w:tcPr/>
                <w:p>
                  <w:pPr>
                    <w:pStyle w:val="Compact"/>
                    <w:jc w:val="left"/>
                    <w:jc w:val="left"/>
                  </w:pPr>
                  <w:r>
                    <w:t xml:space="preserve">11.5</w:t>
                  </w:r>
                </w:p>
              </w:tc>
              <w:tc>
                <w:tcPr/>
                <w:p>
                  <w:pPr>
                    <w:pStyle w:val="Compact"/>
                    <w:jc w:val="left"/>
                    <w:jc w:val="left"/>
                  </w:pPr>
                  <w:r>
                    <w:t xml:space="preserve">18.5</w:t>
                  </w:r>
                </w:p>
              </w:tc>
              <w:tc>
                <w:tcPr/>
                <w:p>
                  <w:pPr>
                    <w:pStyle w:val="Compact"/>
                    <w:jc w:val="left"/>
                    <w:jc w:val="left"/>
                  </w:pPr>
                  <w:r>
                    <w:t xml:space="preserve">Observed</w:t>
                  </w:r>
                </w:p>
              </w:tc>
            </w:tr>
            <w:tr>
              <w:tc>
                <w:tcPr/>
                <w:p>
                  <w:pPr>
                    <w:pStyle w:val="Compact"/>
                    <w:jc w:val="left"/>
                    <w:jc w:val="left"/>
                  </w:pPr>
                  <w:r>
                    <w:t xml:space="preserve">shared types only</w:t>
                  </w:r>
                </w:p>
              </w:tc>
              <w:tc>
                <w:tcPr/>
                <w:p>
                  <w:pPr>
                    <w:pStyle w:val="Compact"/>
                    <w:jc w:val="left"/>
                    <w:jc w:val="left"/>
                  </w:pPr>
                  <w:r>
                    <w:t xml:space="preserve">Aur-P1</w:t>
                  </w:r>
                </w:p>
              </w:tc>
              <w:tc>
                <w:tcPr/>
                <w:p>
                  <w:pPr>
                    <w:pStyle w:val="Compact"/>
                    <w:jc w:val="left"/>
                    <w:jc w:val="left"/>
                  </w:pPr>
                  <w:r>
                    <w:t xml:space="preserve">63</w:t>
                  </w:r>
                </w:p>
              </w:tc>
              <w:tc>
                <w:tcPr/>
                <w:p>
                  <w:pPr>
                    <w:pStyle w:val="Compact"/>
                    <w:jc w:val="left"/>
                    <w:jc w:val="left"/>
                  </w:pPr>
                  <w:r>
                    <w:t xml:space="preserve">15.4</w:t>
                  </w:r>
                </w:p>
              </w:tc>
              <w:tc>
                <w:tcPr/>
                <w:p>
                  <w:pPr>
                    <w:pStyle w:val="Compact"/>
                    <w:jc w:val="left"/>
                    <w:jc w:val="left"/>
                  </w:pPr>
                  <w:r>
                    <w:t xml:space="preserve">13.6</w:t>
                  </w:r>
                </w:p>
              </w:tc>
              <w:tc>
                <w:tcPr/>
                <w:p>
                  <w:pPr>
                    <w:pStyle w:val="Compact"/>
                    <w:jc w:val="left"/>
                    <w:jc w:val="left"/>
                  </w:pPr>
                  <w:r>
                    <w:t xml:space="preserve">17.1</w:t>
                  </w:r>
                </w:p>
              </w:tc>
              <w:tc>
                <w:tcPr/>
                <w:p>
                  <w:pPr>
                    <w:pStyle w:val="Compact"/>
                    <w:jc w:val="left"/>
                    <w:jc w:val="left"/>
                  </w:pPr>
                  <w:r>
                    <w:t xml:space="preserve">Rarefaction</w:t>
                  </w:r>
                </w:p>
              </w:tc>
            </w:tr>
            <w:tr>
              <w:tc>
                <w:tcPr/>
                <w:p>
                  <w:pPr>
                    <w:pStyle w:val="Compact"/>
                    <w:jc w:val="left"/>
                    <w:jc w:val="left"/>
                  </w:pPr>
                  <w:r>
                    <w:t xml:space="preserve">shared types only</w:t>
                  </w:r>
                </w:p>
              </w:tc>
              <w:tc>
                <w:tcPr/>
                <w:p>
                  <w:pPr>
                    <w:pStyle w:val="Compact"/>
                    <w:jc w:val="left"/>
                    <w:jc w:val="left"/>
                  </w:pPr>
                  <w:r>
                    <w:t xml:space="preserve">Aur-P1</w:t>
                  </w:r>
                </w:p>
              </w:tc>
              <w:tc>
                <w:tcPr/>
                <w:p>
                  <w:pPr>
                    <w:pStyle w:val="Compact"/>
                    <w:jc w:val="left"/>
                    <w:jc w:val="left"/>
                  </w:pPr>
                  <w:r>
                    <w:t xml:space="preserve">220</w:t>
                  </w:r>
                </w:p>
              </w:tc>
              <w:tc>
                <w:tcPr/>
                <w:p>
                  <w:pPr>
                    <w:pStyle w:val="Compact"/>
                    <w:jc w:val="left"/>
                    <w:jc w:val="left"/>
                  </w:pPr>
                  <w:r>
                    <w:t xml:space="preserve">22.0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Observed</w:t>
                  </w:r>
                </w:p>
              </w:tc>
            </w:tr>
            <w:tr>
              <w:tc>
                <w:tcPr/>
                <w:p>
                  <w:pPr>
                    <w:pStyle w:val="Compact"/>
                    <w:jc w:val="left"/>
                    <w:jc w:val="left"/>
                  </w:pPr>
                  <w:r>
                    <w:t xml:space="preserve">shared types only</w:t>
                  </w:r>
                </w:p>
              </w:tc>
              <w:tc>
                <w:tcPr/>
                <w:p>
                  <w:pPr>
                    <w:pStyle w:val="Compact"/>
                    <w:jc w:val="left"/>
                    <w:jc w:val="left"/>
                  </w:pPr>
                  <w:r>
                    <w:t xml:space="preserve">Aur-P2</w:t>
                  </w:r>
                </w:p>
              </w:tc>
              <w:tc>
                <w:tcPr/>
                <w:p>
                  <w:pPr>
                    <w:pStyle w:val="Compact"/>
                    <w:jc w:val="left"/>
                    <w:jc w:val="left"/>
                  </w:pPr>
                  <w:r>
                    <w:t xml:space="preserve">63</w:t>
                  </w:r>
                </w:p>
              </w:tc>
              <w:tc>
                <w:tcPr/>
                <w:p>
                  <w:pPr>
                    <w:pStyle w:val="Compact"/>
                    <w:jc w:val="left"/>
                    <w:jc w:val="left"/>
                  </w:pPr>
                  <w:r>
                    <w:t xml:space="preserve">15.0</w:t>
                  </w:r>
                </w:p>
              </w:tc>
              <w:tc>
                <w:tcPr/>
                <w:p>
                  <w:pPr>
                    <w:pStyle w:val="Compact"/>
                    <w:jc w:val="left"/>
                    <w:jc w:val="left"/>
                  </w:pPr>
                  <w:r>
                    <w:t xml:space="preserve">11.3</w:t>
                  </w:r>
                </w:p>
              </w:tc>
              <w:tc>
                <w:tcPr/>
                <w:p>
                  <w:pPr>
                    <w:pStyle w:val="Compact"/>
                    <w:jc w:val="left"/>
                    <w:jc w:val="left"/>
                  </w:pPr>
                  <w:r>
                    <w:t xml:space="preserve">18.7</w:t>
                  </w:r>
                </w:p>
              </w:tc>
              <w:tc>
                <w:tcPr/>
                <w:p>
                  <w:pPr>
                    <w:pStyle w:val="Compact"/>
                    <w:jc w:val="left"/>
                    <w:jc w:val="left"/>
                  </w:pPr>
                  <w:r>
                    <w:t xml:space="preserve">Observed</w:t>
                  </w:r>
                </w:p>
              </w:tc>
            </w:tr>
          </w:tbl>
          <w:p>
            <w:pPr>
              <w:jc w:val="left"/>
            </w:pPr>
            <w:pPr>
              <w:jc w:val="start"/>
              <w:spacing w:before="200"/>
              <w:pStyle w:val="ImageCaption"/>
            </w:pPr>
            <w:r>
              <w:t xml:space="preserve">Table AX. Equal-effort sign-type pool comparison with iNEXT (incidence_freq, q = 0, 200 bootstraps). Observed pools are 26 types (Aur-P1, 346 objects) and 15 types (Aur-P2, 63 objects). Rarefied Aur-P1 to 63 objects and extrapolated Aur-P2 are shown with 95% confidence intervals; a second set restricts to object types present in both phases (shared types only).</w:t>
            </w:r>
          </w:p>
          <w:bookmarkEnd w:id="268"/>
        </w:tc>
      </w:tr>
    </w:tbl>
    <w:tbl>
      <w:tblPr>
        <w:tblStyle w:val="Table"/>
        <w:tblW w:type="pct" w:w="5000"/>
        <w:tblLook w:firstRow="0" w:lastRow="0" w:firstColumn="0" w:lastColumn="0" w:noHBand="0" w:noVBand="0" w:val="0000"/>
        <w:jc w:val="start"/>
        <w:tblLayout w:type="fixed"/>
      </w:tblPr>
      <w:tblGrid>
        <w:gridCol w:w="7920"/>
      </w:tblGrid>
      <w:tr>
        <w:tc>
          <w:tcPr/>
          <w:bookmarkStart w:id="272" w:name="fig-pool-inext"/>
          <w:p>
            <w:pPr>
              <w:pStyle w:val="Compact"/>
              <w:jc w:val="left"/>
            </w:pPr>
            <w:r>
              <w:drawing>
                <wp:inline>
                  <wp:extent cx="5943600" cy="3566160"/>
                  <wp:effectExtent b="0" l="0" r="0" t="0"/>
                  <wp:docPr descr="" title="" id="270" name="Picture"/>
                  <a:graphic>
                    <a:graphicData uri="http://schemas.openxmlformats.org/drawingml/2006/picture">
                      <pic:pic>
                        <pic:nvPicPr>
                          <pic:cNvPr descr="S1_File_files/figure-docx/fig-pool-inext-1.png" id="271" name="Picture"/>
                          <pic:cNvPicPr>
                            <a:picLocks noChangeArrowheads="1" noChangeAspect="1"/>
                          </pic:cNvPicPr>
                        </pic:nvPicPr>
                        <pic:blipFill>
                          <a:blip r:embed="rId269"/>
                          <a:stretch>
                            <a:fillRect/>
                          </a:stretch>
                        </pic:blipFill>
                        <pic:spPr bwMode="auto">
                          <a:xfrm>
                            <a:off x="0" y="0"/>
                            <a:ext cx="5943600" cy="3566160"/>
                          </a:xfrm>
                          <a:prstGeom prst="rect">
                            <a:avLst/>
                          </a:prstGeom>
                          <a:noFill/>
                          <a:ln w="9525">
                            <a:noFill/>
                            <a:headEnd/>
                            <a:tailEnd/>
                          </a:ln>
                        </pic:spPr>
                      </pic:pic>
                    </a:graphicData>
                  </a:graphic>
                </wp:inline>
              </w:drawing>
            </w:r>
          </w:p>
          <w:p>
            <w:pPr>
              <w:jc w:val="left"/>
            </w:pPr>
            <w:pPr>
              <w:jc w:val="start"/>
              <w:spacing w:before="200"/>
              <w:pStyle w:val="ImageCaption"/>
            </w:pPr>
            <w:r>
              <w:t xml:space="preserve">Fig Q. iNEXT rarefaction/extrapolation curves for sign-type richness (Hill number q = 0) by phase. Solid segment is rarefaction, dashed is extrapolation; shading is 95% confidence band (200 bootstraps). Vertical line marks 63 objects (Aur-P2 sample size) where Aur-P1 is rarefied. All types (left) and shared types only (right) are shown.</w:t>
            </w:r>
          </w:p>
          <w:bookmarkEnd w:id="272"/>
        </w:tc>
      </w:tr>
    </w:tbl>
    <w:bookmarkEnd w:id="273"/>
    <w:bookmarkStart w:id="274" w:name="interpretation-23"/>
    <w:p>
      <w:pPr>
        <w:pStyle w:val="Heading3"/>
      </w:pPr>
      <w:r>
        <w:t xml:space="preserve">Interpretation</w:t>
      </w:r>
    </w:p>
    <w:p>
      <w:pPr>
        <w:pStyle w:val="FirstParagraph"/>
      </w:pPr>
      <w:r>
        <w:rPr>
          <w:bCs/>
          <w:b/>
        </w:rPr>
        <w:t xml:space="preserve">Question: does the raw 26 vs 15 pool contraction survive equal effort?</w:t>
      </w:r>
      <w:r>
        <w:t xml:space="preserve"> </w:t>
      </w:r>
      <w:r>
        <w:t xml:space="preserve">No. When Aur-P1 is rarefied to 63 objects, its expected richness drops into the range 16.9 types (95% CI 15.5–18.3), which overlaps the Aur-P2 observed pool of 15 types. The Aur-P2 95% interval extended to the same effort likewise overlaps.</w:t>
      </w:r>
    </w:p>
    <w:p>
      <w:pPr>
        <w:pStyle w:val="BodyText"/>
      </w:pPr>
      <w:r>
        <w:t xml:space="preserve">When the comparison is restricted to object types present in both phases, the overlap remains (15.4 vs 15), so limestone blocs, tubes and figurines do not create the effect.</w:t>
      </w:r>
    </w:p>
    <w:p>
      <w:pPr>
        <w:pStyle w:val="BodyText"/>
      </w:pPr>
      <w:r>
        <w:rPr>
          <w:bCs/>
          <w:b/>
        </w:rPr>
        <w:t xml:space="preserve">Answer:</w:t>
      </w:r>
      <w:r>
        <w:t xml:space="preserve"> </w:t>
      </w:r>
      <w:r>
        <w:t xml:space="preserve">the raw pool difference is not distinguishable from sampling variation at equal object count or equal coverage. The raw 26 vs 15 count reflects 346 vs 63 objects and phase-specific object classes, not a demonstrated phase-level contraction.</w:t>
      </w:r>
    </w:p>
    <w:bookmarkEnd w:id="274"/>
    <w:bookmarkEnd w:id="275"/>
    <w:bookmarkStart w:id="285" w:name="sec-s12-6"/>
    <w:p>
      <w:pPr>
        <w:pStyle w:val="Heading2"/>
      </w:pPr>
      <w:r>
        <w:t xml:space="preserve">S1.12.7 Figurine Exclusion</w:t>
      </w:r>
    </w:p>
    <w:bookmarkStart w:id="283" w:name="rationale-25"/>
    <w:p>
      <w:pPr>
        <w:pStyle w:val="Heading3"/>
      </w:pPr>
      <w:r>
        <w:t xml:space="preserve">Rationale</w:t>
      </w:r>
    </w:p>
    <w:p>
      <w:pPr>
        <w:pStyle w:val="FirstParagraph"/>
      </w:pPr>
      <w:r>
        <w:t xml:space="preserve">Bentz and Dutkiewicz</w:t>
      </w:r>
      <w:r>
        <w:t xml:space="preserve"> </w:t>
      </w:r>
      <w:r>
        <w:t xml:space="preserve">[28]</w:t>
      </w:r>
      <w:r>
        <w:t xml:space="preserve"> </w:t>
      </w:r>
      <w:r>
        <w:t xml:space="preserve">argue that ivory figurines in the Swabian Aurignacian carry sign sequences with higher information density than tools. If figurines encode different sign repertoires than other object types, their inclusion could bias site-level sign assemblages, particularly at Vogelherd, where 50 of the dataset’s 63 figurines are concentrated. This section tests whether the main-text network findings are robust to the exclusion of figurines, both globally and site-specifically. It answers two specific questions:</w:t>
      </w:r>
    </w:p>
    <w:p>
      <w:pPr>
        <w:pStyle w:val="BodyText"/>
      </w:pPr>
      <w:r>
        <w:rPr>
          <w:bCs/>
          <w:b/>
        </w:rPr>
        <w:t xml:space="preserve">Question: does the Aur-P1 greater than Aur-P2 ordering survive when all figurines are excluded?</w:t>
      </w:r>
    </w:p>
    <w:p>
      <w:pPr>
        <w:pStyle w:val="BodyText"/>
      </w:pPr>
      <w:r>
        <w:rPr>
          <w:bCs/>
          <w:b/>
        </w:rPr>
        <w:t xml:space="preserve">Question: does the Aur-P1 greater than Aur-P2 ordering survive when only Vogelherd figurines are excluded?</w:t>
      </w:r>
    </w:p>
    <w:p>
      <w:pPr>
        <w:pStyle w:val="BodyText"/>
      </w:pPr>
      <w:r>
        <w:rPr>
          <w:bCs/>
          <w:b/>
        </w:rPr>
        <w:t xml:space="preserve">Figurine distribution in the dataset.</w:t>
      </w:r>
    </w:p>
    <w:tbl>
      <w:tblPr>
        <w:tblStyle w:val="Table"/>
        <w:tblW w:type="pct" w:w="5000"/>
        <w:tblLook w:firstRow="0" w:lastRow="0" w:firstColumn="0" w:lastColumn="0" w:noHBand="0" w:noVBand="0" w:val="0000"/>
        <w:jc w:val="start"/>
        <w:tblLayout w:type="fixed"/>
      </w:tblPr>
      <w:tblGrid>
        <w:gridCol w:w="7920"/>
      </w:tblGrid>
      <w:tr>
        <w:tc>
          <w:tcPr/>
          <w:bookmarkStart w:id="276" w:name="tbl-figurine-count"/>
          <w:tbl>
            <w:tblPr>
              <w:tblStyle w:val="Table"/>
              <w:tblW w:type="pct" w:w="5000"/>
              <w:tblLook w:firstRow="1" w:lastRow="0" w:firstColumn="0" w:lastColumn="0" w:noHBand="0" w:noVBand="0" w:val="0020"/>
              <w:jc w:val="start"/>
              <w:tblLayout w:type="fixed"/>
            </w:tblPr>
            <w:tblGrid>
              <w:gridCol w:w="792"/>
              <w:gridCol w:w="2059"/>
              <w:gridCol w:w="1029"/>
              <w:gridCol w:w="1029"/>
              <w:gridCol w:w="950"/>
              <w:gridCol w:w="950"/>
              <w:gridCol w:w="1108"/>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figurine zoomorph</w:t>
                  </w:r>
                </w:p>
              </w:tc>
              <w:tc>
                <w:tcPr/>
                <w:p>
                  <w:pPr>
                    <w:pStyle w:val="Compact"/>
                    <w:jc w:val="left"/>
                    <w:jc w:val="left"/>
                  </w:pPr>
                  <w:r>
                    <w:t xml:space="preserve">figurine anthropomorph</w:t>
                  </w:r>
                </w:p>
              </w:tc>
              <w:tc>
                <w:tcPr/>
                <w:p>
                  <w:pPr>
                    <w:pStyle w:val="Compact"/>
                    <w:jc w:val="left"/>
                    <w:jc w:val="left"/>
                  </w:pPr>
                  <w:r>
                    <w:t xml:space="preserve">figurine undet.</w:t>
                  </w:r>
                </w:p>
              </w:tc>
              <w:tc>
                <w:tcPr/>
                <w:p>
                  <w:pPr>
                    <w:pStyle w:val="Compact"/>
                    <w:jc w:val="left"/>
                    <w:jc w:val="left"/>
                  </w:pPr>
                  <w:r>
                    <w:t xml:space="preserve">possible figurine</w:t>
                  </w:r>
                </w:p>
              </w:tc>
              <w:tc>
                <w:tcPr/>
                <w:p>
                  <w:pPr>
                    <w:pStyle w:val="Compact"/>
                    <w:jc w:val="left"/>
                    <w:jc w:val="left"/>
                  </w:pPr>
                  <w:r>
                    <w:t xml:space="preserve">Total</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19</w:t>
                  </w:r>
                </w:p>
              </w:tc>
              <w:tc>
                <w:tcPr/>
                <w:p>
                  <w:pPr>
                    <w:pStyle w:val="Compact"/>
                    <w:jc w:val="left"/>
                    <w:jc w:val="left"/>
                  </w:pPr>
                  <w:r>
                    <w:t xml:space="preserve">1</w:t>
                  </w:r>
                </w:p>
              </w:tc>
              <w:tc>
                <w:tcPr/>
                <w:p>
                  <w:pPr>
                    <w:pStyle w:val="Compact"/>
                    <w:jc w:val="left"/>
                    <w:jc w:val="left"/>
                  </w:pPr>
                  <w:r>
                    <w:t xml:space="preserve">8</w:t>
                  </w:r>
                </w:p>
              </w:tc>
              <w:tc>
                <w:tcPr/>
                <w:p>
                  <w:pPr>
                    <w:pStyle w:val="Compact"/>
                    <w:jc w:val="left"/>
                    <w:jc w:val="left"/>
                  </w:pPr>
                  <w:r>
                    <w:t xml:space="preserve">22</w:t>
                  </w:r>
                </w:p>
              </w:tc>
              <w:tc>
                <w:tcPr/>
                <w:p>
                  <w:pPr>
                    <w:pStyle w:val="Compact"/>
                    <w:jc w:val="left"/>
                    <w:jc w:val="left"/>
                  </w:pPr>
                  <w:r>
                    <w:t xml:space="preserve">50</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0</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4</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3</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4</w:t>
                  </w:r>
                </w:p>
              </w:tc>
            </w:tr>
          </w:tbl>
          <w:p>
            <w:pPr>
              <w:jc w:val="left"/>
            </w:pPr>
            <w:pPr>
              <w:jc w:val="start"/>
              <w:spacing w:before="200"/>
              <w:pStyle w:val="ImageCaption"/>
            </w:pPr>
            <w:r>
              <w:t xml:space="preserve">Table AY. Distribution of figurine objects across phases and sites. Figurine types include figurine zoomorph, figurine anthropomorph, figurine undet., and possible figurine.</w:t>
            </w:r>
          </w:p>
          <w:bookmarkEnd w:id="276"/>
        </w:tc>
      </w:tr>
    </w:tbl>
    <w:p>
      <w:pPr>
        <w:pStyle w:val="BodyText"/>
      </w:pPr>
      <w:hyperlink w:anchor="tbl-figurine-count">
        <w:r>
          <w:rPr>
            <w:rStyle w:val="Hyperlink"/>
          </w:rPr>
          <w:t xml:space="preserve">Table AY</w:t>
        </w:r>
      </w:hyperlink>
      <w:r>
        <w:t xml:space="preserve"> </w:t>
      </w:r>
      <w:r>
        <w:t xml:space="preserve">shows that figurines are heavily concentrated at Vogelherd (50 objects), with minor representation at Hohle Fels (4, 4), Geissenklösterle (3), Hohlenstein-Stadel (1), and La Ferrassie (1). Of these, 59 fall within Aur-P1 and the remaining 4, all Hohle Fels objects from AH IV and Iid, fall within Aur-P2 under the layer-level assignment. The analysis therefore tests whether the Aur-P1 network structure, which has the higher mean degree (7.5), is driven by these 50 objects at a single site.</w:t>
      </w:r>
    </w:p>
    <w:p>
      <w:pPr>
        <w:pStyle w:val="BodyText"/>
      </w:pPr>
      <w:r>
        <w:rPr>
          <w:bCs/>
          <w:b/>
        </w:rPr>
        <w:t xml:space="preserve">Analysis 1: exclude all figurines.</w:t>
      </w:r>
    </w:p>
    <w:p>
      <w:pPr>
        <w:pStyle w:val="BodyText"/>
      </w:pPr>
      <w:r>
        <w:rPr>
          <w:bCs/>
          <w:b/>
        </w:rPr>
        <w:t xml:space="preserve">Method.</w:t>
      </w:r>
      <w:r>
        <w:t xml:space="preserve"> </w:t>
      </w:r>
      <w:r>
        <w:t xml:space="preserve">We remove all objects where</w:t>
      </w:r>
      <w:r>
        <w:t xml:space="preserve"> </w:t>
      </w:r>
      <w:r>
        <w:rPr>
          <w:rStyle w:val="VerbatimChar"/>
        </w:rPr>
        <w:t xml:space="preserve">object_type</w:t>
      </w:r>
      <w:r>
        <w:t xml:space="preserve"> </w:t>
      </w:r>
      <w:r>
        <w:t xml:space="preserve">contains</w:t>
      </w:r>
      <w:r>
        <w:t xml:space="preserve"> </w:t>
      </w:r>
      <w:r>
        <w:t xml:space="preserve">“</w:t>
      </w:r>
      <w:r>
        <w:t xml:space="preserve">figurine</w:t>
      </w:r>
      <w:r>
        <w:t xml:space="preserve">”</w:t>
      </w:r>
      <w:r>
        <w:t xml:space="preserve"> </w:t>
      </w:r>
      <w:r>
        <w:t xml:space="preserve">(63 objects total: 25 zoomorph, 5 anthropomorph, 10 undet., 23 possible figurine) from the full cleaned dataset, recompute site-level sign matrices by summing remaining objects per site, and rebuild networks at the baseline threshold of 0.2.</w:t>
      </w:r>
    </w:p>
    <w:tbl>
      <w:tblPr>
        <w:tblStyle w:val="Table"/>
        <w:tblW w:type="pct" w:w="5000"/>
        <w:tblLook w:firstRow="0" w:lastRow="0" w:firstColumn="0" w:lastColumn="0" w:noHBand="0" w:noVBand="0" w:val="0000"/>
        <w:jc w:val="start"/>
        <w:tblLayout w:type="fixed"/>
      </w:tblPr>
      <w:tblGrid>
        <w:gridCol w:w="7920"/>
      </w:tblGrid>
      <w:tr>
        <w:tc>
          <w:tcPr/>
          <w:bookmarkStart w:id="277" w:name="tbl-exclude-figurines"/>
          <w:tbl>
            <w:tblPr>
              <w:tblStyle w:val="Table"/>
              <w:tblW w:type="pct" w:w="5000"/>
              <w:tblLook w:firstRow="1" w:lastRow="0" w:firstColumn="0" w:lastColumn="0" w:noHBand="0" w:noVBand="0" w:val="0020"/>
              <w:jc w:val="start"/>
              <w:tblLayout w:type="fixed"/>
            </w:tblPr>
            <w:tblGrid>
              <w:gridCol w:w="792"/>
              <w:gridCol w:w="633"/>
              <w:gridCol w:w="633"/>
              <w:gridCol w:w="792"/>
              <w:gridCol w:w="950"/>
              <w:gridCol w:w="1108"/>
              <w:gridCol w:w="1108"/>
              <w:gridCol w:w="1900"/>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c>
                <w:tcPr/>
                <w:p>
                  <w:pPr>
                    <w:pStyle w:val="Compact"/>
                    <w:jc w:val="left"/>
                    <w:jc w:val="left"/>
                  </w:pPr>
                  <w:r>
                    <w:t xml:space="preserve">Condition</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c>
                <w:tcPr/>
                <w:p>
                  <w:pPr>
                    <w:pStyle w:val="Compact"/>
                    <w:jc w:val="left"/>
                    <w:jc w:val="left"/>
                  </w:pPr>
                  <w:r>
                    <w:t xml:space="preserve">Baseline (all objects)</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Baseline (all objects)</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74</w:t>
                  </w:r>
                </w:p>
              </w:tc>
              <w:tc>
                <w:tcPr/>
                <w:p>
                  <w:pPr>
                    <w:pStyle w:val="Compact"/>
                    <w:jc w:val="left"/>
                    <w:jc w:val="left"/>
                  </w:pPr>
                  <w:r>
                    <w:t xml:space="preserve">0.389</w:t>
                  </w:r>
                </w:p>
              </w:tc>
              <w:tc>
                <w:tcPr/>
                <w:p>
                  <w:pPr>
                    <w:pStyle w:val="Compact"/>
                    <w:jc w:val="left"/>
                    <w:jc w:val="left"/>
                  </w:pPr>
                  <w:r>
                    <w:t xml:space="preserve">7.40</w:t>
                  </w:r>
                </w:p>
              </w:tc>
              <w:tc>
                <w:tcPr/>
                <w:p>
                  <w:pPr>
                    <w:pStyle w:val="Compact"/>
                    <w:jc w:val="left"/>
                    <w:jc w:val="left"/>
                  </w:pPr>
                  <w:r>
                    <w:t xml:space="preserve">0.683</w:t>
                  </w:r>
                </w:p>
              </w:tc>
              <w:tc>
                <w:tcPr/>
                <w:p>
                  <w:pPr>
                    <w:pStyle w:val="Compact"/>
                    <w:jc w:val="left"/>
                    <w:jc w:val="left"/>
                  </w:pPr>
                  <w:r>
                    <w:t xml:space="preserve">0.318</w:t>
                  </w:r>
                </w:p>
              </w:tc>
              <w:tc>
                <w:tcPr/>
                <w:p>
                  <w:pPr>
                    <w:pStyle w:val="Compact"/>
                    <w:jc w:val="left"/>
                    <w:jc w:val="left"/>
                  </w:pPr>
                  <w:r>
                    <w:t xml:space="preserve">Exclude all figurines</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Exclude all figurines</w:t>
                  </w:r>
                </w:p>
              </w:tc>
            </w:tr>
          </w:tbl>
          <w:p>
            <w:pPr>
              <w:jc w:val="left"/>
            </w:pPr>
            <w:pPr>
              <w:jc w:val="start"/>
              <w:spacing w:before="200"/>
              <w:pStyle w:val="ImageCaption"/>
            </w:pPr>
            <w:r>
              <w:t xml:space="preserve">Table AZ. Network statistics before and after excluding all figurine objects (figurine zoomorph, figurine anthropomorph, figurine undet., and possible figurine). Threshold = 0.2, Jaccard similarity.</w:t>
            </w:r>
          </w:p>
          <w:bookmarkEnd w:id="277"/>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278" w:name="tbl-figurine-sites-lost"/>
          <w:tbl>
            <w:tblPr>
              <w:tblStyle w:val="Table"/>
              <w:tblW w:type="pct" w:w="5000"/>
              <w:tblLook w:firstRow="1" w:lastRow="0" w:firstColumn="0" w:lastColumn="0" w:noHBand="0" w:noVBand="0" w:val="0020"/>
              <w:jc w:val="start"/>
              <w:tblLayout w:type="fixed"/>
            </w:tblPr>
            <w:tblGrid>
              <w:gridCol w:w="1742"/>
              <w:gridCol w:w="2059"/>
              <w:gridCol w:w="2376"/>
              <w:gridCol w:w="1742"/>
            </w:tblGrid>
            <w:tr>
              <w:trPr>
                <w:tblHeader w:val="true"/>
              </w:trPr>
              <w:tc>
                <w:tcPr/>
                <w:p>
                  <w:pPr>
                    <w:pStyle w:val="Compact"/>
                    <w:jc w:val="left"/>
                    <w:jc w:val="left"/>
                  </w:pPr>
                  <w:r>
                    <w:t xml:space="preserve">Phase</w:t>
                  </w:r>
                </w:p>
              </w:tc>
              <w:tc>
                <w:tcPr/>
                <w:p>
                  <w:pPr>
                    <w:pStyle w:val="Compact"/>
                    <w:jc w:val="left"/>
                    <w:jc w:val="left"/>
                  </w:pPr>
                  <w:r>
                    <w:t xml:space="preserve">Sites (all)</w:t>
                  </w:r>
                </w:p>
              </w:tc>
              <w:tc>
                <w:tcPr/>
                <w:p>
                  <w:pPr>
                    <w:pStyle w:val="Compact"/>
                    <w:jc w:val="left"/>
                    <w:jc w:val="left"/>
                  </w:pPr>
                  <w:r>
                    <w:t xml:space="preserve">Sites (no figurines)</w:t>
                  </w:r>
                </w:p>
              </w:tc>
              <w:tc>
                <w:tcPr/>
                <w:p>
                  <w:pPr>
                    <w:pStyle w:val="Compact"/>
                    <w:jc w:val="left"/>
                    <w:jc w:val="left"/>
                  </w:pPr>
                  <w:r>
                    <w:t xml:space="preserve">Sites lost</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20</w:t>
                  </w:r>
                </w:p>
              </w:tc>
              <w:tc>
                <w:tcPr/>
                <w:p>
                  <w:pPr>
                    <w:pStyle w:val="Compact"/>
                    <w:jc w:val="left"/>
                    <w:jc w:val="left"/>
                  </w:pPr>
                  <w:r>
                    <w:t xml:space="preserve">0</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9</w:t>
                  </w:r>
                </w:p>
              </w:tc>
              <w:tc>
                <w:tcPr/>
                <w:p>
                  <w:pPr>
                    <w:pStyle w:val="Compact"/>
                    <w:jc w:val="left"/>
                    <w:jc w:val="left"/>
                  </w:pPr>
                  <w:r>
                    <w:t xml:space="preserve">0</w:t>
                  </w:r>
                </w:p>
              </w:tc>
            </w:tr>
          </w:tbl>
          <w:p>
            <w:pPr>
              <w:jc w:val="left"/>
            </w:pPr>
            <w:pPr>
              <w:jc w:val="start"/>
              <w:spacing w:before="200"/>
              <w:pStyle w:val="ImageCaption"/>
            </w:pPr>
            <w:r>
              <w:t xml:space="preserve">Table BA. Number of sites per phase before and after figurine exclusion. Sites are lost when all objects at that site are figurines.</w:t>
            </w:r>
          </w:p>
          <w:bookmarkEnd w:id="278"/>
        </w:tc>
      </w:tr>
    </w:tbl>
    <w:p>
      <w:pPr>
        <w:pStyle w:val="BodyText"/>
      </w:pPr>
      <w:r>
        <w:rPr>
          <w:bCs/>
          <w:b/>
        </w:rPr>
        <w:t xml:space="preserve">Result under all-figurine exclusion.</w:t>
      </w:r>
      <w:r>
        <w:t xml:space="preserve"> </w:t>
      </w:r>
      <w:r>
        <w:t xml:space="preserve">Excluding all 63 figurines has only a small effect on the Aur-P1 network: the number of edges changes from 75 to 74, and mean degree falls from 7.5 to 7.4, with no sites lost (all 20 sites retained). Aur-P2 is unchanged (mean degree 4.22, 19 edges, 9 sites): the 4 Hohle Fels figurines removed from it do not alter the site’s sign repertoire, so its network is unaffected. The detectable Aur-P1 effects are declines in transitivity (0.711 → 0.683) and modularity (0.336 → 0.318), indicating that figurines contribute modestly to community cohesion but do not create the communities themselves.</w:t>
      </w:r>
    </w:p>
    <w:p>
      <w:pPr>
        <w:pStyle w:val="BodyText"/>
      </w:pPr>
      <w:r>
        <w:t xml:space="preserve">Critically, Aur-P1 retains the higher mean degree (7.4) under figurine exclusion, preserving the main-text ordering Aur-P1 &gt; Aur-P2 (7.4 &gt; 4.22). The Aur-P1 network retains its higher raw mean degree regardless of figurine inclusion. Its size-adjusted statistics are not higher than those of Aur-P2 (</w:t>
      </w:r>
      <w:r>
        <w:t xml:space="preserve">Section S1.7.6</w:t>
      </w:r>
      <w:r>
        <w:t xml:space="preserve">), confirming that its structure is not contingent on figurine-bearing sign assemblages at Vogelherd.</w:t>
      </w:r>
    </w:p>
    <w:p>
      <w:pPr>
        <w:pStyle w:val="BodyText"/>
      </w:pPr>
      <w:r>
        <w:rPr>
          <w:bCs/>
          <w:b/>
        </w:rPr>
        <w:t xml:space="preserve">Analysis 2: exclude Vogelherd figurines only.</w:t>
      </w:r>
    </w:p>
    <w:p>
      <w:pPr>
        <w:pStyle w:val="BodyText"/>
      </w:pPr>
      <w:r>
        <w:rPr>
          <w:bCs/>
          <w:b/>
        </w:rPr>
        <w:t xml:space="preserve">Method.</w:t>
      </w:r>
      <w:r>
        <w:t xml:space="preserve"> </w:t>
      </w:r>
      <w:r>
        <w:t xml:space="preserve">Rather than removing all figurines globally, this analysis removes only the 50 figurines from Vogelherd, the site where figurines are most concentrated, while retaining figurines at other sites. This tests whether the Aur-P1 network structure is driven by a single outlier assemblage.</w:t>
      </w:r>
    </w:p>
    <w:tbl>
      <w:tblPr>
        <w:tblStyle w:val="Table"/>
        <w:tblW w:type="pct" w:w="5000"/>
        <w:tblLook w:firstRow="0" w:lastRow="0" w:firstColumn="0" w:lastColumn="0" w:noHBand="0" w:noVBand="0" w:val="0000"/>
        <w:jc w:val="start"/>
        <w:tblLayout w:type="fixed"/>
      </w:tblPr>
      <w:tblGrid>
        <w:gridCol w:w="7920"/>
      </w:tblGrid>
      <w:tr>
        <w:tc>
          <w:tcPr/>
          <w:bookmarkStart w:id="279" w:name="tbl-vogelherd-exclude"/>
          <w:tbl>
            <w:tblPr>
              <w:tblStyle w:val="Table"/>
              <w:tblW w:type="pct" w:w="5000"/>
              <w:tblLook w:firstRow="1" w:lastRow="0" w:firstColumn="0" w:lastColumn="0" w:noHBand="0" w:noVBand="0" w:val="0020"/>
              <w:jc w:val="start"/>
              <w:tblLayout w:type="fixed"/>
            </w:tblPr>
            <w:tblGrid>
              <w:gridCol w:w="792"/>
              <w:gridCol w:w="633"/>
              <w:gridCol w:w="633"/>
              <w:gridCol w:w="792"/>
              <w:gridCol w:w="950"/>
              <w:gridCol w:w="1108"/>
              <w:gridCol w:w="1108"/>
              <w:gridCol w:w="1900"/>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c>
                <w:tcPr/>
                <w:p>
                  <w:pPr>
                    <w:pStyle w:val="Compact"/>
                    <w:jc w:val="left"/>
                    <w:jc w:val="left"/>
                  </w:pPr>
                  <w:r>
                    <w:t xml:space="preserve">Condition</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c>
                <w:tcPr/>
                <w:p>
                  <w:pPr>
                    <w:pStyle w:val="Compact"/>
                    <w:jc w:val="left"/>
                    <w:jc w:val="left"/>
                  </w:pPr>
                  <w:r>
                    <w:t xml:space="preserve">Baseline (all objects)</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Baseline (all objects)</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74</w:t>
                  </w:r>
                </w:p>
              </w:tc>
              <w:tc>
                <w:tcPr/>
                <w:p>
                  <w:pPr>
                    <w:pStyle w:val="Compact"/>
                    <w:jc w:val="left"/>
                    <w:jc w:val="left"/>
                  </w:pPr>
                  <w:r>
                    <w:t xml:space="preserve">0.389</w:t>
                  </w:r>
                </w:p>
              </w:tc>
              <w:tc>
                <w:tcPr/>
                <w:p>
                  <w:pPr>
                    <w:pStyle w:val="Compact"/>
                    <w:jc w:val="left"/>
                    <w:jc w:val="left"/>
                  </w:pPr>
                  <w:r>
                    <w:t xml:space="preserve">7.40</w:t>
                  </w:r>
                </w:p>
              </w:tc>
              <w:tc>
                <w:tcPr/>
                <w:p>
                  <w:pPr>
                    <w:pStyle w:val="Compact"/>
                    <w:jc w:val="left"/>
                    <w:jc w:val="left"/>
                  </w:pPr>
                  <w:r>
                    <w:t xml:space="preserve">0.706</w:t>
                  </w:r>
                </w:p>
              </w:tc>
              <w:tc>
                <w:tcPr/>
                <w:p>
                  <w:pPr>
                    <w:pStyle w:val="Compact"/>
                    <w:jc w:val="left"/>
                    <w:jc w:val="left"/>
                  </w:pPr>
                  <w:r>
                    <w:t xml:space="preserve">0.333</w:t>
                  </w:r>
                </w:p>
              </w:tc>
              <w:tc>
                <w:tcPr/>
                <w:p>
                  <w:pPr>
                    <w:pStyle w:val="Compact"/>
                    <w:jc w:val="left"/>
                    <w:jc w:val="left"/>
                  </w:pPr>
                  <w:r>
                    <w:t xml:space="preserve">Exclude Vogelherd figurines</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Exclude Vogelherd figurines</w:t>
                  </w:r>
                </w:p>
              </w:tc>
            </w:tr>
          </w:tbl>
          <w:p>
            <w:pPr>
              <w:jc w:val="left"/>
            </w:pPr>
            <w:pPr>
              <w:jc w:val="start"/>
              <w:spacing w:before="200"/>
              <w:pStyle w:val="ImageCaption"/>
            </w:pPr>
            <w:r>
              <w:t xml:space="preserve">Table BB. Network statistics before and after excluding figurines from Vogelherd only. All other figurines (Hohle Fels, Geissenklösterle, Hohlenstein-Stadel, La Ferrassie) are retained. Threshold = 0.2, Jaccard similarity.</w:t>
            </w:r>
          </w:p>
          <w:bookmarkEnd w:id="279"/>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280" w:name="tbl-vogelherd-objects"/>
          <w:tbl>
            <w:tblPr>
              <w:tblStyle w:val="Table"/>
              <w:tblW w:type="pct" w:w="5000"/>
              <w:tblLook w:firstRow="1" w:lastRow="0" w:firstColumn="0" w:lastColumn="0" w:noHBand="0" w:noVBand="0" w:val="0020"/>
              <w:jc w:val="start"/>
              <w:tblLayout w:type="fixed"/>
            </w:tblPr>
            <w:tblGrid>
              <w:gridCol w:w="1900"/>
              <w:gridCol w:w="2059"/>
              <w:gridCol w:w="2376"/>
              <w:gridCol w:w="1584"/>
            </w:tblGrid>
            <w:tr>
              <w:trPr>
                <w:tblHeader w:val="true"/>
              </w:trPr>
              <w:tc>
                <w:tcPr/>
                <w:p>
                  <w:pPr>
                    <w:pStyle w:val="Compact"/>
                    <w:jc w:val="left"/>
                    <w:jc w:val="left"/>
                  </w:pPr>
                  <w:r>
                    <w:t xml:space="preserve">Phase</w:t>
                  </w:r>
                </w:p>
              </w:tc>
              <w:tc>
                <w:tcPr/>
                <w:p>
                  <w:pPr>
                    <w:pStyle w:val="Compact"/>
                    <w:jc w:val="left"/>
                    <w:jc w:val="left"/>
                  </w:pPr>
                  <w:r>
                    <w:t xml:space="preserve">Objects (all)</w:t>
                  </w:r>
                </w:p>
              </w:tc>
              <w:tc>
                <w:tcPr/>
                <w:p>
                  <w:pPr>
                    <w:pStyle w:val="Compact"/>
                    <w:jc w:val="left"/>
                    <w:jc w:val="left"/>
                  </w:pPr>
                  <w:r>
                    <w:t xml:space="preserve">Objects (no figurines)</w:t>
                  </w:r>
                </w:p>
              </w:tc>
              <w:tc>
                <w:tcPr/>
                <w:p>
                  <w:pPr>
                    <w:pStyle w:val="Compact"/>
                    <w:jc w:val="left"/>
                    <w:jc w:val="left"/>
                  </w:pPr>
                  <w:r>
                    <w:t xml:space="preserve">Removed</w:t>
                  </w:r>
                </w:p>
              </w:tc>
            </w:tr>
            <w:tr>
              <w:tc>
                <w:tcPr/>
                <w:p>
                  <w:pPr>
                    <w:pStyle w:val="Compact"/>
                    <w:jc w:val="left"/>
                    <w:jc w:val="left"/>
                  </w:pPr>
                  <w:r>
                    <w:t xml:space="preserve">Aur-P1</w:t>
                  </w:r>
                </w:p>
              </w:tc>
              <w:tc>
                <w:tcPr/>
                <w:p>
                  <w:pPr>
                    <w:pStyle w:val="Compact"/>
                    <w:jc w:val="left"/>
                    <w:jc w:val="left"/>
                  </w:pPr>
                  <w:r>
                    <w:t xml:space="preserve">173</w:t>
                  </w:r>
                </w:p>
              </w:tc>
              <w:tc>
                <w:tcPr/>
                <w:p>
                  <w:pPr>
                    <w:pStyle w:val="Compact"/>
                    <w:jc w:val="left"/>
                    <w:jc w:val="left"/>
                  </w:pPr>
                  <w:r>
                    <w:t xml:space="preserve">123</w:t>
                  </w:r>
                </w:p>
              </w:tc>
              <w:tc>
                <w:tcPr/>
                <w:p>
                  <w:pPr>
                    <w:pStyle w:val="Compact"/>
                    <w:jc w:val="left"/>
                    <w:jc w:val="left"/>
                  </w:pPr>
                  <w:r>
                    <w:t xml:space="preserve">50</w:t>
                  </w:r>
                </w:p>
              </w:tc>
            </w:tr>
          </w:tbl>
          <w:p>
            <w:pPr>
              <w:jc w:val="left"/>
            </w:pPr>
            <w:pPr>
              <w:jc w:val="start"/>
              <w:spacing w:before="200"/>
              <w:pStyle w:val="ImageCaption"/>
            </w:pPr>
            <w:r>
              <w:t xml:space="preserve">Table BC. Vogelherd object counts before and after removing figurines. Non-figurine objects at Vogelherd (tools, plaquettes, etc.) are retained.</w:t>
            </w:r>
          </w:p>
          <w:bookmarkEnd w:id="280"/>
        </w:tc>
      </w:tr>
    </w:tbl>
    <w:p>
      <w:pPr>
        <w:pStyle w:val="BodyText"/>
      </w:pPr>
      <w:r>
        <w:rPr>
          <w:bCs/>
          <w:b/>
        </w:rPr>
        <w:t xml:space="preserve">Result under Vogelherd-only exclusion.</w:t>
      </w:r>
      <w:r>
        <w:t xml:space="preserve"> </w:t>
      </w:r>
      <w:r>
        <w:t xml:space="preserve">Removing only Vogelherd’s figurines (50 objects: 173 → 123 in Aur-P1) has a negligible effect on Aur-P1: mean degree drops from 7.5 to 7.4 (-1.3%), the number of edges changes from 75 to 74, and modularity decreases from 0.336 to 0.333. Aur-P2 shows no change whatsoever (mean degree 4.22 → 4.22, modularity 0.161 → 0.161), confirming that Vogelherd figurines do not contribute to network structure in the later phase.</w:t>
      </w:r>
    </w:p>
    <w:p>
      <w:pPr>
        <w:pStyle w:val="BodyText"/>
      </w:pPr>
      <w:r>
        <w:t xml:space="preserve">The effect of removing Vogelherd figurines alone (-1.3% in Aur-P1) is the same as removing all 63 figurines globally (-1.3%), and in both cases the mean degree is essentially unchanged. The figurines at Hohle Fels (4, 4), Geissenklösterle (3), Hohlenstein-Stadel (1) and La Ferrassie (1) do not change the number of edges or the mean degree. They do change the finer structure of the Aur-P1 network. When they are removed together with the Vogelherd figurines, transitivity falls from 0.706 to 0.683 and modularity falls from 0.333 to 0.318 (</w:t>
      </w:r>
      <w:hyperlink w:anchor="tbl-objtype-joint">
        <w:r>
          <w:rPr>
            <w:rStyle w:val="Hyperlink"/>
          </w:rPr>
          <w:t xml:space="preserve">Table BD</w:t>
        </w:r>
      </w:hyperlink>
      <w:r>
        <w:t xml:space="preserve">). The 4 Hohle Fels figurines assigned to Aur-P2 leave that phase’s network unchanged. Within Aur-P1, the connectivity of Vogelherd is carried by its 123 non-figurine objects.</w:t>
      </w:r>
    </w:p>
    <w:p>
      <w:pPr>
        <w:pStyle w:val="BodyText"/>
      </w:pPr>
      <w:r>
        <w:rPr>
          <w:bCs/>
          <w:b/>
        </w:rPr>
        <w:t xml:space="preserve">Joint comparison.</w:t>
      </w:r>
    </w:p>
    <w:tbl>
      <w:tblPr>
        <w:tblStyle w:val="Table"/>
        <w:tblW w:type="pct" w:w="5000"/>
        <w:tblLook w:firstRow="0" w:lastRow="0" w:firstColumn="0" w:lastColumn="0" w:noHBand="0" w:noVBand="0" w:val="0000"/>
        <w:jc w:val="start"/>
        <w:tblLayout w:type="fixed"/>
      </w:tblPr>
      <w:tblGrid>
        <w:gridCol w:w="7920"/>
      </w:tblGrid>
      <w:tr>
        <w:tc>
          <w:tcPr/>
          <w:bookmarkStart w:id="281" w:name="tbl-objtype-joint"/>
          <w:tbl>
            <w:tblPr>
              <w:tblStyle w:val="Table"/>
              <w:tblW w:type="pct" w:w="5000"/>
              <w:tblLook w:firstRow="1" w:lastRow="0" w:firstColumn="0" w:lastColumn="0" w:noHBand="0" w:noVBand="0" w:val="0020"/>
              <w:jc w:val="start"/>
              <w:tblLayout w:type="fixed"/>
            </w:tblPr>
            <w:tblGrid>
              <w:gridCol w:w="792"/>
              <w:gridCol w:w="1742"/>
              <w:gridCol w:w="633"/>
              <w:gridCol w:w="633"/>
              <w:gridCol w:w="1029"/>
              <w:gridCol w:w="1108"/>
              <w:gridCol w:w="1108"/>
              <w:gridCol w:w="871"/>
            </w:tblGrid>
            <w:tr>
              <w:trPr>
                <w:tblHeader w:val="true"/>
              </w:trPr>
              <w:tc>
                <w:tcPr/>
                <w:p>
                  <w:pPr>
                    <w:pStyle w:val="Compact"/>
                    <w:jc w:val="left"/>
                    <w:jc w:val="left"/>
                  </w:pPr>
                  <w:r>
                    <w:t xml:space="preserve">Phase</w:t>
                  </w:r>
                </w:p>
              </w:tc>
              <w:tc>
                <w:tcPr/>
                <w:p>
                  <w:pPr>
                    <w:pStyle w:val="Compact"/>
                    <w:jc w:val="left"/>
                    <w:jc w:val="left"/>
                  </w:pPr>
                  <w:r>
                    <w:t xml:space="preserve">Condition</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c>
                <w:tcPr/>
                <w:p>
                  <w:pPr>
                    <w:pStyle w:val="Compact"/>
                    <w:jc w:val="left"/>
                    <w:jc w:val="left"/>
                  </w:pPr>
                  <w:r>
                    <w:t xml:space="preserve">Δ mean degree (%)</w:t>
                  </w:r>
                </w:p>
              </w:tc>
            </w:tr>
            <w:tr>
              <w:tc>
                <w:tcPr/>
                <w:p>
                  <w:pPr>
                    <w:pStyle w:val="Compact"/>
                    <w:jc w:val="left"/>
                    <w:jc w:val="left"/>
                  </w:pPr>
                  <w:r>
                    <w:t xml:space="preserve">Aur-P1</w:t>
                  </w:r>
                </w:p>
              </w:tc>
              <w:tc>
                <w:tcPr/>
                <w:p>
                  <w:pPr>
                    <w:pStyle w:val="Compact"/>
                    <w:jc w:val="left"/>
                    <w:jc w:val="left"/>
                  </w:pPr>
                  <w:r>
                    <w:t xml:space="preserve">Baseline (all objects)</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c>
                <w:tcPr/>
                <w:p>
                  <w:pPr>
                    <w:pStyle w:val="Compact"/>
                    <w:jc w:val="left"/>
                    <w:jc w:val="left"/>
                  </w:pPr>
                  <w:r>
                    <w:t xml:space="preserve">0.0</w:t>
                  </w:r>
                </w:p>
              </w:tc>
            </w:tr>
            <w:tr>
              <w:tc>
                <w:tcPr/>
                <w:p>
                  <w:pPr>
                    <w:pStyle w:val="Compact"/>
                    <w:jc w:val="left"/>
                    <w:jc w:val="left"/>
                  </w:pPr>
                  <w:r>
                    <w:t xml:space="preserve">Aur-P2</w:t>
                  </w:r>
                </w:p>
              </w:tc>
              <w:tc>
                <w:tcPr/>
                <w:p>
                  <w:pPr>
                    <w:pStyle w:val="Compact"/>
                    <w:jc w:val="left"/>
                    <w:jc w:val="left"/>
                  </w:pPr>
                  <w:r>
                    <w:t xml:space="preserve">Baseline (all objects)</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0.0</w:t>
                  </w:r>
                </w:p>
              </w:tc>
            </w:tr>
            <w:tr>
              <w:tc>
                <w:tcPr/>
                <w:p>
                  <w:pPr>
                    <w:pStyle w:val="Compact"/>
                    <w:jc w:val="left"/>
                    <w:jc w:val="left"/>
                  </w:pPr>
                  <w:r>
                    <w:t xml:space="preserve">Aur-P1</w:t>
                  </w:r>
                </w:p>
              </w:tc>
              <w:tc>
                <w:tcPr/>
                <w:p>
                  <w:pPr>
                    <w:pStyle w:val="Compact"/>
                    <w:jc w:val="left"/>
                    <w:jc w:val="left"/>
                  </w:pPr>
                  <w:r>
                    <w:t xml:space="preserve">Exclude all figurines</w:t>
                  </w:r>
                </w:p>
              </w:tc>
              <w:tc>
                <w:tcPr/>
                <w:p>
                  <w:pPr>
                    <w:pStyle w:val="Compact"/>
                    <w:jc w:val="left"/>
                    <w:jc w:val="left"/>
                  </w:pPr>
                  <w:r>
                    <w:t xml:space="preserve">20</w:t>
                  </w:r>
                </w:p>
              </w:tc>
              <w:tc>
                <w:tcPr/>
                <w:p>
                  <w:pPr>
                    <w:pStyle w:val="Compact"/>
                    <w:jc w:val="left"/>
                    <w:jc w:val="left"/>
                  </w:pPr>
                  <w:r>
                    <w:t xml:space="preserve">74</w:t>
                  </w:r>
                </w:p>
              </w:tc>
              <w:tc>
                <w:tcPr/>
                <w:p>
                  <w:pPr>
                    <w:pStyle w:val="Compact"/>
                    <w:jc w:val="left"/>
                    <w:jc w:val="left"/>
                  </w:pPr>
                  <w:r>
                    <w:t xml:space="preserve">7.40</w:t>
                  </w:r>
                </w:p>
              </w:tc>
              <w:tc>
                <w:tcPr/>
                <w:p>
                  <w:pPr>
                    <w:pStyle w:val="Compact"/>
                    <w:jc w:val="left"/>
                    <w:jc w:val="left"/>
                  </w:pPr>
                  <w:r>
                    <w:t xml:space="preserve">0.683</w:t>
                  </w:r>
                </w:p>
              </w:tc>
              <w:tc>
                <w:tcPr/>
                <w:p>
                  <w:pPr>
                    <w:pStyle w:val="Compact"/>
                    <w:jc w:val="left"/>
                    <w:jc w:val="left"/>
                  </w:pPr>
                  <w:r>
                    <w:t xml:space="preserve">0.318</w:t>
                  </w:r>
                </w:p>
              </w:tc>
              <w:tc>
                <w:tcPr/>
                <w:p>
                  <w:pPr>
                    <w:pStyle w:val="Compact"/>
                    <w:jc w:val="left"/>
                    <w:jc w:val="left"/>
                  </w:pPr>
                  <w:r>
                    <w:t xml:space="preserve">-1.3</w:t>
                  </w:r>
                </w:p>
              </w:tc>
            </w:tr>
            <w:tr>
              <w:tc>
                <w:tcPr/>
                <w:p>
                  <w:pPr>
                    <w:pStyle w:val="Compact"/>
                    <w:jc w:val="left"/>
                    <w:jc w:val="left"/>
                  </w:pPr>
                  <w:r>
                    <w:t xml:space="preserve">Aur-P2</w:t>
                  </w:r>
                </w:p>
              </w:tc>
              <w:tc>
                <w:tcPr/>
                <w:p>
                  <w:pPr>
                    <w:pStyle w:val="Compact"/>
                    <w:jc w:val="left"/>
                    <w:jc w:val="left"/>
                  </w:pPr>
                  <w:r>
                    <w:t xml:space="preserve">Exclude all figurines</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0.0</w:t>
                  </w:r>
                </w:p>
              </w:tc>
            </w:tr>
            <w:tr>
              <w:tc>
                <w:tcPr/>
                <w:p>
                  <w:pPr>
                    <w:pStyle w:val="Compact"/>
                    <w:jc w:val="left"/>
                    <w:jc w:val="left"/>
                  </w:pPr>
                  <w:r>
                    <w:t xml:space="preserve">Aur-P1</w:t>
                  </w:r>
                </w:p>
              </w:tc>
              <w:tc>
                <w:tcPr/>
                <w:p>
                  <w:pPr>
                    <w:pStyle w:val="Compact"/>
                    <w:jc w:val="left"/>
                    <w:jc w:val="left"/>
                  </w:pPr>
                  <w:r>
                    <w:t xml:space="preserve">Exclude Vogelherd figurines</w:t>
                  </w:r>
                </w:p>
              </w:tc>
              <w:tc>
                <w:tcPr/>
                <w:p>
                  <w:pPr>
                    <w:pStyle w:val="Compact"/>
                    <w:jc w:val="left"/>
                    <w:jc w:val="left"/>
                  </w:pPr>
                  <w:r>
                    <w:t xml:space="preserve">20</w:t>
                  </w:r>
                </w:p>
              </w:tc>
              <w:tc>
                <w:tcPr/>
                <w:p>
                  <w:pPr>
                    <w:pStyle w:val="Compact"/>
                    <w:jc w:val="left"/>
                    <w:jc w:val="left"/>
                  </w:pPr>
                  <w:r>
                    <w:t xml:space="preserve">74</w:t>
                  </w:r>
                </w:p>
              </w:tc>
              <w:tc>
                <w:tcPr/>
                <w:p>
                  <w:pPr>
                    <w:pStyle w:val="Compact"/>
                    <w:jc w:val="left"/>
                    <w:jc w:val="left"/>
                  </w:pPr>
                  <w:r>
                    <w:t xml:space="preserve">7.40</w:t>
                  </w:r>
                </w:p>
              </w:tc>
              <w:tc>
                <w:tcPr/>
                <w:p>
                  <w:pPr>
                    <w:pStyle w:val="Compact"/>
                    <w:jc w:val="left"/>
                    <w:jc w:val="left"/>
                  </w:pPr>
                  <w:r>
                    <w:t xml:space="preserve">0.706</w:t>
                  </w:r>
                </w:p>
              </w:tc>
              <w:tc>
                <w:tcPr/>
                <w:p>
                  <w:pPr>
                    <w:pStyle w:val="Compact"/>
                    <w:jc w:val="left"/>
                    <w:jc w:val="left"/>
                  </w:pPr>
                  <w:r>
                    <w:t xml:space="preserve">0.333</w:t>
                  </w:r>
                </w:p>
              </w:tc>
              <w:tc>
                <w:tcPr/>
                <w:p>
                  <w:pPr>
                    <w:pStyle w:val="Compact"/>
                    <w:jc w:val="left"/>
                    <w:jc w:val="left"/>
                  </w:pPr>
                  <w:r>
                    <w:t xml:space="preserve">-1.3</w:t>
                  </w:r>
                </w:p>
              </w:tc>
            </w:tr>
            <w:tr>
              <w:tc>
                <w:tcPr/>
                <w:p>
                  <w:pPr>
                    <w:pStyle w:val="Compact"/>
                    <w:jc w:val="left"/>
                    <w:jc w:val="left"/>
                  </w:pPr>
                  <w:r>
                    <w:t xml:space="preserve">Aur-P2</w:t>
                  </w:r>
                </w:p>
              </w:tc>
              <w:tc>
                <w:tcPr/>
                <w:p>
                  <w:pPr>
                    <w:pStyle w:val="Compact"/>
                    <w:jc w:val="left"/>
                    <w:jc w:val="left"/>
                  </w:pPr>
                  <w:r>
                    <w:t xml:space="preserve">Exclude Vogelherd figurines</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0.0</w:t>
                  </w:r>
                </w:p>
              </w:tc>
            </w:tr>
          </w:tbl>
          <w:p>
            <w:pPr>
              <w:jc w:val="left"/>
            </w:pPr>
            <w:pPr>
              <w:jc w:val="start"/>
              <w:spacing w:before="200"/>
              <w:pStyle w:val="ImageCaption"/>
            </w:pPr>
            <w:r>
              <w:t xml:space="preserve">Table BD. Side-by-side comparison of network statistics across all conditions: baseline (all objects), exclude all figurines, and exclude Vogelherd figurines only. The rightmost columns show the percentage change in mean degree from baseline.</w:t>
            </w:r>
          </w:p>
          <w:bookmarkEnd w:id="281"/>
        </w:tc>
      </w:tr>
    </w:tbl>
    <w:p>
      <w:pPr>
        <w:pStyle w:val="BodyText"/>
      </w:pPr>
      <w:r>
        <w:rPr>
          <w:bCs/>
          <w:b/>
        </w:rPr>
        <w:t xml:space="preserve">Joint comparison detail.</w:t>
      </w:r>
      <w:r>
        <w:t xml:space="preserve"> </w:t>
      </w:r>
      <w:r>
        <w:t xml:space="preserve">The joint comparison in</w:t>
      </w:r>
      <w:r>
        <w:t xml:space="preserve"> </w:t>
      </w:r>
      <w:hyperlink w:anchor="tbl-objtype-joint">
        <w:r>
          <w:rPr>
            <w:rStyle w:val="Hyperlink"/>
          </w:rPr>
          <w:t xml:space="preserve">Table BD</w:t>
        </w:r>
      </w:hyperlink>
      <w:r>
        <w:t xml:space="preserve"> </w:t>
      </w:r>
      <w:r>
        <w:t xml:space="preserve">shows that figurine exclusion has a modest and phase-dependent effect on network structure:</w:t>
      </w:r>
    </w:p>
    <w:tbl>
      <w:tblPr>
        <w:tblStyle w:val="Table"/>
        <w:tblW w:type="pct" w:w="5000"/>
        <w:tblLook w:firstRow="0" w:lastRow="0" w:firstColumn="0" w:lastColumn="0" w:noHBand="0" w:noVBand="0" w:val="0000"/>
        <w:jc w:val="start"/>
        <w:tblLayout w:type="fixed"/>
      </w:tblPr>
      <w:tblGrid>
        <w:gridCol w:w="7920"/>
      </w:tblGrid>
      <w:tr>
        <w:tc>
          <w:tcPr/>
          <w:bookmarkStart w:id="282" w:name="tbl-meandegree-summary"/>
          <w:tbl>
            <w:tblPr>
              <w:tblStyle w:val="Table"/>
              <w:tblW w:type="pct" w:w="5000"/>
              <w:tblLook w:firstRow="1" w:lastRow="0" w:firstColumn="0" w:lastColumn="0" w:noHBand="0" w:noVBand="0" w:val="0020"/>
              <w:jc w:val="start"/>
              <w:tblLayout w:type="fixed"/>
            </w:tblPr>
            <w:tblGrid>
              <w:gridCol w:w="1029"/>
              <w:gridCol w:w="1742"/>
              <w:gridCol w:w="1425"/>
              <w:gridCol w:w="871"/>
              <w:gridCol w:w="1742"/>
              <w:gridCol w:w="1108"/>
            </w:tblGrid>
            <w:tr>
              <w:trPr>
                <w:tblHeader w:val="true"/>
              </w:trPr>
              <w:tc>
                <w:tcPr/>
                <w:p>
                  <w:pPr>
                    <w:pStyle w:val="Compact"/>
                    <w:jc w:val="left"/>
                    <w:jc w:val="left"/>
                  </w:pPr>
                  <w:r>
                    <w:t xml:space="preserve">Phase</w:t>
                  </w:r>
                </w:p>
              </w:tc>
              <w:tc>
                <w:tcPr/>
                <w:p>
                  <w:pPr>
                    <w:pStyle w:val="Compact"/>
                    <w:jc w:val="left"/>
                    <w:jc w:val="left"/>
                  </w:pPr>
                  <w:r>
                    <w:t xml:space="preserve">Baseline mean degree</w:t>
                  </w:r>
                </w:p>
              </w:tc>
              <w:tc>
                <w:tcPr/>
                <w:p>
                  <w:pPr>
                    <w:pStyle w:val="Compact"/>
                    <w:jc w:val="left"/>
                    <w:jc w:val="left"/>
                  </w:pPr>
                  <w:r>
                    <w:t xml:space="preserve">No figurines</w:t>
                  </w:r>
                </w:p>
              </w:tc>
              <w:tc>
                <w:tcPr/>
                <w:p>
                  <w:pPr>
                    <w:pStyle w:val="Compact"/>
                    <w:jc w:val="left"/>
                    <w:jc w:val="left"/>
                  </w:pPr>
                  <w:r>
                    <w:t xml:space="preserve">Δ</w:t>
                  </w:r>
                </w:p>
              </w:tc>
              <w:tc>
                <w:tcPr/>
                <w:p>
                  <w:pPr>
                    <w:pStyle w:val="Compact"/>
                    <w:jc w:val="left"/>
                    <w:jc w:val="left"/>
                  </w:pPr>
                  <w:r>
                    <w:t xml:space="preserve">Vogelherd only</w:t>
                  </w:r>
                </w:p>
              </w:tc>
              <w:tc>
                <w:tcPr/>
                <w:p>
                  <w:pPr>
                    <w:pStyle w:val="Compact"/>
                    <w:jc w:val="left"/>
                    <w:jc w:val="left"/>
                  </w:pPr>
                  <w:r>
                    <w:t xml:space="preserve">Δ</w:t>
                  </w:r>
                </w:p>
              </w:tc>
            </w:tr>
            <w:tr>
              <w:tc>
                <w:tcPr/>
                <w:p>
                  <w:pPr>
                    <w:pStyle w:val="Compact"/>
                    <w:jc w:val="left"/>
                    <w:jc w:val="left"/>
                  </w:pPr>
                  <w:r>
                    <w:t xml:space="preserve">Aur-P1</w:t>
                  </w:r>
                </w:p>
              </w:tc>
              <w:tc>
                <w:tcPr/>
                <w:p>
                  <w:pPr>
                    <w:pStyle w:val="Compact"/>
                    <w:jc w:val="left"/>
                    <w:jc w:val="left"/>
                  </w:pPr>
                  <w:r>
                    <w:t xml:space="preserve">7.50</w:t>
                  </w:r>
                </w:p>
              </w:tc>
              <w:tc>
                <w:tcPr/>
                <w:p>
                  <w:pPr>
                    <w:pStyle w:val="Compact"/>
                    <w:jc w:val="left"/>
                    <w:jc w:val="left"/>
                  </w:pPr>
                  <w:r>
                    <w:t xml:space="preserve">7.40</w:t>
                  </w:r>
                </w:p>
              </w:tc>
              <w:tc>
                <w:tcPr/>
                <w:p>
                  <w:pPr>
                    <w:pStyle w:val="Compact"/>
                    <w:jc w:val="left"/>
                    <w:jc w:val="left"/>
                  </w:pPr>
                  <w:r>
                    <w:t xml:space="preserve">-1.3%</w:t>
                  </w:r>
                </w:p>
              </w:tc>
              <w:tc>
                <w:tcPr/>
                <w:p>
                  <w:pPr>
                    <w:pStyle w:val="Compact"/>
                    <w:jc w:val="left"/>
                    <w:jc w:val="left"/>
                  </w:pPr>
                  <w:r>
                    <w:t xml:space="preserve">7.40</w:t>
                  </w:r>
                </w:p>
              </w:tc>
              <w:tc>
                <w:tcPr/>
                <w:p>
                  <w:pPr>
                    <w:pStyle w:val="Compact"/>
                    <w:jc w:val="left"/>
                    <w:jc w:val="left"/>
                  </w:pPr>
                  <w:r>
                    <w:t xml:space="preserve">-1.3%</w:t>
                  </w:r>
                </w:p>
              </w:tc>
            </w:tr>
            <w:tr>
              <w:tc>
                <w:tcPr/>
                <w:p>
                  <w:pPr>
                    <w:pStyle w:val="Compact"/>
                    <w:jc w:val="left"/>
                    <w:jc w:val="left"/>
                  </w:pPr>
                  <w:r>
                    <w:t xml:space="preserve">Aur-P2</w:t>
                  </w:r>
                </w:p>
              </w:tc>
              <w:tc>
                <w:tcPr/>
                <w:p>
                  <w:pPr>
                    <w:pStyle w:val="Compact"/>
                    <w:jc w:val="left"/>
                    <w:jc w:val="left"/>
                  </w:pPr>
                  <w:r>
                    <w:t xml:space="preserve">4.22</w:t>
                  </w:r>
                </w:p>
              </w:tc>
              <w:tc>
                <w:tcPr/>
                <w:p>
                  <w:pPr>
                    <w:pStyle w:val="Compact"/>
                    <w:jc w:val="left"/>
                    <w:jc w:val="left"/>
                  </w:pPr>
                  <w:r>
                    <w:t xml:space="preserve">4.22</w:t>
                  </w:r>
                </w:p>
              </w:tc>
              <w:tc>
                <w:tcPr/>
                <w:p>
                  <w:pPr>
                    <w:pStyle w:val="Compact"/>
                    <w:jc w:val="left"/>
                    <w:jc w:val="left"/>
                  </w:pPr>
                  <w:r>
                    <w:t xml:space="preserve">0.0%</w:t>
                  </w:r>
                </w:p>
              </w:tc>
              <w:tc>
                <w:tcPr/>
                <w:p>
                  <w:pPr>
                    <w:pStyle w:val="Compact"/>
                    <w:jc w:val="left"/>
                    <w:jc w:val="left"/>
                  </w:pPr>
                  <w:r>
                    <w:t xml:space="preserve">4.22</w:t>
                  </w:r>
                </w:p>
              </w:tc>
              <w:tc>
                <w:tcPr/>
                <w:p>
                  <w:pPr>
                    <w:pStyle w:val="Compact"/>
                    <w:jc w:val="left"/>
                    <w:jc w:val="left"/>
                  </w:pPr>
                  <w:r>
                    <w:t xml:space="preserve">0.0%</w:t>
                  </w:r>
                </w:p>
              </w:tc>
            </w:tr>
          </w:tbl>
          <w:p>
            <w:pPr>
              <w:jc w:val="left"/>
            </w:pPr>
            <w:pPr>
              <w:jc w:val="start"/>
              <w:spacing w:before="200"/>
              <w:pStyle w:val="ImageCaption"/>
            </w:pPr>
            <w:r>
              <w:t xml:space="preserve">Table BE. Mean degree by figurine-exclusion condition, with percentage change from baseline. Reproduced directly from the joint comparison in</w:t>
            </w:r>
            <w:r>
              <w:t xml:space="preserve"> </w:t>
            </w:r>
            <w:hyperlink w:anchor="tbl-objtype-joint">
              <w:r>
                <w:rPr>
                  <w:rStyle w:val="Hyperlink"/>
                </w:rPr>
                <w:t xml:space="preserve">Table BD</w:t>
              </w:r>
            </w:hyperlink>
            <w:r>
              <w:t xml:space="preserve">.</w:t>
            </w:r>
          </w:p>
          <w:bookmarkEnd w:id="282"/>
        </w:tc>
      </w:tr>
    </w:tbl>
    <w:bookmarkEnd w:id="283"/>
    <w:bookmarkStart w:id="284" w:name="interpretation-24"/>
    <w:p>
      <w:pPr>
        <w:pStyle w:val="Heading3"/>
      </w:pPr>
      <w:r>
        <w:t xml:space="preserve">Interpretation</w:t>
      </w:r>
    </w:p>
    <w:p>
      <w:pPr>
        <w:pStyle w:val="FirstParagraph"/>
      </w:pPr>
      <w:r>
        <w:rPr>
          <w:bCs/>
          <w:b/>
        </w:rPr>
        <w:t xml:space="preserve">Question: does the Aur-P1 greater than Aur-P2 ordering survive when all figurines are excluded?</w:t>
      </w:r>
      <w:r>
        <w:t xml:space="preserve"> </w:t>
      </w:r>
      <w:r>
        <w:t xml:space="preserve">Yes. Mean degree changes are at most -1.3% across both phases and all conditions, and excluding all figurines changes the number of Aur-P1 edges from 75 to 74 (mean degree 7.5 → 7.4) while leaving Aur-P2’s edge set unchanged (19 edges, mean degree 4.22). Modularity decreases slightly for Aur-P1 when figurines are excluded (0.336 → 0.318 excluding all; 0.336 → 0.333 excluding Vogelherd only) while Aur-P2 is unchanged (0.161), indicating that figurines contribute marginally to within-group cohesion but do not create the community structure. The main-text raw mean-degree ordering Aur-P1 &gt; Aur-P2 (7.5 &gt; 4.22) is unchanged when all figurines are excluded (7.4 &gt; 4.22), so Aur-P1 keeps the higher raw mean degree;</w:t>
      </w:r>
      <w:r>
        <w:t xml:space="preserve"> </w:t>
      </w:r>
      <w:r>
        <w:t xml:space="preserve">Section S1.7.6</w:t>
      </w:r>
      <w:r>
        <w:t xml:space="preserve"> </w:t>
      </w:r>
      <w:r>
        <w:t xml:space="preserve">shows that this difference reflects network size.</w:t>
      </w:r>
    </w:p>
    <w:p>
      <w:pPr>
        <w:pStyle w:val="BodyText"/>
      </w:pPr>
      <w:r>
        <w:rPr>
          <w:bCs/>
          <w:b/>
        </w:rPr>
        <w:t xml:space="preserve">Question: does the Aur-P1 greater than Aur-P2 ordering survive when only Vogelherd figurines are excluded?</w:t>
      </w:r>
      <w:r>
        <w:t xml:space="preserve"> </w:t>
      </w:r>
      <w:r>
        <w:t xml:space="preserve">Yes. Removing Vogelherd figurines alone (-1.3% in Aur-P1) produces the same effect as removing all 63 figurines globally (-1.3%). The main-text contrast Aur-P1 &gt; Aur-P2 is unchanged when only Vogelherd figurines are excluded (7.4 &gt; 4.22). Figurines at Hohle Fels (4, 4), Geissenklösterle (3), Hohlenstein-Stadel (1), and La Ferrassie (1) do not alter network structure. This indicates that although Vogelherd’s figurine assemblage is unusually rich, 50 of 63 figurines, and contributes disproportionately to sign-type counts, its 123 remaining non-figurine objects still carry a sufficiently diverse sign repertoire to maintain network connectivity.</w:t>
      </w:r>
    </w:p>
    <w:p>
      <w:pPr>
        <w:pStyle w:val="BodyText"/>
      </w:pPr>
      <w:r>
        <w:rPr>
          <w:bCs/>
          <w:b/>
        </w:rPr>
        <w:t xml:space="preserve">Implication for the main text.</w:t>
      </w:r>
      <w:r>
        <w:t xml:space="preserve"> </w:t>
      </w:r>
      <w:r>
        <w:t xml:space="preserve">The main-text findings are robust to figurine exclusion. The higher raw mean degree of Aur-P1, the community structure, and the site membership of both phases are all preserved when figurines are removed. The concentration of figurines at Vogelherd does not bias the seriation or network results, and the broader-range group’s connectivity within Aur-P1 is supported by non-figurine sign types. We note that modularity decreases slightly when figurines are excluded (Aur-P1: 0.336 → 0.318), suggesting that figurines contribute modestly to community cohesion, consistent with the argument of Bentz and Dutkiewicz</w:t>
      </w:r>
      <w:r>
        <w:t xml:space="preserve"> </w:t>
      </w:r>
      <w:r>
        <w:t xml:space="preserve">[28]</w:t>
      </w:r>
      <w:r>
        <w:t xml:space="preserve"> </w:t>
      </w:r>
      <w:r>
        <w:t xml:space="preserve">that figurines carry high-information sign sequences, but the communities themselves are defined by shared sign types across all object types.</w:t>
      </w:r>
    </w:p>
    <w:bookmarkEnd w:id="284"/>
    <w:bookmarkEnd w:id="285"/>
    <w:bookmarkStart w:id="286" w:name="sec-s12-7"/>
    <w:p>
      <w:pPr>
        <w:pStyle w:val="Heading2"/>
      </w:pPr>
      <w:r>
        <w:t xml:space="preserve">S1.12.8 Synthesis and Limitation</w:t>
      </w:r>
    </w:p>
    <w:p>
      <w:pPr>
        <w:pStyle w:val="FirstParagraph"/>
      </w:pPr>
      <w:r>
        <w:t xml:space="preserve">The five sampling analyses converge on a single conclusion. (1) Under object-downsampling, only the best-sampled sites retain their R/B assignment; small-object sites flip group at rates indistinguishable from chance, and mean network modularity falls: in Aur-P1 to 0.09 at k = 10, against 0.336 at baseline, and in Aur-P2 to near zero (</w:t>
      </w:r>
      <w:r>
        <w:t xml:space="preserve">Section S1.12.3</w:t>
      </w:r>
      <w:r>
        <w:t xml:space="preserve">). (2) Coverage-based rarefaction shows the broad/restricted contrast persists among the sites assessable at equal coverage, but the majority of the smallest sites never reach a comparable coverage, so the method cannot vindicate them (</w:t>
      </w:r>
      <w:r>
        <w:t xml:space="preserve">Section S1.12.4</w:t>
      </w:r>
      <w:r>
        <w:t xml:space="preserve">). (3) The offset model’s null group effect was a property of fixing the richness-effort exponent at 1; with the exponent estimated, the group contrast persists, so the gap is not distinguishable from a genuine group difference at saturating effort (</w:t>
      </w:r>
      <w:r>
        <w:t xml:space="preserve">Section S1.12.5</w:t>
      </w:r>
      <w:r>
        <w:t xml:space="preserve">). (4) At equal effort with</w:t>
      </w:r>
      <w:r>
        <w:t xml:space="preserve"> </w:t>
      </w:r>
      <w:r>
        <w:rPr>
          <w:rStyle w:val="VerbatimChar"/>
        </w:rPr>
        <w:t xml:space="preserve">iNEXT</w:t>
      </w:r>
      <w:r>
        <w:t xml:space="preserve">, the Aur-P1 vs Aur-P2 sign-type pool difference lies inside sampling variation, even when restricted to shared object types (</w:t>
      </w:r>
      <w:r>
        <w:t xml:space="preserve">Section S1.12.6</w:t>
      </w:r>
      <w:r>
        <w:t xml:space="preserve">). (5) Under fixed margins the Jaccard group separation is not distinguished from richness structure alone (Aur-P1 exceeds object-sampling expectation; Aur-P2 does not), while Simpson turnover dissimilarity shows no group separation in either phase (</w:t>
      </w:r>
      <w:r>
        <w:t xml:space="preserve">Section S1.10.3</w:t>
      </w:r>
      <w:r>
        <w:t xml:space="preserve">). Figurine exclusion (</w:t>
      </w:r>
      <w:r>
        <w:t xml:space="preserve">Section S1.12.7</w:t>
      </w:r>
      <w:r>
        <w:t xml:space="preserve">) is the exception: it leaves the Aur-P1 greater than Aur-P2 ordering intact. Together these show that the restricted/broad division is</w:t>
      </w:r>
      <w:r>
        <w:t xml:space="preserve"> </w:t>
      </w:r>
      <w:r>
        <w:rPr>
          <w:bCs/>
          <w:b/>
        </w:rPr>
        <w:t xml:space="preserve">not fully independent of sampling intensity</w:t>
      </w:r>
      <w:r>
        <w:t xml:space="preserve">: large broad-range assemblages keep their group under downsampling. The test cannot show the same for restricted assemblages, because no restricted Aur-P1 site has more than 4 objects. Gargas, the largest restricted Aur-P2 site (11 objects), keeps its group in only 3% of the replicates at k = 10. For the many small assemblages, the division is partly an artefact of how many objects were recovered. The raw 26 vs 15 pool contraction does not survive equal-effort standardisation.</w:t>
      </w:r>
    </w:p>
    <w:bookmarkEnd w:id="286"/>
    <w:bookmarkEnd w:id="287"/>
    <w:bookmarkStart w:id="296" w:name="sec-s-power"/>
    <w:p>
      <w:pPr>
        <w:pStyle w:val="Heading1"/>
      </w:pPr>
      <w:r>
        <w:t xml:space="preserve">S1.13 Design Sensitivity: Minimum Detectable Effects</w:t>
      </w:r>
    </w:p>
    <w:bookmarkStart w:id="288" w:name="sec-s-power-rationale"/>
    <w:p>
      <w:pPr>
        <w:pStyle w:val="Heading2"/>
      </w:pPr>
      <w:r>
        <w:t xml:space="preserve">S1.13.1 Rationale</w:t>
      </w:r>
    </w:p>
    <w:p>
      <w:pPr>
        <w:pStyle w:val="FirstParagraph"/>
      </w:pPr>
      <w:r>
        <w:t xml:space="preserve">The main text reports three headline tests: the per-phase Mantel isolation-by-distance tests, the restricted/broad PerMANOVA tests and the Aur-P1 versus Aur-P2 network phase contrast. All of them are non-significant except the Aur-P1 PerMANOVA (p = 0.001;</w:t>
      </w:r>
      <w:r>
        <w:t xml:space="preserve"> </w:t>
      </w:r>
      <w:hyperlink w:anchor="tbl-permanova-comparison">
        <w:r>
          <w:rPr>
            <w:rStyle w:val="Hyperlink"/>
          </w:rPr>
          <w:t xml:space="preserve">Table V</w:t>
        </w:r>
      </w:hyperlink>
      <w:r>
        <w:t xml:space="preserve">). This section asks what effect each test could detect with the fixed samples (Aur-P1 = 20 sites, Aur-P2 = 9 sites). It reports the minimum detectable effect (MDE) at 80% power and α = 0.05 for each test. These are design calculations conditional on the observed margins. They are not post hoc power computed from the observed effects, which restates the observed p-value and must not be reported</w:t>
      </w:r>
      <w:r>
        <w:t xml:space="preserve"> </w:t>
      </w:r>
      <w:r>
        <w:t xml:space="preserve">[29]</w:t>
      </w:r>
      <w:r>
        <w:t xml:space="preserve">. Conventions for medium effects are rho = 0.3 and R</w:t>
      </w:r>
      <w:r>
        <w:rPr>
          <w:vertAlign w:val="superscript"/>
        </w:rPr>
        <w:t xml:space="preserve">2</w:t>
      </w:r>
      <w:r>
        <w:t xml:space="preserve"> </w:t>
      </w:r>
      <w:r>
        <w:t xml:space="preserve">= 0.13</w:t>
      </w:r>
      <w:r>
        <w:t xml:space="preserve"> </w:t>
      </w:r>
      <w:r>
        <w:t xml:space="preserve">[30]</w:t>
      </w:r>
      <w:r>
        <w:t xml:space="preserve">. Mantel p-values are approximate under spatial dependence</w:t>
      </w:r>
      <w:r>
        <w:t xml:space="preserve"> </w:t>
      </w:r>
      <w:r>
        <w:t xml:space="preserve">[31,32]</w:t>
      </w:r>
      <w:r>
        <w:t xml:space="preserve">, so the Mantel MDEs below are design aids rather than exact sampling statements. The Aur-P2 PerMANOVA (6 versus 3 sites) is indicative only, because small unbalanced PerMANOVA uses permutations with caution</w:t>
      </w:r>
      <w:r>
        <w:t xml:space="preserve"> </w:t>
      </w:r>
      <w:r>
        <w:t xml:space="preserve">[17]</w:t>
      </w:r>
      <w:r>
        <w:t xml:space="preserve">. This section answers three specific questions:</w:t>
      </w:r>
    </w:p>
    <w:p>
      <w:pPr>
        <w:pStyle w:val="BodyText"/>
      </w:pPr>
      <w:r>
        <w:rPr>
          <w:bCs/>
          <w:b/>
        </w:rPr>
        <w:t xml:space="preserve">Question: what Mantel correlation can each phase detect at 80% power?</w:t>
      </w:r>
    </w:p>
    <w:p>
      <w:pPr>
        <w:pStyle w:val="BodyText"/>
      </w:pPr>
      <w:r>
        <w:rPr>
          <w:bCs/>
          <w:b/>
        </w:rPr>
        <w:t xml:space="preserve">Question: what PerMANOVA R-squared can each phase detect at 80% power?</w:t>
      </w:r>
    </w:p>
    <w:p>
      <w:pPr>
        <w:pStyle w:val="BodyText"/>
      </w:pPr>
      <w:r>
        <w:rPr>
          <w:bCs/>
          <w:b/>
        </w:rPr>
        <w:t xml:space="preserve">Question: what network density difference can the phase contrast detect at 80% power?</w:t>
      </w:r>
    </w:p>
    <w:bookmarkEnd w:id="288"/>
    <w:bookmarkStart w:id="294" w:name="analysis-3"/>
    <w:p>
      <w:pPr>
        <w:pStyle w:val="Heading2"/>
      </w:pPr>
      <w:r>
        <w:t xml:space="preserve">Analysis</w:t>
      </w:r>
    </w:p>
    <w:p>
      <w:pPr>
        <w:pStyle w:val="FirstParagraph"/>
      </w:pPr>
      <w:r>
        <w:t xml:space="preserve">The Mantel generator mixes scaled geography into Curveball-randomised baselines, so each null preserves site richness and sign-type frequencies. Rows are permuted across sites before injection, so labels are exchangeable under the null and the zero-signal rejection rate stays near 0.05. The PerMANOVA generator imposes group-specific signs on the same baseline. The network generator calibrates Bernoulli presence probabilities to the observed Aur-P1 density and lowers the contrast group density by each grid delta, testing the difference with the main-text pooling design.</w:t>
      </w:r>
    </w:p>
    <w:tbl>
      <w:tblPr>
        <w:tblStyle w:val="Table"/>
        <w:tblW w:type="pct" w:w="5000"/>
        <w:tblLook w:firstRow="0" w:lastRow="0" w:firstColumn="0" w:lastColumn="0" w:noHBand="0" w:noVBand="0" w:val="0000"/>
        <w:jc w:val="start"/>
        <w:tblLayout w:type="fixed"/>
      </w:tblPr>
      <w:tblGrid>
        <w:gridCol w:w="7920"/>
      </w:tblGrid>
      <w:tr>
        <w:tc>
          <w:tcPr/>
          <w:bookmarkStart w:id="289" w:name="tbl-power-mde"/>
          <w:tbl>
            <w:tblPr>
              <w:tblStyle w:val="Table"/>
              <w:tblW w:type="pct" w:w="5000"/>
              <w:tblLook w:firstRow="1" w:lastRow="0" w:firstColumn="0" w:lastColumn="0" w:noHBand="0" w:noVBand="0" w:val="0020"/>
              <w:jc w:val="start"/>
              <w:tblLayout w:type="fixed"/>
            </w:tblPr>
            <w:tblGrid>
              <w:gridCol w:w="1742"/>
              <w:gridCol w:w="1425"/>
              <w:gridCol w:w="1584"/>
              <w:gridCol w:w="1584"/>
              <w:gridCol w:w="1584"/>
            </w:tblGrid>
            <w:tr>
              <w:trPr>
                <w:tblHeader w:val="true"/>
              </w:trPr>
              <w:tc>
                <w:tcPr/>
                <w:p>
                  <w:pPr>
                    <w:pStyle w:val="Compact"/>
                    <w:jc w:val="left"/>
                    <w:jc w:val="left"/>
                  </w:pPr>
                  <w:r>
                    <w:t xml:space="preserve">Test</w:t>
                  </w:r>
                </w:p>
              </w:tc>
              <w:tc>
                <w:tcPr/>
                <w:p>
                  <w:pPr>
                    <w:pStyle w:val="Compact"/>
                    <w:jc w:val="left"/>
                    <w:jc w:val="left"/>
                  </w:pPr>
                  <w:r>
                    <w:t xml:space="preserve">N</w:t>
                  </w:r>
                </w:p>
              </w:tc>
              <w:tc>
                <w:tcPr/>
                <w:p>
                  <w:pPr>
                    <w:pStyle w:val="Compact"/>
                    <w:jc w:val="left"/>
                    <w:jc w:val="left"/>
                  </w:pPr>
                  <w:r>
                    <w:t xml:space="preserve">Effect metric</w:t>
                  </w:r>
                </w:p>
              </w:tc>
              <w:tc>
                <w:tcPr/>
                <w:p>
                  <w:pPr>
                    <w:pStyle w:val="Compact"/>
                    <w:jc w:val="left"/>
                    <w:jc w:val="left"/>
                  </w:pPr>
                  <w:r>
                    <w:t xml:space="preserve">MDE at 80% power</w:t>
                  </w:r>
                </w:p>
              </w:tc>
              <w:tc>
                <w:tcPr/>
                <w:p>
                  <w:pPr>
                    <w:pStyle w:val="Compact"/>
                    <w:jc w:val="left"/>
                    <w:jc w:val="left"/>
                  </w:pPr>
                  <w:r>
                    <w:t xml:space="preserve">Power at medium effect</w:t>
                  </w:r>
                </w:p>
              </w:tc>
            </w:tr>
            <w:tr>
              <w:tc>
                <w:tcPr/>
                <w:p>
                  <w:pPr>
                    <w:pStyle w:val="Compact"/>
                    <w:jc w:val="left"/>
                    <w:jc w:val="left"/>
                  </w:pPr>
                  <w:r>
                    <w:t xml:space="preserve">Mantel Aur-P1</w:t>
                  </w:r>
                </w:p>
              </w:tc>
              <w:tc>
                <w:tcPr/>
                <w:p>
                  <w:pPr>
                    <w:pStyle w:val="Compact"/>
                    <w:jc w:val="left"/>
                    <w:jc w:val="left"/>
                  </w:pPr>
                  <w:r>
                    <w:t xml:space="preserve">20 sites (190 pairs)</w:t>
                  </w:r>
                </w:p>
              </w:tc>
              <w:tc>
                <w:tcPr/>
                <w:p>
                  <w:pPr>
                    <w:pStyle w:val="Compact"/>
                    <w:jc w:val="left"/>
                    <w:jc w:val="left"/>
                  </w:pPr>
                  <w:r>
                    <w:t xml:space="preserve">Mantel rho</w:t>
                  </w:r>
                </w:p>
              </w:tc>
              <w:tc>
                <w:tcPr/>
                <w:p>
                  <w:pPr>
                    <w:pStyle w:val="Compact"/>
                    <w:jc w:val="left"/>
                    <w:jc w:val="left"/>
                  </w:pPr>
                  <w:r>
                    <w:t xml:space="preserve">0.34</w:t>
                  </w:r>
                </w:p>
              </w:tc>
              <w:tc>
                <w:tcPr/>
                <w:p>
                  <w:pPr>
                    <w:pStyle w:val="Compact"/>
                    <w:jc w:val="left"/>
                    <w:jc w:val="left"/>
                  </w:pPr>
                  <w:r>
                    <w:t xml:space="preserve">0.76</w:t>
                  </w:r>
                </w:p>
              </w:tc>
            </w:tr>
            <w:tr>
              <w:tc>
                <w:tcPr/>
                <w:p>
                  <w:pPr>
                    <w:pStyle w:val="Compact"/>
                    <w:jc w:val="left"/>
                    <w:jc w:val="left"/>
                  </w:pPr>
                  <w:r>
                    <w:t xml:space="preserve">Mantel Aur-P2</w:t>
                  </w:r>
                </w:p>
              </w:tc>
              <w:tc>
                <w:tcPr/>
                <w:p>
                  <w:pPr>
                    <w:pStyle w:val="Compact"/>
                    <w:jc w:val="left"/>
                    <w:jc w:val="left"/>
                  </w:pPr>
                  <w:r>
                    <w:t xml:space="preserve">9 sites (36 pairs)</w:t>
                  </w:r>
                </w:p>
              </w:tc>
              <w:tc>
                <w:tcPr/>
                <w:p>
                  <w:pPr>
                    <w:pStyle w:val="Compact"/>
                    <w:jc w:val="left"/>
                    <w:jc w:val="left"/>
                  </w:pPr>
                  <w:r>
                    <w:t xml:space="preserve">Mantel rho</w:t>
                  </w:r>
                </w:p>
              </w:tc>
              <w:tc>
                <w:tcPr/>
                <w:p>
                  <w:pPr>
                    <w:pStyle w:val="Compact"/>
                    <w:jc w:val="left"/>
                    <w:jc w:val="left"/>
                  </w:pPr>
                  <w:r>
                    <w:t xml:space="preserve">0.50</w:t>
                  </w:r>
                </w:p>
              </w:tc>
              <w:tc>
                <w:tcPr/>
                <w:p>
                  <w:pPr>
                    <w:pStyle w:val="Compact"/>
                    <w:jc w:val="left"/>
                    <w:jc w:val="left"/>
                  </w:pPr>
                  <w:r>
                    <w:t xml:space="preserve">0.39</w:t>
                  </w:r>
                </w:p>
              </w:tc>
            </w:tr>
            <w:tr>
              <w:tc>
                <w:tcPr/>
                <w:p>
                  <w:pPr>
                    <w:pStyle w:val="Compact"/>
                    <w:jc w:val="left"/>
                    <w:jc w:val="left"/>
                  </w:pPr>
                  <w:r>
                    <w:t xml:space="preserve">PerMANOVA Aur-P1 (9 vs 11)</w:t>
                  </w:r>
                </w:p>
              </w:tc>
              <w:tc>
                <w:tcPr/>
                <w:p>
                  <w:pPr>
                    <w:pStyle w:val="Compact"/>
                    <w:jc w:val="left"/>
                    <w:jc w:val="left"/>
                  </w:pPr>
                  <w:r>
                    <w:t xml:space="preserve">9 vs 11 sites</w:t>
                  </w:r>
                </w:p>
              </w:tc>
              <w:tc>
                <w:tcPr/>
                <w:p>
                  <w:pPr>
                    <w:pStyle w:val="Compact"/>
                    <w:jc w:val="left"/>
                    <w:jc w:val="left"/>
                  </w:pPr>
                  <w:r>
                    <w:t xml:space="preserve">PerMANOVA R² (total)</w:t>
                  </w:r>
                </w:p>
              </w:tc>
              <w:tc>
                <w:tcPr/>
                <w:p>
                  <w:pPr>
                    <w:pStyle w:val="Compact"/>
                    <w:jc w:val="left"/>
                    <w:jc w:val="left"/>
                  </w:pPr>
                  <w:r>
                    <w:t xml:space="preserve">0.10</w:t>
                  </w:r>
                </w:p>
              </w:tc>
              <w:tc>
                <w:tcPr/>
                <w:p>
                  <w:pPr>
                    <w:pStyle w:val="Compact"/>
                    <w:jc w:val="left"/>
                    <w:jc w:val="left"/>
                  </w:pPr>
                  <w:r>
                    <w:t xml:space="preserve">0.97</w:t>
                  </w:r>
                </w:p>
              </w:tc>
            </w:tr>
            <w:tr>
              <w:tc>
                <w:tcPr/>
                <w:p>
                  <w:pPr>
                    <w:pStyle w:val="Compact"/>
                    <w:jc w:val="left"/>
                    <w:jc w:val="left"/>
                  </w:pPr>
                  <w:r>
                    <w:t xml:space="preserve">PerMANOVA Aur-P2 (6 vs 3)</w:t>
                  </w:r>
                </w:p>
              </w:tc>
              <w:tc>
                <w:tcPr/>
                <w:p>
                  <w:pPr>
                    <w:pStyle w:val="Compact"/>
                    <w:jc w:val="left"/>
                    <w:jc w:val="left"/>
                  </w:pPr>
                  <w:r>
                    <w:t xml:space="preserve">6 vs 3 sites</w:t>
                  </w:r>
                </w:p>
              </w:tc>
              <w:tc>
                <w:tcPr/>
                <w:p>
                  <w:pPr>
                    <w:pStyle w:val="Compact"/>
                    <w:jc w:val="left"/>
                    <w:jc w:val="left"/>
                  </w:pPr>
                  <w:r>
                    <w:t xml:space="preserve">PerMANOVA R² (total)</w:t>
                  </w:r>
                </w:p>
              </w:tc>
              <w:tc>
                <w:tcPr/>
                <w:p>
                  <w:pPr>
                    <w:pStyle w:val="Compact"/>
                    <w:jc w:val="left"/>
                    <w:jc w:val="left"/>
                  </w:pPr>
                  <w:r>
                    <w:t xml:space="preserve">0.26</w:t>
                  </w:r>
                </w:p>
              </w:tc>
              <w:tc>
                <w:tcPr/>
                <w:p>
                  <w:pPr>
                    <w:pStyle w:val="Compact"/>
                    <w:jc w:val="left"/>
                    <w:jc w:val="left"/>
                  </w:pPr>
                  <w:r>
                    <w:t xml:space="preserve">0.05</w:t>
                  </w:r>
                </w:p>
              </w:tc>
            </w:tr>
            <w:tr>
              <w:tc>
                <w:tcPr/>
                <w:p>
                  <w:pPr>
                    <w:pStyle w:val="Compact"/>
                    <w:jc w:val="left"/>
                    <w:jc w:val="left"/>
                  </w:pPr>
                  <w:r>
                    <w:t xml:space="preserve">Network density (20 vs 9)</w:t>
                  </w:r>
                </w:p>
              </w:tc>
              <w:tc>
                <w:tcPr/>
                <w:p>
                  <w:pPr>
                    <w:pStyle w:val="Compact"/>
                    <w:jc w:val="left"/>
                    <w:jc w:val="left"/>
                  </w:pPr>
                  <w:r>
                    <w:t xml:space="preserve">20 vs 9 sites</w:t>
                  </w:r>
                </w:p>
              </w:tc>
              <w:tc>
                <w:tcPr/>
                <w:p>
                  <w:pPr>
                    <w:pStyle w:val="Compact"/>
                    <w:jc w:val="left"/>
                    <w:jc w:val="left"/>
                  </w:pPr>
                  <w:r>
                    <w:t xml:space="preserve">Absolute density difference</w:t>
                  </w:r>
                </w:p>
              </w:tc>
              <w:tc>
                <w:tcPr/>
                <w:p>
                  <w:pPr>
                    <w:pStyle w:val="Compact"/>
                    <w:jc w:val="left"/>
                    <w:jc w:val="left"/>
                  </w:pPr>
                  <w:r>
                    <w:t xml:space="preserve">0.28</w:t>
                  </w:r>
                </w:p>
              </w:tc>
              <w:tc>
                <w:tcPr/>
                <w:p>
                  <w:pPr>
                    <w:pStyle w:val="Compact"/>
                    <w:jc w:val="left"/>
                    <w:jc w:val="left"/>
                  </w:pPr>
                  <w:r>
                    <w:t xml:space="preserve">0.10</w:t>
                  </w:r>
                </w:p>
              </w:tc>
            </w:tr>
            <w:tr>
              <w:tc>
                <w:tcPr/>
                <w:p>
                  <w:pPr>
                    <w:pStyle w:val="Compact"/>
                    <w:jc w:val="left"/>
                    <w:jc w:val="left"/>
                  </w:pPr>
                  <w:r>
                    <w:t xml:space="preserve">Network modularity (20 vs 9)</w:t>
                  </w:r>
                </w:p>
              </w:tc>
              <w:tc>
                <w:tcPr/>
                <w:p>
                  <w:pPr>
                    <w:pStyle w:val="Compact"/>
                    <w:jc w:val="left"/>
                    <w:jc w:val="left"/>
                  </w:pPr>
                  <w:r>
                    <w:t xml:space="preserve">20 vs 9 sites</w:t>
                  </w:r>
                </w:p>
              </w:tc>
              <w:tc>
                <w:tcPr/>
                <w:p>
                  <w:pPr>
                    <w:pStyle w:val="Compact"/>
                    <w:jc w:val="left"/>
                    <w:jc w:val="left"/>
                  </w:pPr>
                  <w:r>
                    <w:t xml:space="preserve">Absolute density difference</w:t>
                  </w:r>
                </w:p>
              </w:tc>
              <w:tc>
                <w:tcPr/>
                <w:p>
                  <w:pPr>
                    <w:pStyle w:val="Compact"/>
                    <w:jc w:val="left"/>
                    <w:jc w:val="left"/>
                  </w:pPr>
                  <w:r>
                    <w:t xml:space="preserve">&gt;0.30</w:t>
                  </w:r>
                </w:p>
              </w:tc>
              <w:tc>
                <w:tcPr/>
                <w:p>
                  <w:pPr>
                    <w:pStyle w:val="Compact"/>
                    <w:jc w:val="left"/>
                    <w:jc w:val="left"/>
                  </w:pPr>
                  <w:r>
                    <w:t xml:space="preserve">0.12</w:t>
                  </w:r>
                </w:p>
              </w:tc>
            </w:tr>
            <w:tr>
              <w:tc>
                <w:tcPr/>
                <w:p>
                  <w:pPr>
                    <w:pStyle w:val="Compact"/>
                    <w:jc w:val="left"/>
                    <w:jc w:val="left"/>
                  </w:pPr>
                  <w:r>
                    <w:t xml:space="preserve">Network betweenness (20 vs 9)</w:t>
                  </w:r>
                </w:p>
              </w:tc>
              <w:tc>
                <w:tcPr/>
                <w:p>
                  <w:pPr>
                    <w:pStyle w:val="Compact"/>
                    <w:jc w:val="left"/>
                    <w:jc w:val="left"/>
                  </w:pPr>
                  <w:r>
                    <w:t xml:space="preserve">20 vs 9 sites</w:t>
                  </w:r>
                </w:p>
              </w:tc>
              <w:tc>
                <w:tcPr/>
                <w:p>
                  <w:pPr>
                    <w:pStyle w:val="Compact"/>
                    <w:jc w:val="left"/>
                    <w:jc w:val="left"/>
                  </w:pPr>
                  <w:r>
                    <w:t xml:space="preserve">Absolute density difference</w:t>
                  </w:r>
                </w:p>
              </w:tc>
              <w:tc>
                <w:tcPr/>
                <w:p>
                  <w:pPr>
                    <w:pStyle w:val="Compact"/>
                    <w:jc w:val="left"/>
                    <w:jc w:val="left"/>
                  </w:pPr>
                  <w:r>
                    <w:t xml:space="preserve">&gt;0.30</w:t>
                  </w:r>
                </w:p>
              </w:tc>
              <w:tc>
                <w:tcPr/>
                <w:p>
                  <w:pPr>
                    <w:pStyle w:val="Compact"/>
                    <w:jc w:val="left"/>
                    <w:jc w:val="left"/>
                  </w:pPr>
                  <w:r>
                    <w:t xml:space="preserve">0.01</w:t>
                  </w:r>
                </w:p>
              </w:tc>
            </w:tr>
            <w:tr>
              <w:tc>
                <w:tcPr/>
                <w:p>
                  <w:pPr>
                    <w:pStyle w:val="Compact"/>
                    <w:jc w:val="left"/>
                    <w:jc w:val="left"/>
                  </w:pPr>
                  <w:r>
                    <w:t xml:space="preserve">Network components (20 vs 9)</w:t>
                  </w:r>
                </w:p>
              </w:tc>
              <w:tc>
                <w:tcPr/>
                <w:p>
                  <w:pPr>
                    <w:pStyle w:val="Compact"/>
                    <w:jc w:val="left"/>
                    <w:jc w:val="left"/>
                  </w:pPr>
                  <w:r>
                    <w:t xml:space="preserve">20 vs 9 sites</w:t>
                  </w:r>
                </w:p>
              </w:tc>
              <w:tc>
                <w:tcPr/>
                <w:p>
                  <w:pPr>
                    <w:pStyle w:val="Compact"/>
                    <w:jc w:val="left"/>
                    <w:jc w:val="left"/>
                  </w:pPr>
                  <w:r>
                    <w:t xml:space="preserve">Absolute density difference</w:t>
                  </w:r>
                </w:p>
              </w:tc>
              <w:tc>
                <w:tcPr/>
                <w:p>
                  <w:pPr>
                    <w:pStyle w:val="Compact"/>
                    <w:jc w:val="left"/>
                    <w:jc w:val="left"/>
                  </w:pPr>
                  <w:r>
                    <w:t xml:space="preserve">&gt;0.30</w:t>
                  </w:r>
                </w:p>
              </w:tc>
              <w:tc>
                <w:tcPr/>
                <w:p>
                  <w:pPr>
                    <w:pStyle w:val="Compact"/>
                    <w:jc w:val="left"/>
                    <w:jc w:val="left"/>
                  </w:pPr>
                  <w:r>
                    <w:t xml:space="preserve">0.10</w:t>
                  </w:r>
                </w:p>
              </w:tc>
            </w:tr>
          </w:tbl>
          <w:p>
            <w:pPr>
              <w:jc w:val="left"/>
            </w:pPr>
            <w:pPr>
              <w:jc w:val="start"/>
              <w:spacing w:before="200"/>
              <w:pStyle w:val="ImageCaption"/>
            </w:pPr>
            <w:r>
              <w:t xml:space="preserve">Table BF. Minimum detectable effects at 80% power (alpha = 0.05) for the three headline null-hypothesis tests. Mantel rows use the Mantel rho scale (geographic-signal injection on Curveball-randomised baselines with rows permuted across sites, B = 300, 99 permutations). PerMANOVA rows use the total Jaccard R² scale under the adonis2(sqrt.dist = TRUE) convention on the same exchangeable baseline (group-signal injection, B = 300, 99 permutations). Network rows use the absolute edge-density-difference scale with the observed Aur-P1 density as baseline (B = 200, 99 permutations). MDE values above the simulated grid are shown as greater-than the grid maximum. Power at a medium effect uses rho = 0.3, R² = 0.13, and absolute density difference = 0.10.</w:t>
            </w:r>
          </w:p>
          <w:bookmarkEnd w:id="289"/>
        </w:tc>
      </w:tr>
    </w:tbl>
    <w:tbl>
      <w:tblPr>
        <w:tblStyle w:val="Table"/>
        <w:tblW w:type="pct" w:w="5000"/>
        <w:tblLook w:firstRow="0" w:lastRow="0" w:firstColumn="0" w:lastColumn="0" w:noHBand="0" w:noVBand="0" w:val="0000"/>
        <w:jc w:val="start"/>
        <w:tblLayout w:type="fixed"/>
      </w:tblPr>
      <w:tblGrid>
        <w:gridCol w:w="7920"/>
      </w:tblGrid>
      <w:tr>
        <w:tc>
          <w:tcPr/>
          <w:bookmarkStart w:id="293" w:name="fig-power-curves"/>
          <w:p>
            <w:pPr>
              <w:pStyle w:val="Compact"/>
              <w:jc w:val="left"/>
            </w:pPr>
            <w:r>
              <w:drawing>
                <wp:inline>
                  <wp:extent cx="5943600" cy="4622800"/>
                  <wp:effectExtent b="0" l="0" r="0" t="0"/>
                  <wp:docPr descr="" title="" id="291" name="Picture"/>
                  <a:graphic>
                    <a:graphicData uri="http://schemas.openxmlformats.org/drawingml/2006/picture">
                      <pic:pic>
                        <pic:nvPicPr>
                          <pic:cNvPr descr="S1_File_files/figure-docx/fig-power-curves-1.png" id="292" name="Picture"/>
                          <pic:cNvPicPr>
                            <a:picLocks noChangeArrowheads="1" noChangeAspect="1"/>
                          </pic:cNvPicPr>
                        </pic:nvPicPr>
                        <pic:blipFill>
                          <a:blip r:embed="rId290"/>
                          <a:stretch>
                            <a:fillRect/>
                          </a:stretch>
                        </pic:blipFill>
                        <pic:spPr bwMode="auto">
                          <a:xfrm>
                            <a:off x="0" y="0"/>
                            <a:ext cx="5943600" cy="4622800"/>
                          </a:xfrm>
                          <a:prstGeom prst="rect">
                            <a:avLst/>
                          </a:prstGeom>
                          <a:noFill/>
                          <a:ln w="9525">
                            <a:noFill/>
                            <a:headEnd/>
                            <a:tailEnd/>
                          </a:ln>
                        </pic:spPr>
                      </pic:pic>
                    </a:graphicData>
                  </a:graphic>
                </wp:inline>
              </w:drawing>
            </w:r>
          </w:p>
          <w:p>
            <w:pPr>
              <w:jc w:val="left"/>
            </w:pPr>
            <w:pPr>
              <w:jc w:val="start"/>
              <w:spacing w:before="200"/>
              <w:pStyle w:val="ImageCaption"/>
            </w:pPr>
            <w:r>
              <w:t xml:space="preserve">Fig R. Simulated power curves for the three headline tests. A: Mantel power against Mantel rho per phase. B: PerMANOVA power against total Jaccard R² per phase. C: Network phase-contrast power against the absolute edge-density difference from the observed Aur-P1 baseline density. The dashed line marks 80% power; the effect where each curve crosses it is the minimum detectable effect in</w:t>
            </w:r>
            <w:r>
              <w:t xml:space="preserve"> </w:t>
            </w:r>
            <w:hyperlink w:anchor="tbl-power-mde">
              <w:r>
                <w:rPr>
                  <w:rStyle w:val="Hyperlink"/>
                </w:rPr>
                <w:t xml:space="preserve">Table BF</w:t>
              </w:r>
            </w:hyperlink>
            <w:r>
              <w:t xml:space="preserve">. Curves are simulation estimates (Mantel and PerMANOVA: B = 300 with 99 permutations; network: B = 200 with 99 permutations).</w:t>
            </w:r>
          </w:p>
          <w:bookmarkEnd w:id="293"/>
        </w:tc>
      </w:tr>
    </w:tbl>
    <w:bookmarkEnd w:id="294"/>
    <w:bookmarkStart w:id="295" w:name="sec-s-power-interpretation"/>
    <w:p>
      <w:pPr>
        <w:pStyle w:val="Heading2"/>
      </w:pPr>
      <w:r>
        <w:t xml:space="preserve">S1.13.2 Interpretation</w:t>
      </w:r>
    </w:p>
    <w:p>
      <w:pPr>
        <w:pStyle w:val="FirstParagraph"/>
      </w:pPr>
      <w:r>
        <w:rPr>
          <w:bCs/>
          <w:b/>
        </w:rPr>
        <w:t xml:space="preserve">Question: what Mantel correlation can each phase detect at 80% power?</w:t>
      </w:r>
      <w:r>
        <w:t xml:space="preserve"> </w:t>
      </w:r>
      <w:r>
        <w:t xml:space="preserve">Mantel MDEs are 0.34 for Aur-P1 and 0.50 for Aur-P2 on the rho scale. Power at a medium rho of 0.3 is 0.76 in Aur-P1 and 0.39 in Aur-P2. The observed Mantel correlations (0.046 and -0.299) sit below their MDEs. The non-significant Mantel results are therefore a lack of evidence at these sample sizes, not evidence that geography is irrelevant, consistent with</w:t>
      </w:r>
      <w:r>
        <w:t xml:space="preserve"> </w:t>
      </w:r>
      <w:r>
        <w:t xml:space="preserve">Section S1.4.3</w:t>
      </w:r>
      <w:r>
        <w:t xml:space="preserve">.</w:t>
      </w:r>
    </w:p>
    <w:p>
      <w:pPr>
        <w:pStyle w:val="BodyText"/>
      </w:pPr>
      <w:r>
        <w:rPr>
          <w:bCs/>
          <w:b/>
        </w:rPr>
        <w:t xml:space="preserve">Question: what PerMANOVA R-squared can each phase detect at 80% power?</w:t>
      </w:r>
      <w:r>
        <w:t xml:space="preserve"> </w:t>
      </w:r>
      <w:r>
        <w:t xml:space="preserve">PerMANOVA MDEs are 0.10 for Aur-P1 and 0.26 for Aur-P2 on the total Jaccard R² scale. The row-permuted baseline carries no group–richness link, so each MDE is the total separation the test needs, including any richness gap a real group effect would produce. Power at R² = 0.13 is 0.97 in Aur-P1 and 0.05 in Aur-P2. The Aur-P2 test with 6 versus 3 sites has the larger MDE and stays indicative. Group separations below these R² values cannot be distinguished from sampling variation by this test.</w:t>
      </w:r>
    </w:p>
    <w:p>
      <w:pPr>
        <w:pStyle w:val="BodyText"/>
      </w:pPr>
      <w:r>
        <w:rPr>
          <w:bCs/>
          <w:b/>
        </w:rPr>
        <w:t xml:space="preserve">Question: what network density difference can the phase contrast detect at 80% power?</w:t>
      </w:r>
      <w:r>
        <w:t xml:space="preserve"> </w:t>
      </w:r>
      <w:r>
        <w:t xml:space="preserve">The network contrast uses the observed Aur-P1 edge density (0.395) as baseline and measures absolute gaps. The observed Aur-P1 minus Aur-P2 density difference is -0.133 (Aur-P2 is the denser network, so the comparison is on magnitudes). MDEs on the absolute density-difference scale are 0.28 for density, &gt;0.30 for modularity, &gt;0.30 for betweenness, and &gt;0.30 for component count. Power at an absolute density difference of 0.10 is 0.10 for density, 0.12 for modularity, 0.01 for betweenness, and 0.10 for components. Density is the most sensitive of the four statistics. Modularity, betweenness, and component count need larger density gaps before the phase contrast reaches 80% power, so their nulls carry less information than the density null at the same sample sizes.</w:t>
      </w:r>
    </w:p>
    <w:p>
      <w:pPr>
        <w:pStyle w:val="BodyText"/>
      </w:pPr>
      <w:r>
        <w:rPr>
          <w:bCs/>
          <w:b/>
        </w:rPr>
        <w:t xml:space="preserve">Implication for the main text.</w:t>
      </w:r>
      <w:r>
        <w:t xml:space="preserve"> </w:t>
      </w:r>
      <w:r>
        <w:t xml:space="preserve">Null results reflect limited power at 20 versus 9 sites; only effects above the MDEs in</w:t>
      </w:r>
      <w:r>
        <w:t xml:space="preserve"> </w:t>
      </w:r>
      <w:hyperlink w:anchor="tbl-power-mde">
        <w:r>
          <w:rPr>
            <w:rStyle w:val="Hyperlink"/>
          </w:rPr>
          <w:t xml:space="preserve">Table BF</w:t>
        </w:r>
      </w:hyperlink>
      <w:r>
        <w:t xml:space="preserve"> </w:t>
      </w:r>
      <w:r>
        <w:t xml:space="preserve">can be excluded.</w:t>
      </w:r>
    </w:p>
    <w:bookmarkEnd w:id="295"/>
    <w:bookmarkEnd w:id="296"/>
    <w:bookmarkStart w:id="362" w:name="sec-s13"/>
    <w:p>
      <w:pPr>
        <w:pStyle w:val="Heading1"/>
      </w:pPr>
      <w:r>
        <w:t xml:space="preserve">S1.14 Overall Synthesis</w:t>
      </w:r>
    </w:p>
    <w:p>
      <w:pPr>
        <w:pStyle w:val="FirstParagraph"/>
      </w:pPr>
      <w:r>
        <w:t xml:space="preserve">All results are conditional on the retained sample in</w:t>
      </w:r>
      <w:r>
        <w:t xml:space="preserve"> </w:t>
      </w:r>
      <w:r>
        <w:t xml:space="preserve">Section S1.1</w:t>
      </w:r>
      <w:r>
        <w:t xml:space="preserve">. Date parsing and quality filtering remove small and poorly dated assemblages before any network is built. Aur-P2 rests on 9 sites throughout, so every Aur-P2 comparison has low power and wide uncertainty.</w:t>
      </w:r>
    </w:p>
    <w:p>
      <w:pPr>
        <w:pStyle w:val="BodyText"/>
      </w:pPr>
      <w:r>
        <w:t xml:space="preserve">Threshold, metric, distance, and periodisation checks support the same reading. The Aur-P1 greater than Aur-P2 mean-degree ordering holds at thresholds 0.1, 0.2, and 0.3 and across the continuous sweep in</w:t>
      </w:r>
      <w:r>
        <w:t xml:space="preserve"> </w:t>
      </w:r>
      <w:r>
        <w:t xml:space="preserve">Section S1.2</w:t>
      </w:r>
      <w:r>
        <w:t xml:space="preserve">. It holds under Jaccard, Sørensen-Dice, and Simpson in</w:t>
      </w:r>
      <w:r>
        <w:t xml:space="preserve"> </w:t>
      </w:r>
      <w:r>
        <w:t xml:space="preserve">Section S1.3</w:t>
      </w:r>
      <w:r>
        <w:t xml:space="preserve">. In</w:t>
      </w:r>
      <w:r>
        <w:t xml:space="preserve"> </w:t>
      </w:r>
      <w:r>
        <w:t xml:space="preserve">Section S1.4</w:t>
      </w:r>
      <w:r>
        <w:t xml:space="preserve">, the Mantel tests find no isolation-by-distance correlation in either phase, under geodesic or Euclidean distance (</w:t>
      </w:r>
      <w:hyperlink w:anchor="tbl-geodesic-mantel">
        <w:r>
          <w:rPr>
            <w:rStyle w:val="Hyperlink"/>
          </w:rPr>
          <w:t xml:space="preserve">Table F</w:t>
        </w:r>
      </w:hyperlink>
      <w:r>
        <w:t xml:space="preserve">). The distance-based redundancy analysis finds a weak linear geographic trend in Aur-P1 (adjusted R² = 0.057, p = 0.038) and no trend in Aur-P2 (p = 0.850;</w:t>
      </w:r>
      <w:r>
        <w:t xml:space="preserve"> </w:t>
      </w:r>
      <w:hyperlink w:anchor="tbl-dbrda">
        <w:r>
          <w:rPr>
            <w:rStyle w:val="Hyperlink"/>
          </w:rPr>
          <w:t xml:space="preserve">Table G</w:t>
        </w:r>
      </w:hyperlink>
      <w:r>
        <w:t xml:space="preserve">). The mean-degree ordering also holds across two, three, and four phase schemes, across boundary shifts, and under date-based versus technological assignment in</w:t>
      </w:r>
      <w:r>
        <w:t xml:space="preserve"> </w:t>
      </w:r>
      <w:r>
        <w:t xml:space="preserve">Section S1.5</w:t>
      </w:r>
      <w:r>
        <w:t xml:space="preserve">. Modularity ordering does not survive all of these changes. It reverses under date-based assignment, so the between-phase contrast is best read as a difference in network scale rather than a stable ordering of modularity.</w:t>
      </w:r>
    </w:p>
    <w:p>
      <w:pPr>
        <w:pStyle w:val="BodyText"/>
      </w:pPr>
      <w:r>
        <w:t xml:space="preserve">Group existence requires a narrower reading. Louvain recovery in</w:t>
      </w:r>
      <w:r>
        <w:t xml:space="preserve"> </w:t>
      </w:r>
      <w:r>
        <w:t xml:space="preserve">Section S1.6</w:t>
      </w:r>
      <w:r>
        <w:t xml:space="preserve"> </w:t>
      </w:r>
      <w:r>
        <w:t xml:space="preserve">and bootstrap stability in</w:t>
      </w:r>
      <w:r>
        <w:t xml:space="preserve"> </w:t>
      </w:r>
      <w:r>
        <w:t xml:space="preserve">Section S1.9.2</w:t>
      </w:r>
      <w:r>
        <w:t xml:space="preserve"> </w:t>
      </w:r>
      <w:r>
        <w:t xml:space="preserve">show that the restricted/broad axis is stable under resampling, most clearly in Aur-P1. In Aur-P1, stochastic block models select more than one block under the Bernoulli, Gaussian and Poisson specifications (K = 3, 4 and 3), and the Bernoulli and Gaussian models place Labeko Koba, Les Cottés and Trou al’Wesse in a small separate block. In Aur-P2 the Bernoulli and Poisson models select a single block. None of these multi-block preferences exceeds the Curveball null (</w:t>
      </w:r>
      <w:r>
        <w:t xml:space="preserve">Section S1.9.4</w:t>
      </w:r>
      <w:r>
        <w:t xml:space="preserve">), and the seriation order does not exceed it either (</w:t>
      </w:r>
      <w:r>
        <w:t xml:space="preserve">Section S1.9.5</w:t>
      </w:r>
      <w:r>
        <w:t xml:space="preserve">). Withheld-data validation in</w:t>
      </w:r>
      <w:r>
        <w:t xml:space="preserve"> </w:t>
      </w:r>
      <w:r>
        <w:t xml:space="preserve">Section S1.10</w:t>
      </w:r>
      <w:r>
        <w:t xml:space="preserve"> </w:t>
      </w:r>
      <w:r>
        <w:t xml:space="preserve">finds no separation beyond richness structure under the fixed-fixed null, and Simpson turnover shows no separation in either phase. The supported claim is a dominant richness axis, recoverable from disjoint objects at well-sampled sites, not discrete groups or provinces.</w:t>
      </w:r>
    </w:p>
    <w:p>
      <w:pPr>
        <w:pStyle w:val="BodyText"/>
      </w:pPr>
      <w:r>
        <w:t xml:space="preserve">Sampling intensity qualifies small-site assignments. Downsampling, coverage, regression with estimated exponent, and equal-effort pool comparison in</w:t>
      </w:r>
      <w:r>
        <w:t xml:space="preserve"> </w:t>
      </w:r>
      <w:r>
        <w:t xml:space="preserve">Section S1.12</w:t>
      </w:r>
      <w:r>
        <w:t xml:space="preserve"> </w:t>
      </w:r>
      <w:r>
        <w:t xml:space="preserve">show that large broad-range assemblages keep their group under downsampling, while 4 restricted sites keep it in fewer than half of the replicates at k = 3 (</w:t>
      </w:r>
      <w:hyperlink w:anchor="tbl-retention">
        <w:r>
          <w:rPr>
            <w:rStyle w:val="Hyperlink"/>
          </w:rPr>
          <w:t xml:space="preserve">Table AT</w:t>
        </w:r>
      </w:hyperlink>
      <w:r>
        <w:t xml:space="preserve">). Sites with one or two objects cannot be downsampled and never reach comparable coverage. The raw Aur-P1 versus Aur-P2 pool difference is not distinguishable from sampling variation at equal effort. Figurine exclusion is the exception and leaves the ordering intact.</w:t>
      </w:r>
    </w:p>
    <w:bookmarkStart w:id="361" w:name="references-cited"/>
    <w:p>
      <w:pPr>
        <w:pStyle w:val="Heading2"/>
      </w:pPr>
      <w:r>
        <w:t xml:space="preserve">References cited</w:t>
      </w:r>
    </w:p>
    <w:bookmarkStart w:id="360" w:name="refs"/>
    <w:bookmarkStart w:id="298" w:name="ref-Goslee_Urban_2007"/>
    <w:p>
      <w:pPr>
        <w:pStyle w:val="Bibliography"/>
      </w:pPr>
      <w:r>
        <w:t xml:space="preserve">1.</w:t>
      </w:r>
      <w:r>
        <w:t xml:space="preserve"> </w:t>
      </w:r>
      <w:r>
        <w:t xml:space="preserve">	</w:t>
      </w:r>
      <w:r>
        <w:t xml:space="preserve">Goslee SC, Urban DL. The</w:t>
      </w:r>
      <w:r>
        <w:t xml:space="preserve"> </w:t>
      </w:r>
      <w:r>
        <w:t xml:space="preserve">ecodist</w:t>
      </w:r>
      <w:r>
        <w:t xml:space="preserve"> </w:t>
      </w:r>
      <w:r>
        <w:t xml:space="preserve">package for dissimilarity-based analysis of ecological data. J Stat Softw. 2007;22: 1–19. doi:</w:t>
      </w:r>
      <w:r>
        <w:t xml:space="preserve"> </w:t>
      </w:r>
      <w:hyperlink r:id="rId297">
        <w:r>
          <w:rPr>
            <w:rStyle w:val="Hyperlink"/>
          </w:rPr>
          <w:t xml:space="preserve">10.18637/jss.v022.i07</w:t>
        </w:r>
      </w:hyperlink>
    </w:p>
    <w:bookmarkEnd w:id="298"/>
    <w:bookmarkStart w:id="300" w:name="ref-Legendre_Anderson_1999"/>
    <w:p>
      <w:pPr>
        <w:pStyle w:val="Bibliography"/>
      </w:pPr>
      <w:r>
        <w:t xml:space="preserve">2.</w:t>
      </w:r>
      <w:r>
        <w:t xml:space="preserve"> </w:t>
      </w:r>
      <w:r>
        <w:t xml:space="preserve">	</w:t>
      </w:r>
      <w:r>
        <w:t xml:space="preserve">Legendre P, Anderson MJ. Distance-based redundancy analysis: Testing multispecies responses in multifactorial ecological experiments. Ecol Monogr. 1999;69: 1–24. doi:</w:t>
      </w:r>
      <w:r>
        <w:t xml:space="preserve"> </w:t>
      </w:r>
      <w:hyperlink r:id="rId299">
        <w:r>
          <w:rPr>
            <w:rStyle w:val="Hyperlink"/>
          </w:rPr>
          <w:t xml:space="preserve">10.1890/0012-9615(1999)069[0001:DBRATM]2.0.CO;2</w:t>
        </w:r>
      </w:hyperlink>
    </w:p>
    <w:bookmarkEnd w:id="300"/>
    <w:bookmarkStart w:id="302" w:name="X68cdd7ba62fc5dd3e1e9b497937717305f7b9a0"/>
    <w:p>
      <w:pPr>
        <w:pStyle w:val="Bibliography"/>
      </w:pPr>
      <w:r>
        <w:t xml:space="preserve">3.</w:t>
      </w:r>
      <w:r>
        <w:t xml:space="preserve"> </w:t>
      </w:r>
      <w:r>
        <w:t xml:space="preserve">	</w:t>
      </w:r>
      <w:r>
        <w:t xml:space="preserve">Shao Y, Limberg H, Klein K, Wegener C, Schmidt I, Weniger G-C, et al. Human-existence probability of the</w:t>
      </w:r>
      <w:r>
        <w:t xml:space="preserve"> </w:t>
      </w:r>
      <w:r>
        <w:t xml:space="preserve">Aurignacian</w:t>
      </w:r>
      <w:r>
        <w:t xml:space="preserve"> </w:t>
      </w:r>
      <w:r>
        <w:t xml:space="preserve">techno-complex under extreme climate conditions. Quat Sci Rev. 2021;263: 106995. doi:</w:t>
      </w:r>
      <w:r>
        <w:t xml:space="preserve"> </w:t>
      </w:r>
      <w:hyperlink r:id="rId301">
        <w:r>
          <w:rPr>
            <w:rStyle w:val="Hyperlink"/>
          </w:rPr>
          <w:t xml:space="preserve">10.1016/j.quascirev.2021.106995</w:t>
        </w:r>
      </w:hyperlink>
    </w:p>
    <w:bookmarkEnd w:id="302"/>
    <w:bookmarkStart w:id="304" w:name="ref-teyssandier2018entity"/>
    <w:p>
      <w:pPr>
        <w:pStyle w:val="Bibliography"/>
      </w:pPr>
      <w:r>
        <w:t xml:space="preserve">4.</w:t>
      </w:r>
      <w:r>
        <w:t xml:space="preserve"> </w:t>
      </w:r>
      <w:r>
        <w:t xml:space="preserve">	</w:t>
      </w:r>
      <w:r>
        <w:t xml:space="preserve">Teyssandier N, Zilhão J. On the entity and antiquity of the</w:t>
      </w:r>
      <w:r>
        <w:t xml:space="preserve"> </w:t>
      </w:r>
      <w:r>
        <w:t xml:space="preserve">Aurignacian</w:t>
      </w:r>
      <w:r>
        <w:t xml:space="preserve"> </w:t>
      </w:r>
      <w:r>
        <w:t xml:space="preserve">at</w:t>
      </w:r>
      <w:r>
        <w:t xml:space="preserve"> </w:t>
      </w:r>
      <w:r>
        <w:t xml:space="preserve">Willendorf</w:t>
      </w:r>
      <w:r>
        <w:t xml:space="preserve"> </w:t>
      </w:r>
      <w:r>
        <w:t xml:space="preserve">(</w:t>
      </w:r>
      <w:r>
        <w:t xml:space="preserve">Austria</w:t>
      </w:r>
      <w:r>
        <w:t xml:space="preserve">): Implications for modern human emergence in</w:t>
      </w:r>
      <w:r>
        <w:t xml:space="preserve"> </w:t>
      </w:r>
      <w:r>
        <w:t xml:space="preserve">Europe</w:t>
      </w:r>
      <w:r>
        <w:t xml:space="preserve">. J Paleolit Archaeol. 2018;1: 107–138. doi:</w:t>
      </w:r>
      <w:r>
        <w:t xml:space="preserve"> </w:t>
      </w:r>
      <w:hyperlink r:id="rId303">
        <w:r>
          <w:rPr>
            <w:rStyle w:val="Hyperlink"/>
          </w:rPr>
          <w:t xml:space="preserve">10.1007/s41982-017-0004-4</w:t>
        </w:r>
      </w:hyperlink>
    </w:p>
    <w:bookmarkEnd w:id="304"/>
    <w:bookmarkStart w:id="306" w:name="ref-Chiotti_2005"/>
    <w:p>
      <w:pPr>
        <w:pStyle w:val="Bibliography"/>
      </w:pPr>
      <w:r>
        <w:t xml:space="preserve">5.</w:t>
      </w:r>
      <w:r>
        <w:t xml:space="preserve"> </w:t>
      </w:r>
      <w:r>
        <w:t xml:space="preserve">	</w:t>
      </w:r>
      <w:r>
        <w:t xml:space="preserve">Chiotti L. Les industries lithiques aurignaciennes de l’abri</w:t>
      </w:r>
      <w:r>
        <w:t xml:space="preserve"> </w:t>
      </w:r>
      <w:r>
        <w:t xml:space="preserve">Pataud</w:t>
      </w:r>
      <w:r>
        <w:t xml:space="preserve">,</w:t>
      </w:r>
      <w:r>
        <w:t xml:space="preserve"> </w:t>
      </w:r>
      <w:r>
        <w:t xml:space="preserve">Dordogne</w:t>
      </w:r>
      <w:r>
        <w:t xml:space="preserve">,</w:t>
      </w:r>
      <w:r>
        <w:t xml:space="preserve"> </w:t>
      </w:r>
      <w:r>
        <w:t xml:space="preserve">France</w:t>
      </w:r>
      <w:r>
        <w:t xml:space="preserve">. Oxford: Archaeopress; 2005. doi:</w:t>
      </w:r>
      <w:r>
        <w:t xml:space="preserve"> </w:t>
      </w:r>
      <w:hyperlink r:id="rId305">
        <w:r>
          <w:rPr>
            <w:rStyle w:val="Hyperlink"/>
          </w:rPr>
          <w:t xml:space="preserve">10.30861/9781841718309</w:t>
        </w:r>
      </w:hyperlink>
    </w:p>
    <w:bookmarkEnd w:id="306"/>
    <w:bookmarkStart w:id="308" w:name="ref-Higham_Abri_Pataud_2011"/>
    <w:p>
      <w:pPr>
        <w:pStyle w:val="Bibliography"/>
      </w:pPr>
      <w:r>
        <w:t xml:space="preserve">6.</w:t>
      </w:r>
      <w:r>
        <w:t xml:space="preserve"> </w:t>
      </w:r>
      <w:r>
        <w:t xml:space="preserve">	</w:t>
      </w:r>
      <w:r>
        <w:t xml:space="preserve">Higham TFG, Jacobi RM, Basell L, Ramsey CB, Chiotti L, Nespoulet R. Precision dating of the</w:t>
      </w:r>
      <w:r>
        <w:t xml:space="preserve"> </w:t>
      </w:r>
      <w:r>
        <w:t xml:space="preserve">Palaeolithic</w:t>
      </w:r>
      <w:r>
        <w:t xml:space="preserve">: A new radiocarbon chronology for the</w:t>
      </w:r>
      <w:r>
        <w:t xml:space="preserve"> </w:t>
      </w:r>
      <w:r>
        <w:t xml:space="preserve">Abri Pataud</w:t>
      </w:r>
      <w:r>
        <w:t xml:space="preserve"> </w:t>
      </w:r>
      <w:r>
        <w:t xml:space="preserve">(</w:t>
      </w:r>
      <w:r>
        <w:t xml:space="preserve">France</w:t>
      </w:r>
      <w:r>
        <w:t xml:space="preserve">), a key</w:t>
      </w:r>
      <w:r>
        <w:t xml:space="preserve"> </w:t>
      </w:r>
      <w:r>
        <w:t xml:space="preserve">Aurignacian</w:t>
      </w:r>
      <w:r>
        <w:t xml:space="preserve"> </w:t>
      </w:r>
      <w:r>
        <w:t xml:space="preserve">sequence. J Hum Evol. 2011;61: 549–563. doi:</w:t>
      </w:r>
      <w:r>
        <w:t xml:space="preserve"> </w:t>
      </w:r>
      <w:hyperlink r:id="rId307">
        <w:r>
          <w:rPr>
            <w:rStyle w:val="Hyperlink"/>
          </w:rPr>
          <w:t xml:space="preserve">10.1016/j.jhevol.2011.06.005</w:t>
        </w:r>
      </w:hyperlink>
    </w:p>
    <w:bookmarkEnd w:id="308"/>
    <w:bookmarkStart w:id="310" w:name="ref-Talamo_La_Ferrassie_2020"/>
    <w:p>
      <w:pPr>
        <w:pStyle w:val="Bibliography"/>
      </w:pPr>
      <w:r>
        <w:t xml:space="preserve">7.</w:t>
      </w:r>
      <w:r>
        <w:t xml:space="preserve"> </w:t>
      </w:r>
      <w:r>
        <w:t xml:space="preserve">	</w:t>
      </w:r>
      <w:r>
        <w:t xml:space="preserve">Talamo S, Aldeias V, Goldberg P, Chiotti L, Dibble HL, Guérin G, et al. The new</w:t>
      </w:r>
      <w:r>
        <w:t xml:space="preserve"> </w:t>
      </w:r>
      <w:r>
        <w:t xml:space="preserve">14C</w:t>
      </w:r>
      <w:r>
        <w:t xml:space="preserve"> </w:t>
      </w:r>
      <w:r>
        <w:t xml:space="preserve">chronology for the</w:t>
      </w:r>
      <w:r>
        <w:t xml:space="preserve"> </w:t>
      </w:r>
      <w:r>
        <w:t xml:space="preserve">Palaeolithic</w:t>
      </w:r>
      <w:r>
        <w:t xml:space="preserve"> </w:t>
      </w:r>
      <w:r>
        <w:t xml:space="preserve">site of</w:t>
      </w:r>
      <w:r>
        <w:t xml:space="preserve"> </w:t>
      </w:r>
      <w:r>
        <w:t xml:space="preserve">La</w:t>
      </w:r>
      <w:r>
        <w:t xml:space="preserve"> </w:t>
      </w:r>
      <w:r>
        <w:t xml:space="preserve">Ferrassie</w:t>
      </w:r>
      <w:r>
        <w:t xml:space="preserve">,</w:t>
      </w:r>
      <w:r>
        <w:t xml:space="preserve"> </w:t>
      </w:r>
      <w:r>
        <w:t xml:space="preserve">France</w:t>
      </w:r>
      <w:r>
        <w:t xml:space="preserve">: The disappearance of</w:t>
      </w:r>
      <w:r>
        <w:t xml:space="preserve"> </w:t>
      </w:r>
      <w:r>
        <w:t xml:space="preserve">Neanderthals</w:t>
      </w:r>
      <w:r>
        <w:t xml:space="preserve"> </w:t>
      </w:r>
      <w:r>
        <w:t xml:space="preserve">and the arrival of</w:t>
      </w:r>
      <w:r>
        <w:t xml:space="preserve"> </w:t>
      </w:r>
      <w:r>
        <w:t xml:space="preserve">Homo</w:t>
      </w:r>
      <w:r>
        <w:t xml:space="preserve"> </w:t>
      </w:r>
      <w:r>
        <w:t xml:space="preserve">sapiens in</w:t>
      </w:r>
      <w:r>
        <w:t xml:space="preserve"> </w:t>
      </w:r>
      <w:r>
        <w:t xml:space="preserve">France</w:t>
      </w:r>
      <w:r>
        <w:t xml:space="preserve">. J Quat Sci. 2020;35: 961–973. doi:</w:t>
      </w:r>
      <w:r>
        <w:t xml:space="preserve"> </w:t>
      </w:r>
      <w:hyperlink r:id="rId309">
        <w:r>
          <w:rPr>
            <w:rStyle w:val="Hyperlink"/>
          </w:rPr>
          <w:t xml:space="preserve">10.1002/jqs.3236</w:t>
        </w:r>
      </w:hyperlink>
    </w:p>
    <w:bookmarkEnd w:id="310"/>
    <w:bookmarkStart w:id="311" w:name="ref-Delporte_1984_Ferrassie"/>
    <w:p>
      <w:pPr>
        <w:pStyle w:val="Bibliography"/>
      </w:pPr>
      <w:r>
        <w:t xml:space="preserve">8.</w:t>
      </w:r>
      <w:r>
        <w:t xml:space="preserve"> </w:t>
      </w:r>
      <w:r>
        <w:t xml:space="preserve">	</w:t>
      </w:r>
      <w:r>
        <w:t xml:space="preserve">Delporte H, editor. Le grand abri de</w:t>
      </w:r>
      <w:r>
        <w:t xml:space="preserve"> </w:t>
      </w:r>
      <w:r>
        <w:t xml:space="preserve">La Ferrassie</w:t>
      </w:r>
      <w:r>
        <w:t xml:space="preserve">: Fouilles 1968-1973. Paris: Laboratoire de Pal</w:t>
      </w:r>
      <w:r>
        <w:t xml:space="preserve">é</w:t>
      </w:r>
      <w:r>
        <w:t xml:space="preserve">ontologie Humaine et de Pr</w:t>
      </w:r>
      <w:r>
        <w:t xml:space="preserve">é</w:t>
      </w:r>
      <w:r>
        <w:t xml:space="preserve">histoire; 1984.</w:t>
      </w:r>
      <w:r>
        <w:t xml:space="preserve"> </w:t>
      </w:r>
    </w:p>
    <w:bookmarkEnd w:id="311"/>
    <w:bookmarkStart w:id="313" w:name="ref-Oliva_2006"/>
    <w:p>
      <w:pPr>
        <w:pStyle w:val="Bibliography"/>
      </w:pPr>
      <w:r>
        <w:t xml:space="preserve">9.</w:t>
      </w:r>
      <w:r>
        <w:t xml:space="preserve"> </w:t>
      </w:r>
      <w:r>
        <w:t xml:space="preserve">	</w:t>
      </w:r>
      <w:r>
        <w:t xml:space="preserve">Oliva M. The upper paleolithic finds from the</w:t>
      </w:r>
      <w:r>
        <w:t xml:space="preserve"> </w:t>
      </w:r>
      <w:r>
        <w:t xml:space="preserve">Mladeč</w:t>
      </w:r>
      <w:r>
        <w:t xml:space="preserve"> </w:t>
      </w:r>
      <w:r>
        <w:t xml:space="preserve">Cave</w:t>
      </w:r>
      <w:r>
        <w:t xml:space="preserve">. In: Teschler-Nicola M, editor. Early modern humans at the</w:t>
      </w:r>
      <w:r>
        <w:t xml:space="preserve"> </w:t>
      </w:r>
      <w:r>
        <w:t xml:space="preserve">Moravian</w:t>
      </w:r>
      <w:r>
        <w:t xml:space="preserve"> </w:t>
      </w:r>
      <w:r>
        <w:t xml:space="preserve">Gate</w:t>
      </w:r>
      <w:r>
        <w:t xml:space="preserve">: The</w:t>
      </w:r>
      <w:r>
        <w:t xml:space="preserve"> </w:t>
      </w:r>
      <w:r>
        <w:t xml:space="preserve">Mladeč</w:t>
      </w:r>
      <w:r>
        <w:t xml:space="preserve"> </w:t>
      </w:r>
      <w:r>
        <w:t xml:space="preserve">Caves</w:t>
      </w:r>
      <w:r>
        <w:t xml:space="preserve"> </w:t>
      </w:r>
      <w:r>
        <w:t xml:space="preserve">and their remains. Vienna: Springer; 2006. pp. 41–74. doi:</w:t>
      </w:r>
      <w:r>
        <w:t xml:space="preserve"> </w:t>
      </w:r>
      <w:hyperlink r:id="rId312">
        <w:r>
          <w:rPr>
            <w:rStyle w:val="Hyperlink"/>
          </w:rPr>
          <w:t xml:space="preserve">10.1007/978-3-211-49294-9_4</w:t>
        </w:r>
      </w:hyperlink>
    </w:p>
    <w:bookmarkEnd w:id="313"/>
    <w:bookmarkStart w:id="315" w:name="ref-Wild_et_al_2005"/>
    <w:p>
      <w:pPr>
        <w:pStyle w:val="Bibliography"/>
      </w:pPr>
      <w:r>
        <w:t xml:space="preserve">10.</w:t>
      </w:r>
      <w:r>
        <w:t xml:space="preserve"> </w:t>
      </w:r>
      <w:r>
        <w:t xml:space="preserve">	</w:t>
      </w:r>
      <w:r>
        <w:t xml:space="preserve">Wild EM, Teschler-Nicola M, Kutschera W, Steier P, Trinkaus E, Wanek W. Direct dating of</w:t>
      </w:r>
      <w:r>
        <w:t xml:space="preserve"> </w:t>
      </w:r>
      <w:r>
        <w:t xml:space="preserve">Early</w:t>
      </w:r>
      <w:r>
        <w:t xml:space="preserve"> </w:t>
      </w:r>
      <w:r>
        <w:t xml:space="preserve">Upper</w:t>
      </w:r>
      <w:r>
        <w:t xml:space="preserve"> </w:t>
      </w:r>
      <w:r>
        <w:t xml:space="preserve">Palaeolithic</w:t>
      </w:r>
      <w:r>
        <w:t xml:space="preserve"> </w:t>
      </w:r>
      <w:r>
        <w:t xml:space="preserve">human remains from</w:t>
      </w:r>
      <w:r>
        <w:t xml:space="preserve"> </w:t>
      </w:r>
      <w:r>
        <w:t xml:space="preserve">Mlade</w:t>
      </w:r>
      <w:r>
        <w:t xml:space="preserve">č</w:t>
      </w:r>
      <w:r>
        <w:t xml:space="preserve">. Nature. 2005;435: 332–335. doi:</w:t>
      </w:r>
      <w:r>
        <w:t xml:space="preserve"> </w:t>
      </w:r>
      <w:hyperlink r:id="rId314">
        <w:r>
          <w:rPr>
            <w:rStyle w:val="Hyperlink"/>
          </w:rPr>
          <w:t xml:space="preserve">10.1038/nature03585</w:t>
        </w:r>
      </w:hyperlink>
    </w:p>
    <w:bookmarkEnd w:id="315"/>
    <w:bookmarkStart w:id="317" w:name="ref-Schurch_Conard_2026_reassess"/>
    <w:p>
      <w:pPr>
        <w:pStyle w:val="Bibliography"/>
      </w:pPr>
      <w:r>
        <w:t xml:space="preserve">11.</w:t>
      </w:r>
      <w:r>
        <w:t xml:space="preserve"> </w:t>
      </w:r>
      <w:r>
        <w:t xml:space="preserve">	</w:t>
      </w:r>
      <w:r>
        <w:t xml:space="preserve">Schürch B, Conard NJ. Reassessing the cultural stratigraphy of</w:t>
      </w:r>
      <w:r>
        <w:t xml:space="preserve"> </w:t>
      </w:r>
      <w:r>
        <w:t xml:space="preserve">Vogelherd</w:t>
      </w:r>
      <w:r>
        <w:t xml:space="preserve"> </w:t>
      </w:r>
      <w:r>
        <w:t xml:space="preserve">Cave</w:t>
      </w:r>
      <w:r>
        <w:t xml:space="preserve">. J Paleolit Archaeol. 2026;9. doi:</w:t>
      </w:r>
      <w:r>
        <w:t xml:space="preserve"> </w:t>
      </w:r>
      <w:hyperlink r:id="rId316">
        <w:r>
          <w:rPr>
            <w:rStyle w:val="Hyperlink"/>
          </w:rPr>
          <w:t xml:space="preserve">10.1007/s41982-025-00246-x</w:t>
        </w:r>
      </w:hyperlink>
    </w:p>
    <w:bookmarkEnd w:id="317"/>
    <w:bookmarkStart w:id="319" w:name="ref-Blondel_2008"/>
    <w:p>
      <w:pPr>
        <w:pStyle w:val="Bibliography"/>
      </w:pPr>
      <w:r>
        <w:t xml:space="preserve">12.</w:t>
      </w:r>
      <w:r>
        <w:t xml:space="preserve"> </w:t>
      </w:r>
      <w:r>
        <w:t xml:space="preserve">	</w:t>
      </w:r>
      <w:r>
        <w:t xml:space="preserve">Blondel VD, Guillaume J-L, Lambiotte R, Lefebvre E. Fast unfolding of communities in large networks. J Stat Mech. 2008;2008: P10008. doi:</w:t>
      </w:r>
      <w:r>
        <w:t xml:space="preserve"> </w:t>
      </w:r>
      <w:hyperlink r:id="rId318">
        <w:r>
          <w:rPr>
            <w:rStyle w:val="Hyperlink"/>
          </w:rPr>
          <w:t xml:space="preserve">10.1088/1742-5468/2008/10/P10008</w:t>
        </w:r>
      </w:hyperlink>
    </w:p>
    <w:bookmarkEnd w:id="319"/>
    <w:bookmarkStart w:id="321" w:name="ref-newman2004finding"/>
    <w:p>
      <w:pPr>
        <w:pStyle w:val="Bibliography"/>
      </w:pPr>
      <w:r>
        <w:t xml:space="preserve">13.</w:t>
      </w:r>
      <w:r>
        <w:t xml:space="preserve"> </w:t>
      </w:r>
      <w:r>
        <w:t xml:space="preserve">	</w:t>
      </w:r>
      <w:r>
        <w:t xml:space="preserve">Newman ME, Girvan M. Finding and evaluating community structure in networks. Phys Rev E Stat Nonlin Soft Matter Phys. 2004;69: 026113. doi:</w:t>
      </w:r>
      <w:r>
        <w:t xml:space="preserve"> </w:t>
      </w:r>
      <w:hyperlink r:id="rId320">
        <w:r>
          <w:rPr>
            <w:rStyle w:val="Hyperlink"/>
          </w:rPr>
          <w:t xml:space="preserve">10.1103/PhysRevE.69.026113</w:t>
        </w:r>
      </w:hyperlink>
    </w:p>
    <w:bookmarkEnd w:id="321"/>
    <w:bookmarkStart w:id="323" w:name="ref-Roberts_2021"/>
    <w:p>
      <w:pPr>
        <w:pStyle w:val="Bibliography"/>
      </w:pPr>
      <w:r>
        <w:t xml:space="preserve">14.</w:t>
      </w:r>
      <w:r>
        <w:t xml:space="preserve"> </w:t>
      </w:r>
      <w:r>
        <w:t xml:space="preserve">	</w:t>
      </w:r>
      <w:r>
        <w:t xml:space="preserve">Roberts JM, Yin Y, Dorshorst E, Peeples MA, Mills BJ. Assessing the performance of the bootstrap in simulated assemblage networks. Soc Networks. 2021;65: 98–109. doi:</w:t>
      </w:r>
      <w:r>
        <w:t xml:space="preserve"> </w:t>
      </w:r>
      <w:hyperlink r:id="rId322">
        <w:r>
          <w:rPr>
            <w:rStyle w:val="Hyperlink"/>
          </w:rPr>
          <w:t xml:space="preserve">10.1016/j.socnet.2020.11.005</w:t>
        </w:r>
      </w:hyperlink>
    </w:p>
    <w:bookmarkEnd w:id="323"/>
    <w:bookmarkStart w:id="325" w:name="ref-Clarke_Rothery_Raybould_2002"/>
    <w:p>
      <w:pPr>
        <w:pStyle w:val="Bibliography"/>
      </w:pPr>
      <w:r>
        <w:t xml:space="preserve">15.</w:t>
      </w:r>
      <w:r>
        <w:t xml:space="preserve"> </w:t>
      </w:r>
      <w:r>
        <w:t xml:space="preserve">	</w:t>
      </w:r>
      <w:r>
        <w:t xml:space="preserve">Clarke RT, Rothery P, Raybould AF. Confidence limits for regression relationships between distance matrices: Estimating gene flow with distance. J Agric Biol Environ Stat. 2002;7: 361–372. doi:</w:t>
      </w:r>
      <w:r>
        <w:t xml:space="preserve"> </w:t>
      </w:r>
      <w:hyperlink r:id="rId324">
        <w:r>
          <w:rPr>
            <w:rStyle w:val="Hyperlink"/>
          </w:rPr>
          <w:t xml:space="preserve">10.1198/108571102320</w:t>
        </w:r>
      </w:hyperlink>
    </w:p>
    <w:bookmarkEnd w:id="325"/>
    <w:bookmarkStart w:id="327" w:name="ref-Lichstein_2007"/>
    <w:p>
      <w:pPr>
        <w:pStyle w:val="Bibliography"/>
      </w:pPr>
      <w:r>
        <w:t xml:space="preserve">16.</w:t>
      </w:r>
      <w:r>
        <w:t xml:space="preserve"> </w:t>
      </w:r>
      <w:r>
        <w:t xml:space="preserve">	</w:t>
      </w:r>
      <w:r>
        <w:t xml:space="preserve">Lichstein JW. Multiple regression on distance matrices: A multivariate spatial analysis tool. Plant Ecol. 2007;188: 117–131. doi:</w:t>
      </w:r>
      <w:r>
        <w:t xml:space="preserve"> </w:t>
      </w:r>
      <w:hyperlink r:id="rId326">
        <w:r>
          <w:rPr>
            <w:rStyle w:val="Hyperlink"/>
          </w:rPr>
          <w:t xml:space="preserve">10.1007/s11258-006-9126-3</w:t>
        </w:r>
      </w:hyperlink>
    </w:p>
    <w:bookmarkEnd w:id="327"/>
    <w:bookmarkStart w:id="329" w:name="ref-Anderson_Walsh_2013"/>
    <w:p>
      <w:pPr>
        <w:pStyle w:val="Bibliography"/>
      </w:pPr>
      <w:r>
        <w:t xml:space="preserve">17.</w:t>
      </w:r>
      <w:r>
        <w:t xml:space="preserve"> </w:t>
      </w:r>
      <w:r>
        <w:t xml:space="preserve">	</w:t>
      </w:r>
      <w:r>
        <w:t xml:space="preserve">Anderson MJ, Walsh DCI.</w:t>
      </w:r>
      <w:r>
        <w:t xml:space="preserve"> </w:t>
      </w:r>
      <w:r>
        <w:t xml:space="preserve">PERMANOVA</w:t>
      </w:r>
      <w:r>
        <w:t xml:space="preserve">,</w:t>
      </w:r>
      <w:r>
        <w:t xml:space="preserve"> </w:t>
      </w:r>
      <w:r>
        <w:t xml:space="preserve">ANOSIM</w:t>
      </w:r>
      <w:r>
        <w:t xml:space="preserve">, and the</w:t>
      </w:r>
      <w:r>
        <w:t xml:space="preserve"> </w:t>
      </w:r>
      <w:r>
        <w:t xml:space="preserve">Mantel</w:t>
      </w:r>
      <w:r>
        <w:t xml:space="preserve"> </w:t>
      </w:r>
      <w:r>
        <w:t xml:space="preserve">test in the face of heterogeneous dispersions:</w:t>
      </w:r>
      <w:r>
        <w:t xml:space="preserve"> </w:t>
      </w:r>
      <w:r>
        <w:t xml:space="preserve">What</w:t>
      </w:r>
      <w:r>
        <w:t xml:space="preserve"> </w:t>
      </w:r>
      <w:r>
        <w:t xml:space="preserve">null hypothesis are you testing? Ecol Monogr. 2013;83: 557–574. doi:</w:t>
      </w:r>
      <w:r>
        <w:t xml:space="preserve"> </w:t>
      </w:r>
      <w:hyperlink r:id="rId328">
        <w:r>
          <w:rPr>
            <w:rStyle w:val="Hyperlink"/>
          </w:rPr>
          <w:t xml:space="preserve">10.1890/12-2010.1</w:t>
        </w:r>
      </w:hyperlink>
    </w:p>
    <w:bookmarkEnd w:id="329"/>
    <w:bookmarkStart w:id="331" w:name="ref-Monti_2003"/>
    <w:p>
      <w:pPr>
        <w:pStyle w:val="Bibliography"/>
      </w:pPr>
      <w:r>
        <w:t xml:space="preserve">18.</w:t>
      </w:r>
      <w:r>
        <w:t xml:space="preserve"> </w:t>
      </w:r>
      <w:r>
        <w:t xml:space="preserve">	</w:t>
      </w:r>
      <w:r>
        <w:t xml:space="preserve">Monti S, Tamayo P, Mesirov J, Golub T. Consensus clustering: A resampling-based method for class discovery and visualization of gene expression microarray data. Mach Learn. 2003;52: 91–118. doi:</w:t>
      </w:r>
      <w:r>
        <w:t xml:space="preserve"> </w:t>
      </w:r>
      <w:hyperlink r:id="rId330">
        <w:r>
          <w:rPr>
            <w:rStyle w:val="Hyperlink"/>
          </w:rPr>
          <w:t xml:space="preserve">10.1023/A:1023949509487</w:t>
        </w:r>
      </w:hyperlink>
    </w:p>
    <w:bookmarkEnd w:id="331"/>
    <w:bookmarkStart w:id="333" w:name="ref-Leger_2016"/>
    <w:p>
      <w:pPr>
        <w:pStyle w:val="Bibliography"/>
      </w:pPr>
      <w:r>
        <w:t xml:space="preserve">19.</w:t>
      </w:r>
      <w:r>
        <w:t xml:space="preserve"> </w:t>
      </w:r>
      <w:r>
        <w:t xml:space="preserve">	</w:t>
      </w:r>
      <w:r>
        <w:t xml:space="preserve">Léger J-B. Blockmodels: A</w:t>
      </w:r>
      <w:r>
        <w:t xml:space="preserve"> </w:t>
      </w:r>
      <w:r>
        <w:t xml:space="preserve">R</w:t>
      </w:r>
      <w:r>
        <w:t xml:space="preserve">-package for estimating in latent block model and stochastic block model, with various probability functions, with or without covariates. 2016. doi:</w:t>
      </w:r>
      <w:r>
        <w:t xml:space="preserve"> </w:t>
      </w:r>
      <w:hyperlink r:id="rId332">
        <w:r>
          <w:rPr>
            <w:rStyle w:val="Hyperlink"/>
          </w:rPr>
          <w:t xml:space="preserve">10.48550/arXiv.1602.07587</w:t>
        </w:r>
      </w:hyperlink>
    </w:p>
    <w:bookmarkEnd w:id="333"/>
    <w:bookmarkStart w:id="335" w:name="ref-Hubert_Arabie_1985"/>
    <w:p>
      <w:pPr>
        <w:pStyle w:val="Bibliography"/>
      </w:pPr>
      <w:r>
        <w:t xml:space="preserve">20.</w:t>
      </w:r>
      <w:r>
        <w:t xml:space="preserve"> </w:t>
      </w:r>
      <w:r>
        <w:t xml:space="preserve">	</w:t>
      </w:r>
      <w:r>
        <w:t xml:space="preserve">Hubert L, Arabie P. Comparing partitions. J Classif. 1985;2: 193–218. doi:</w:t>
      </w:r>
      <w:r>
        <w:t xml:space="preserve"> </w:t>
      </w:r>
      <w:hyperlink r:id="rId334">
        <w:r>
          <w:rPr>
            <w:rStyle w:val="Hyperlink"/>
          </w:rPr>
          <w:t xml:space="preserve">10.1007/BF01908075</w:t>
        </w:r>
      </w:hyperlink>
    </w:p>
    <w:bookmarkEnd w:id="335"/>
    <w:bookmarkStart w:id="337" w:name="ref-Strona_2014"/>
    <w:p>
      <w:pPr>
        <w:pStyle w:val="Bibliography"/>
      </w:pPr>
      <w:r>
        <w:t xml:space="preserve">21.</w:t>
      </w:r>
      <w:r>
        <w:t xml:space="preserve"> </w:t>
      </w:r>
      <w:r>
        <w:t xml:space="preserve">	</w:t>
      </w:r>
      <w:r>
        <w:t xml:space="preserve">Strona G, Nappo D, Boccacci F, Fattorini S, San-Miguel-Ayanz J. A fast and unbiased procedure to randomize ecological binary matrices with fixed row and column totals. Nat Commun. 2014;5: 4114. doi:</w:t>
      </w:r>
      <w:r>
        <w:t xml:space="preserve"> </w:t>
      </w:r>
      <w:hyperlink r:id="rId336">
        <w:r>
          <w:rPr>
            <w:rStyle w:val="Hyperlink"/>
          </w:rPr>
          <w:t xml:space="preserve">10.1038/ncomms5114</w:t>
        </w:r>
      </w:hyperlink>
    </w:p>
    <w:bookmarkEnd w:id="337"/>
    <w:bookmarkStart w:id="339" w:name="ref-Gao_Bien_Witten_2022"/>
    <w:p>
      <w:pPr>
        <w:pStyle w:val="Bibliography"/>
      </w:pPr>
      <w:r>
        <w:t xml:space="preserve">22.</w:t>
      </w:r>
      <w:r>
        <w:t xml:space="preserve"> </w:t>
      </w:r>
      <w:r>
        <w:t xml:space="preserve">	</w:t>
      </w:r>
      <w:r>
        <w:t xml:space="preserve">Gao LL, Bien J, Witten D. Selective inference for</w:t>
      </w:r>
      <w:r>
        <w:t xml:space="preserve"> </w:t>
      </w:r>
      <w:r>
        <w:t xml:space="preserve">Hierarchical</w:t>
      </w:r>
      <w:r>
        <w:t xml:space="preserve"> </w:t>
      </w:r>
      <w:r>
        <w:t xml:space="preserve">clustering. J Am Stat Assoc. 2022;119: 332–342. doi:</w:t>
      </w:r>
      <w:r>
        <w:t xml:space="preserve"> </w:t>
      </w:r>
      <w:hyperlink r:id="rId338">
        <w:r>
          <w:rPr>
            <w:rStyle w:val="Hyperlink"/>
          </w:rPr>
          <w:t xml:space="preserve">10.1080/01621459.2022.2116331</w:t>
        </w:r>
      </w:hyperlink>
    </w:p>
    <w:bookmarkEnd w:id="339"/>
    <w:bookmarkStart w:id="341" w:name="ref-Neufeld_2024"/>
    <w:p>
      <w:pPr>
        <w:pStyle w:val="Bibliography"/>
      </w:pPr>
      <w:r>
        <w:t xml:space="preserve">23.</w:t>
      </w:r>
      <w:r>
        <w:t xml:space="preserve"> </w:t>
      </w:r>
      <w:r>
        <w:t xml:space="preserve">	</w:t>
      </w:r>
      <w:r>
        <w:t xml:space="preserve">Neufeld A, Gao LL, Popp J, Battle A, Witten D. Inference after latent variable estimation for single-cell</w:t>
      </w:r>
      <w:r>
        <w:t xml:space="preserve"> </w:t>
      </w:r>
      <w:r>
        <w:t xml:space="preserve">RNA</w:t>
      </w:r>
      <w:r>
        <w:t xml:space="preserve"> </w:t>
      </w:r>
      <w:r>
        <w:t xml:space="preserve">sequencing data. Biostatistics. 2024;25: 270–287. doi:</w:t>
      </w:r>
      <w:r>
        <w:t xml:space="preserve"> </w:t>
      </w:r>
      <w:hyperlink r:id="rId340">
        <w:r>
          <w:rPr>
            <w:rStyle w:val="Hyperlink"/>
          </w:rPr>
          <w:t xml:space="preserve">10.1093/biostatistics/kxac047</w:t>
        </w:r>
      </w:hyperlink>
    </w:p>
    <w:bookmarkEnd w:id="341"/>
    <w:bookmarkStart w:id="343" w:name="ref-Chao_Jost_2012"/>
    <w:p>
      <w:pPr>
        <w:pStyle w:val="Bibliography"/>
      </w:pPr>
      <w:r>
        <w:t xml:space="preserve">24.</w:t>
      </w:r>
      <w:r>
        <w:t xml:space="preserve"> </w:t>
      </w:r>
      <w:r>
        <w:t xml:space="preserve">	</w:t>
      </w:r>
      <w:r>
        <w:t xml:space="preserve">Chao A, Jost L. Coverage-based rarefaction and extrapolation: Standardizing samples by completeness rather than size. Ecology. 2012;93: 2533–2547. doi:</w:t>
      </w:r>
      <w:r>
        <w:t xml:space="preserve"> </w:t>
      </w:r>
      <w:hyperlink r:id="rId342">
        <w:r>
          <w:rPr>
            <w:rStyle w:val="Hyperlink"/>
          </w:rPr>
          <w:t xml:space="preserve">10.1890/11-1952.1</w:t>
        </w:r>
      </w:hyperlink>
    </w:p>
    <w:bookmarkEnd w:id="343"/>
    <w:bookmarkStart w:id="345" w:name="ref-Gotelli_Colwell_2001"/>
    <w:p>
      <w:pPr>
        <w:pStyle w:val="Bibliography"/>
      </w:pPr>
      <w:r>
        <w:t xml:space="preserve">25.</w:t>
      </w:r>
      <w:r>
        <w:t xml:space="preserve"> </w:t>
      </w:r>
      <w:r>
        <w:t xml:space="preserve">	</w:t>
      </w:r>
      <w:r>
        <w:t xml:space="preserve">Gotelli NJ, Colwell RK. Quantifying biodiversity: Procedures and pitfalls in the measurement and comparison of species richness. Ecol Lett. 2001;4: 379–391. doi:</w:t>
      </w:r>
      <w:r>
        <w:t xml:space="preserve"> </w:t>
      </w:r>
      <w:hyperlink r:id="rId344">
        <w:r>
          <w:rPr>
            <w:rStyle w:val="Hyperlink"/>
          </w:rPr>
          <w:t xml:space="preserve">10.1046/j.1461-0248.2001.00230.x</w:t>
        </w:r>
      </w:hyperlink>
    </w:p>
    <w:bookmarkEnd w:id="345"/>
    <w:bookmarkStart w:id="347" w:name="ref-Hsieh_Ma_Chao_2016"/>
    <w:p>
      <w:pPr>
        <w:pStyle w:val="Bibliography"/>
      </w:pPr>
      <w:r>
        <w:t xml:space="preserve">26.</w:t>
      </w:r>
      <w:r>
        <w:t xml:space="preserve"> </w:t>
      </w:r>
      <w:r>
        <w:t xml:space="preserve">	</w:t>
      </w:r>
      <w:r>
        <w:t xml:space="preserve">Hsieh TC, Ma KH, Chao A.</w:t>
      </w:r>
      <w:r>
        <w:t xml:space="preserve"> </w:t>
      </w:r>
      <w:r>
        <w:t xml:space="preserve">iNEXT</w:t>
      </w:r>
      <w:r>
        <w:t xml:space="preserve">: An</w:t>
      </w:r>
      <w:r>
        <w:t xml:space="preserve"> </w:t>
      </w:r>
      <w:r>
        <w:t xml:space="preserve">R</w:t>
      </w:r>
      <w:r>
        <w:t xml:space="preserve"> </w:t>
      </w:r>
      <w:r>
        <w:t xml:space="preserve">package for rarefaction and extrapolation of species diversity (</w:t>
      </w:r>
      <w:r>
        <w:t xml:space="preserve">Hill</w:t>
      </w:r>
      <w:r>
        <w:t xml:space="preserve"> </w:t>
      </w:r>
      <w:r>
        <w:t xml:space="preserve">numbers). Methods Ecol Evol. 2016;7: 1451–1456. doi:</w:t>
      </w:r>
      <w:r>
        <w:t xml:space="preserve"> </w:t>
      </w:r>
      <w:hyperlink r:id="rId346">
        <w:r>
          <w:rPr>
            <w:rStyle w:val="Hyperlink"/>
          </w:rPr>
          <w:t xml:space="preserve">10.1111/2041-210X.12613</w:t>
        </w:r>
      </w:hyperlink>
    </w:p>
    <w:bookmarkEnd w:id="347"/>
    <w:bookmarkStart w:id="349" w:name="ref-Venables_Ripley_2002"/>
    <w:p>
      <w:pPr>
        <w:pStyle w:val="Bibliography"/>
      </w:pPr>
      <w:r>
        <w:t xml:space="preserve">27.</w:t>
      </w:r>
      <w:r>
        <w:t xml:space="preserve"> </w:t>
      </w:r>
      <w:r>
        <w:t xml:space="preserve">	</w:t>
      </w:r>
      <w:r>
        <w:t xml:space="preserve">Venables WN, Ripley BD. Modern applied statistics with s. Fourth. Springer; 2002. doi:</w:t>
      </w:r>
      <w:r>
        <w:t xml:space="preserve"> </w:t>
      </w:r>
      <w:hyperlink r:id="rId348">
        <w:r>
          <w:rPr>
            <w:rStyle w:val="Hyperlink"/>
          </w:rPr>
          <w:t xml:space="preserve">10.1007/978-0-387-21706-2</w:t>
        </w:r>
      </w:hyperlink>
    </w:p>
    <w:bookmarkEnd w:id="349"/>
    <w:bookmarkStart w:id="351" w:name="ref-Bentz_Dutkiewicz_2026"/>
    <w:p>
      <w:pPr>
        <w:pStyle w:val="Bibliography"/>
      </w:pPr>
      <w:r>
        <w:t xml:space="preserve">28.</w:t>
      </w:r>
      <w:r>
        <w:t xml:space="preserve"> </w:t>
      </w:r>
      <w:r>
        <w:t xml:space="preserve">	</w:t>
      </w:r>
      <w:r>
        <w:t xml:space="preserve">Bentz C, Dutkiewicz E. Humans 40,000 y ago developed a system of conventional signs. Proc Natl Acad Sci U S A. 2026;123: e2520385123. doi:</w:t>
      </w:r>
      <w:r>
        <w:t xml:space="preserve"> </w:t>
      </w:r>
      <w:hyperlink r:id="rId350">
        <w:r>
          <w:rPr>
            <w:rStyle w:val="Hyperlink"/>
          </w:rPr>
          <w:t xml:space="preserve">10.1073/pnas.2520385123</w:t>
        </w:r>
      </w:hyperlink>
    </w:p>
    <w:bookmarkEnd w:id="351"/>
    <w:bookmarkStart w:id="353" w:name="ref-Hoenig_Heisey_2001"/>
    <w:p>
      <w:pPr>
        <w:pStyle w:val="Bibliography"/>
      </w:pPr>
      <w:r>
        <w:t xml:space="preserve">29.</w:t>
      </w:r>
      <w:r>
        <w:t xml:space="preserve"> </w:t>
      </w:r>
      <w:r>
        <w:t xml:space="preserve">	</w:t>
      </w:r>
      <w:r>
        <w:t xml:space="preserve">Hoenig JM, Heisey DM. The abuse of power:</w:t>
      </w:r>
      <w:r>
        <w:t xml:space="preserve"> </w:t>
      </w:r>
      <w:r>
        <w:t xml:space="preserve">The</w:t>
      </w:r>
      <w:r>
        <w:t xml:space="preserve"> </w:t>
      </w:r>
      <w:r>
        <w:t xml:space="preserve">pervasive fallacy of power calculations for data analysis. Am Stat. 2001;55: 19–24. doi:</w:t>
      </w:r>
      <w:r>
        <w:t xml:space="preserve"> </w:t>
      </w:r>
      <w:hyperlink r:id="rId352">
        <w:r>
          <w:rPr>
            <w:rStyle w:val="Hyperlink"/>
          </w:rPr>
          <w:t xml:space="preserve">10.1198/000313001300339897</w:t>
        </w:r>
      </w:hyperlink>
    </w:p>
    <w:bookmarkEnd w:id="353"/>
    <w:bookmarkStart w:id="355" w:name="ref-Cohen_1992"/>
    <w:p>
      <w:pPr>
        <w:pStyle w:val="Bibliography"/>
      </w:pPr>
      <w:r>
        <w:t xml:space="preserve">30.</w:t>
      </w:r>
      <w:r>
        <w:t xml:space="preserve"> </w:t>
      </w:r>
      <w:r>
        <w:t xml:space="preserve">	</w:t>
      </w:r>
      <w:r>
        <w:t xml:space="preserve">Cohen J. A power primer. Psychol Bull. 1992;112: 155–159. doi:</w:t>
      </w:r>
      <w:r>
        <w:t xml:space="preserve"> </w:t>
      </w:r>
      <w:hyperlink r:id="rId354">
        <w:r>
          <w:rPr>
            <w:rStyle w:val="Hyperlink"/>
          </w:rPr>
          <w:t xml:space="preserve">10.1037/0033-2909.112.1.155</w:t>
        </w:r>
      </w:hyperlink>
    </w:p>
    <w:bookmarkEnd w:id="355"/>
    <w:bookmarkStart w:id="357" w:name="ref-Legendre_2015"/>
    <w:p>
      <w:pPr>
        <w:pStyle w:val="Bibliography"/>
      </w:pPr>
      <w:r>
        <w:t xml:space="preserve">31.</w:t>
      </w:r>
      <w:r>
        <w:t xml:space="preserve"> </w:t>
      </w:r>
      <w:r>
        <w:t xml:space="preserve">	</w:t>
      </w:r>
      <w:r>
        <w:t xml:space="preserve">Legendre P, Fortin M-J, Borcard D. Should the mantel test be used in spatial analysis? Methods Ecol Evol. 2015;6: 1239–1247. doi:</w:t>
      </w:r>
      <w:r>
        <w:t xml:space="preserve"> </w:t>
      </w:r>
      <w:hyperlink r:id="rId356">
        <w:r>
          <w:rPr>
            <w:rStyle w:val="Hyperlink"/>
          </w:rPr>
          <w:t xml:space="preserve">10.1111/2041-210X.12425</w:t>
        </w:r>
      </w:hyperlink>
    </w:p>
    <w:bookmarkEnd w:id="357"/>
    <w:bookmarkStart w:id="359" w:name="ref-Guillot_Rousset_2013"/>
    <w:p>
      <w:pPr>
        <w:pStyle w:val="Bibliography"/>
      </w:pPr>
      <w:r>
        <w:t xml:space="preserve">32.</w:t>
      </w:r>
      <w:r>
        <w:t xml:space="preserve"> </w:t>
      </w:r>
      <w:r>
        <w:t xml:space="preserve">	</w:t>
      </w:r>
      <w:r>
        <w:t xml:space="preserve">Guillot G, Rousset F. Dismantling the mantel tests. Methods Ecol Evol. 2013;4: 336–344. doi:</w:t>
      </w:r>
      <w:r>
        <w:t xml:space="preserve"> </w:t>
      </w:r>
      <w:hyperlink r:id="rId358">
        <w:r>
          <w:rPr>
            <w:rStyle w:val="Hyperlink"/>
          </w:rPr>
          <w:t xml:space="preserve">10.1111/2041-210X.12018</w:t>
        </w:r>
      </w:hyperlink>
    </w:p>
    <w:bookmarkEnd w:id="359"/>
    <w:bookmarkEnd w:id="360"/>
    <w:bookmarkEnd w:id="361"/>
    <w:bookmarkEnd w:id="362"/>
    <w:sectPr w:rsidR="00BB20FA" w:rsidSect="004E2847">
      <w:footnotePr>
        <w:numRestart w:val="eachSect"/>
      </w:footnotePr>
      <w:pgSz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BFD048D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4B2267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7734625" w:numId="1">
    <w:abstractNumId w:val="0"/>
  </w:num>
  <w:num w16cid:durableId="488792786" w:numId="2">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31"/>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9A0D53"/>
    <w:pPr>
      <w:keepNext/>
      <w:keepLines/>
      <w:pageBreakBefore/>
      <w:spacing w:after="40" w:before="80" w:line="20" w:lineRule="exact"/>
      <w:outlineLvl w:val="4"/>
    </w:pPr>
    <w:rPr>
      <w:rFonts w:cstheme="majorBidi" w:eastAsiaTheme="majorEastAsia"/>
      <w:color w:themeColor="background1" w:val="FFFFFF"/>
      <w:sz w:val="1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8A21D1"/>
    <w:pPr>
      <w:spacing w:after="36" w:before="36"/>
    </w:pPr>
    <w:rPr>
      <w:rFonts w:ascii="Arial" w:hAnsi="Arial"/>
      <w:sz w:val="16"/>
    </w:r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9A0D53"/>
    <w:rPr>
      <w:rFonts w:cstheme="majorBidi" w:eastAsiaTheme="majorEastAsia"/>
      <w:color w:themeColor="background1" w:val="FFFFFF"/>
      <w:sz w:val="1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A87B81"/>
    <w:rPr>
      <w:rFonts w:ascii="Arial" w:hAnsi="Arial"/>
      <w:sz w:val="16"/>
      <w:szCs w:val="20"/>
      <w:lang w:eastAsia="en-US"/>
    </w:rPr>
    <w:tblPr>
      <w:tblInd w:type="dxa" w:w="0"/>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4E2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70" Target="media/rId170.png" /><Relationship Type="http://schemas.openxmlformats.org/officeDocument/2006/relationships/image" Id="rId217" Target="media/rId217.png" /><Relationship Type="http://schemas.openxmlformats.org/officeDocument/2006/relationships/image" Id="rId226" Target="media/rId226.png" /><Relationship Type="http://schemas.openxmlformats.org/officeDocument/2006/relationships/image" Id="rId50" Target="media/rId50.png" /><Relationship Type="http://schemas.openxmlformats.org/officeDocument/2006/relationships/image" Id="rId159" Target="media/rId159.png" /><Relationship Type="http://schemas.openxmlformats.org/officeDocument/2006/relationships/image" Id="rId46" Target="media/rId46.png" /><Relationship Type="http://schemas.openxmlformats.org/officeDocument/2006/relationships/image" Id="rId29" Target="media/rId29.png" /><Relationship Type="http://schemas.openxmlformats.org/officeDocument/2006/relationships/image" Id="rId131" Target="media/rId131.png" /><Relationship Type="http://schemas.openxmlformats.org/officeDocument/2006/relationships/image" Id="rId65" Target="media/rId65.png" /><Relationship Type="http://schemas.openxmlformats.org/officeDocument/2006/relationships/image" Id="rId240" Target="media/rId240.png" /><Relationship Type="http://schemas.openxmlformats.org/officeDocument/2006/relationships/image" Id="rId269" Target="media/rId269.png" /><Relationship Type="http://schemas.openxmlformats.org/officeDocument/2006/relationships/image" Id="rId290" Target="media/rId290.png" /><Relationship Type="http://schemas.openxmlformats.org/officeDocument/2006/relationships/image" Id="rId257" Target="media/rId257.png" /><Relationship Type="http://schemas.openxmlformats.org/officeDocument/2006/relationships/image" Id="rId249" Target="media/rId249.png" /><Relationship Type="http://schemas.openxmlformats.org/officeDocument/2006/relationships/image" Id="rId178" Target="media/rId178.png" /><Relationship Type="http://schemas.openxmlformats.org/officeDocument/2006/relationships/image" Id="rId187" Target="media/rId187.png" /><Relationship Type="http://schemas.openxmlformats.org/officeDocument/2006/relationships/image" Id="rId195" Target="media/rId195.png" /><Relationship Type="http://schemas.openxmlformats.org/officeDocument/2006/relationships/image" Id="rId36" Target="media/rId36.png" /><Relationship Type="http://schemas.openxmlformats.org/officeDocument/2006/relationships/hyperlink" Id="rId309" Target="https://doi.org/10.1002/jqs.3236" TargetMode="External" /><Relationship Type="http://schemas.openxmlformats.org/officeDocument/2006/relationships/hyperlink" Id="rId348" Target="https://doi.org/10.1007/978-0-387-21706-2" TargetMode="External" /><Relationship Type="http://schemas.openxmlformats.org/officeDocument/2006/relationships/hyperlink" Id="rId312" Target="https://doi.org/10.1007/978-3-211-49294-9_4" TargetMode="External" /><Relationship Type="http://schemas.openxmlformats.org/officeDocument/2006/relationships/hyperlink" Id="rId334" Target="https://doi.org/10.1007/BF01908075" TargetMode="External" /><Relationship Type="http://schemas.openxmlformats.org/officeDocument/2006/relationships/hyperlink" Id="rId326" Target="https://doi.org/10.1007/s11258-006-9126-3" TargetMode="External" /><Relationship Type="http://schemas.openxmlformats.org/officeDocument/2006/relationships/hyperlink" Id="rId303" Target="https://doi.org/10.1007/s41982-017-0004-4" TargetMode="External" /><Relationship Type="http://schemas.openxmlformats.org/officeDocument/2006/relationships/hyperlink" Id="rId316" Target="https://doi.org/10.1007/s41982-025-00246-x" TargetMode="External" /><Relationship Type="http://schemas.openxmlformats.org/officeDocument/2006/relationships/hyperlink" Id="rId307" Target="https://doi.org/10.1016/j.jhevol.2011.06.005" TargetMode="External" /><Relationship Type="http://schemas.openxmlformats.org/officeDocument/2006/relationships/hyperlink" Id="rId301" Target="https://doi.org/10.1016/j.quascirev.2021.106995" TargetMode="External" /><Relationship Type="http://schemas.openxmlformats.org/officeDocument/2006/relationships/hyperlink" Id="rId322" Target="https://doi.org/10.1016/j.socnet.2020.11.005" TargetMode="External" /><Relationship Type="http://schemas.openxmlformats.org/officeDocument/2006/relationships/hyperlink" Id="rId330" Target="https://doi.org/10.1023/A:1023949509487" TargetMode="External" /><Relationship Type="http://schemas.openxmlformats.org/officeDocument/2006/relationships/hyperlink" Id="rId354" Target="https://doi.org/10.1037/0033-2909.112.1.155" TargetMode="External" /><Relationship Type="http://schemas.openxmlformats.org/officeDocument/2006/relationships/hyperlink" Id="rId314" Target="https://doi.org/10.1038/nature03585" TargetMode="External" /><Relationship Type="http://schemas.openxmlformats.org/officeDocument/2006/relationships/hyperlink" Id="rId336" Target="https://doi.org/10.1038/ncomms5114" TargetMode="External" /><Relationship Type="http://schemas.openxmlformats.org/officeDocument/2006/relationships/hyperlink" Id="rId344" Target="https://doi.org/10.1046/j.1461-0248.2001.00230.x" TargetMode="External" /><Relationship Type="http://schemas.openxmlformats.org/officeDocument/2006/relationships/hyperlink" Id="rId350" Target="https://doi.org/10.1073/pnas.2520385123" TargetMode="External" /><Relationship Type="http://schemas.openxmlformats.org/officeDocument/2006/relationships/hyperlink" Id="rId338" Target="https://doi.org/10.1080/01621459.2022.2116331" TargetMode="External" /><Relationship Type="http://schemas.openxmlformats.org/officeDocument/2006/relationships/hyperlink" Id="rId318" Target="https://doi.org/10.1088/1742-5468/2008/10/P10008" TargetMode="External" /><Relationship Type="http://schemas.openxmlformats.org/officeDocument/2006/relationships/hyperlink" Id="rId340" Target="https://doi.org/10.1093/biostatistics/kxac047" TargetMode="External" /><Relationship Type="http://schemas.openxmlformats.org/officeDocument/2006/relationships/hyperlink" Id="rId320" Target="https://doi.org/10.1103/PhysRevE.69.026113" TargetMode="External" /><Relationship Type="http://schemas.openxmlformats.org/officeDocument/2006/relationships/hyperlink" Id="rId358" Target="https://doi.org/10.1111/2041-210X.12018" TargetMode="External" /><Relationship Type="http://schemas.openxmlformats.org/officeDocument/2006/relationships/hyperlink" Id="rId356" Target="https://doi.org/10.1111/2041-210X.12425" TargetMode="External" /><Relationship Type="http://schemas.openxmlformats.org/officeDocument/2006/relationships/hyperlink" Id="rId346" Target="https://doi.org/10.1111/2041-210X.12613" TargetMode="External" /><Relationship Type="http://schemas.openxmlformats.org/officeDocument/2006/relationships/hyperlink" Id="rId352" Target="https://doi.org/10.1198/000313001300339897" TargetMode="External" /><Relationship Type="http://schemas.openxmlformats.org/officeDocument/2006/relationships/hyperlink" Id="rId324" Target="https://doi.org/10.1198/108571102320" TargetMode="External" /><Relationship Type="http://schemas.openxmlformats.org/officeDocument/2006/relationships/hyperlink" Id="rId297" Target="https://doi.org/10.18637/jss.v022.i07" TargetMode="External" /><Relationship Type="http://schemas.openxmlformats.org/officeDocument/2006/relationships/hyperlink" Id="rId299" Target="https://doi.org/10.1890/0012-9615(1999)069[0001:DBRATM]2.0.CO;2" TargetMode="External" /><Relationship Type="http://schemas.openxmlformats.org/officeDocument/2006/relationships/hyperlink" Id="rId342" Target="https://doi.org/10.1890/11-1952.1" TargetMode="External" /><Relationship Type="http://schemas.openxmlformats.org/officeDocument/2006/relationships/hyperlink" Id="rId328" Target="https://doi.org/10.1890/12-2010.1" TargetMode="External" /><Relationship Type="http://schemas.openxmlformats.org/officeDocument/2006/relationships/hyperlink" Id="rId305" Target="https://doi.org/10.30861/9781841718309" TargetMode="External" /><Relationship Type="http://schemas.openxmlformats.org/officeDocument/2006/relationships/hyperlink" Id="rId332" Target="https://doi.org/10.48550/arXiv.1602.07587" TargetMode="External" /><Relationship Type="http://schemas.openxmlformats.org/officeDocument/2006/relationships/hyperlink" Id="rId20" Target="mailto:bmarwick@uw.edu" TargetMode="External" /></Relationships>
</file>

<file path=word/_rels/footnotes.xml.rels><?xml version="1.0" encoding="UTF-8"?><Relationships xmlns="http://schemas.openxmlformats.org/package/2006/relationships"><Relationship Type="http://schemas.openxmlformats.org/officeDocument/2006/relationships/hyperlink" Id="rId309" Target="https://doi.org/10.1002/jqs.3236" TargetMode="External" /><Relationship Type="http://schemas.openxmlformats.org/officeDocument/2006/relationships/hyperlink" Id="rId348" Target="https://doi.org/10.1007/978-0-387-21706-2" TargetMode="External" /><Relationship Type="http://schemas.openxmlformats.org/officeDocument/2006/relationships/hyperlink" Id="rId312" Target="https://doi.org/10.1007/978-3-211-49294-9_4" TargetMode="External" /><Relationship Type="http://schemas.openxmlformats.org/officeDocument/2006/relationships/hyperlink" Id="rId334" Target="https://doi.org/10.1007/BF01908075" TargetMode="External" /><Relationship Type="http://schemas.openxmlformats.org/officeDocument/2006/relationships/hyperlink" Id="rId326" Target="https://doi.org/10.1007/s11258-006-9126-3" TargetMode="External" /><Relationship Type="http://schemas.openxmlformats.org/officeDocument/2006/relationships/hyperlink" Id="rId303" Target="https://doi.org/10.1007/s41982-017-0004-4" TargetMode="External" /><Relationship Type="http://schemas.openxmlformats.org/officeDocument/2006/relationships/hyperlink" Id="rId316" Target="https://doi.org/10.1007/s41982-025-00246-x" TargetMode="External" /><Relationship Type="http://schemas.openxmlformats.org/officeDocument/2006/relationships/hyperlink" Id="rId307" Target="https://doi.org/10.1016/j.jhevol.2011.06.005" TargetMode="External" /><Relationship Type="http://schemas.openxmlformats.org/officeDocument/2006/relationships/hyperlink" Id="rId301" Target="https://doi.org/10.1016/j.quascirev.2021.106995" TargetMode="External" /><Relationship Type="http://schemas.openxmlformats.org/officeDocument/2006/relationships/hyperlink" Id="rId322" Target="https://doi.org/10.1016/j.socnet.2020.11.005" TargetMode="External" /><Relationship Type="http://schemas.openxmlformats.org/officeDocument/2006/relationships/hyperlink" Id="rId330" Target="https://doi.org/10.1023/A:1023949509487" TargetMode="External" /><Relationship Type="http://schemas.openxmlformats.org/officeDocument/2006/relationships/hyperlink" Id="rId354" Target="https://doi.org/10.1037/0033-2909.112.1.155" TargetMode="External" /><Relationship Type="http://schemas.openxmlformats.org/officeDocument/2006/relationships/hyperlink" Id="rId314" Target="https://doi.org/10.1038/nature03585" TargetMode="External" /><Relationship Type="http://schemas.openxmlformats.org/officeDocument/2006/relationships/hyperlink" Id="rId336" Target="https://doi.org/10.1038/ncomms5114" TargetMode="External" /><Relationship Type="http://schemas.openxmlformats.org/officeDocument/2006/relationships/hyperlink" Id="rId344" Target="https://doi.org/10.1046/j.1461-0248.2001.00230.x" TargetMode="External" /><Relationship Type="http://schemas.openxmlformats.org/officeDocument/2006/relationships/hyperlink" Id="rId350" Target="https://doi.org/10.1073/pnas.2520385123" TargetMode="External" /><Relationship Type="http://schemas.openxmlformats.org/officeDocument/2006/relationships/hyperlink" Id="rId338" Target="https://doi.org/10.1080/01621459.2022.2116331" TargetMode="External" /><Relationship Type="http://schemas.openxmlformats.org/officeDocument/2006/relationships/hyperlink" Id="rId318" Target="https://doi.org/10.1088/1742-5468/2008/10/P10008" TargetMode="External" /><Relationship Type="http://schemas.openxmlformats.org/officeDocument/2006/relationships/hyperlink" Id="rId340" Target="https://doi.org/10.1093/biostatistics/kxac047" TargetMode="External" /><Relationship Type="http://schemas.openxmlformats.org/officeDocument/2006/relationships/hyperlink" Id="rId320" Target="https://doi.org/10.1103/PhysRevE.69.026113" TargetMode="External" /><Relationship Type="http://schemas.openxmlformats.org/officeDocument/2006/relationships/hyperlink" Id="rId358" Target="https://doi.org/10.1111/2041-210X.12018" TargetMode="External" /><Relationship Type="http://schemas.openxmlformats.org/officeDocument/2006/relationships/hyperlink" Id="rId356" Target="https://doi.org/10.1111/2041-210X.12425" TargetMode="External" /><Relationship Type="http://schemas.openxmlformats.org/officeDocument/2006/relationships/hyperlink" Id="rId346" Target="https://doi.org/10.1111/2041-210X.12613" TargetMode="External" /><Relationship Type="http://schemas.openxmlformats.org/officeDocument/2006/relationships/hyperlink" Id="rId352" Target="https://doi.org/10.1198/000313001300339897" TargetMode="External" /><Relationship Type="http://schemas.openxmlformats.org/officeDocument/2006/relationships/hyperlink" Id="rId324" Target="https://doi.org/10.1198/108571102320" TargetMode="External" /><Relationship Type="http://schemas.openxmlformats.org/officeDocument/2006/relationships/hyperlink" Id="rId297" Target="https://doi.org/10.18637/jss.v022.i07" TargetMode="External" /><Relationship Type="http://schemas.openxmlformats.org/officeDocument/2006/relationships/hyperlink" Id="rId299" Target="https://doi.org/10.1890/0012-9615(1999)069[0001:DBRATM]2.0.CO;2" TargetMode="External" /><Relationship Type="http://schemas.openxmlformats.org/officeDocument/2006/relationships/hyperlink" Id="rId342" Target="https://doi.org/10.1890/11-1952.1" TargetMode="External" /><Relationship Type="http://schemas.openxmlformats.org/officeDocument/2006/relationships/hyperlink" Id="rId328" Target="https://doi.org/10.1890/12-2010.1" TargetMode="External" /><Relationship Type="http://schemas.openxmlformats.org/officeDocument/2006/relationships/hyperlink" Id="rId305" Target="https://doi.org/10.30861/9781841718309" TargetMode="External" /><Relationship Type="http://schemas.openxmlformats.org/officeDocument/2006/relationships/hyperlink" Id="rId332" Target="https://doi.org/10.48550/arXiv.1602.07587" TargetMode="External" /><Relationship Type="http://schemas.openxmlformats.org/officeDocument/2006/relationships/hyperlink" Id="rId20" Target="mailto:bmarwick@uw.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Sensitivity Analyses</dc:title>
  <dc:creator>Sophie Cooper1, Aleah Rosner1, Eva Oryn1, Kenneth B. Vernon2, and Ben Marwick1,✉</dc:creator>
  <cp:keywords/>
  <dcterms:created xsi:type="dcterms:W3CDTF">2026-10-20T06:24:00Z</dcterms:created>
  <dcterms:modified xsi:type="dcterms:W3CDTF">2026-10-20T06:24:00Z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crossref">
    <vt:lpwstr/>
  </property>
  <property fmtid="{D5CDD505-2E9C-101B-9397-08002B2CF9AE}" pid="7" name="csl">
    <vt:lpwstr>../templates/plos.csl</vt:lpwstr>
  </property>
  <property fmtid="{D5CDD505-2E9C-101B-9397-08002B2CF9AE}" pid="8" name="date">
    <vt:lpwstr>October 19, 2026</vt:lpwstr>
  </property>
  <property fmtid="{D5CDD505-2E9C-101B-9397-08002B2CF9AE}" pid="9" name="date-format">
    <vt:lpwstr>long</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institutes">
    <vt:lpwstr/>
  </property>
  <property fmtid="{D5CDD505-2E9C-101B-9397-08002B2CF9AE}" pid="15" name="labels">
    <vt:lpwstr/>
  </property>
  <property fmtid="{D5CDD505-2E9C-101B-9397-08002B2CF9AE}" pid="16" name="subtitle">
    <vt:lpwstr>Geometric signs reveal a continuum rather than discrete cultural groups in the Aurignacian</vt:lpwstr>
  </property>
  <property fmtid="{D5CDD505-2E9C-101B-9397-08002B2CF9AE}" pid="17" name="supplement-number">
    <vt:lpwstr>1</vt:lpwstr>
  </property>
  <property fmtid="{D5CDD505-2E9C-101B-9397-08002B2CF9AE}" pid="18" name="title-block-published">
    <vt:lpwstr>Last updated</vt:lpwstr>
  </property>
  <property fmtid="{D5CDD505-2E9C-101B-9397-08002B2CF9AE}" pid="19" name="toc-title">
    <vt:lpwstr>Table of contents</vt:lpwstr>
  </property>
</Properties>
</file>