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181.png" ContentType="image/png"/>
  <Override PartName="/word/media/rId188.png" ContentType="image/png"/>
  <Override PartName="/word/media/rId140.png" ContentType="image/png"/>
  <Override PartName="/word/media/rId45.png" ContentType="image/png"/>
  <Override PartName="/word/media/rId30.png" ContentType="image/png"/>
  <Override PartName="/word/media/rId122.png" ContentType="image/png"/>
  <Override PartName="/word/media/rId56.png" ContentType="image/png"/>
  <Override PartName="/word/media/rId198.png" ContentType="image/png"/>
  <Override PartName="/word/media/rId227.png" ContentType="image/png"/>
  <Override PartName="/word/media/rId256.png" ContentType="image/png"/>
  <Override PartName="/word/media/rId215.png" ContentType="image/png"/>
  <Override PartName="/word/media/rId207.png" ContentType="image/png"/>
  <Override PartName="/word/media/rId15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5,</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6" w:name="sec-s1"/>
    <w:p>
      <w:pPr>
        <w:pStyle w:val="Heading1"/>
      </w:pPr>
      <w:r>
        <w:t xml:space="preserve">S1.1 Sample Foundation and Site Retention</w:t>
      </w:r>
    </w:p>
    <w:bookmarkStart w:id="21" w:name="rationale"/>
    <w:p>
      <w:pPr>
        <w:pStyle w:val="Heading2"/>
      </w:pPr>
      <w:r>
        <w:t xml:space="preserve">Rationale</w:t>
      </w:r>
    </w:p>
    <w:p>
      <w:pPr>
        <w:pStyle w:val="FirstParagraph"/>
      </w:pPr>
      <w:r>
        <w:t xml:space="preserve">This section expands on the site rejection details notes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1-counts"/>
    <w:p>
      <w:pPr>
        <w:pStyle w:val="Heading2"/>
      </w:pPr>
      <w:r>
        <w:t xml:space="preserve">S1.1.1 Counts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bookmarkEnd w:id="23"/>
    <w:bookmarkStart w:id="24" w:name="sec-S1-1-analysis-ready-phase"/>
    <w:p>
      <w:pPr>
        <w:pStyle w:val="Heading2"/>
      </w:pPr>
      <w:r>
        <w:t xml:space="preserve">S1.1.2 Analysis-ready phase data</w:t>
      </w:r>
    </w:p>
    <w:bookmarkEnd w:id="24"/>
    <w:bookmarkStart w:id="25" w:name="sec-S1-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seventh-largest assemblage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5"/>
    <w:bookmarkEnd w:id="26"/>
    <w:bookmarkStart w:id="43" w:name="sec-s2"/>
    <w:p>
      <w:pPr>
        <w:pStyle w:val="Heading1"/>
      </w:pPr>
      <w:r>
        <w:t xml:space="preserve">S1.2 Network Threshold</w:t>
      </w:r>
    </w:p>
    <w:bookmarkStart w:id="27" w:name="rationale-1"/>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It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7"/>
    <w:bookmarkStart w:id="29" w:name="sec-S1-2-network-statistics-across"/>
    <w:p>
      <w:pPr>
        <w:pStyle w:val="Heading2"/>
      </w:pPr>
      <w:r>
        <w:t xml:space="preserve">S1.2.1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8"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8"/>
        </w:tc>
      </w:tr>
    </w:tbl>
    <w:bookmarkEnd w:id="29"/>
    <w:bookmarkStart w:id="34" w:name="sec-S1-2-network-visualisations-across"/>
    <w:p>
      <w:pPr>
        <w:pStyle w:val="Heading2"/>
      </w:pPr>
      <w:r>
        <w:t xml:space="preserve">S1.2.2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3" w:name="fig-sens-networks"/>
          <w:p>
            <w:pPr>
              <w:pStyle w:val="Compact"/>
              <w:jc w:val="center"/>
            </w:pPr>
            <w:r>
              <w:drawing>
                <wp:inline>
                  <wp:extent cx="5943600" cy="5403272"/>
                  <wp:effectExtent b="0" l="0" r="0" t="0"/>
                  <wp:docPr descr="" title="" id="31" name="Picture"/>
                  <a:graphic>
                    <a:graphicData uri="http://schemas.openxmlformats.org/drawingml/2006/picture">
                      <pic:pic>
                        <pic:nvPicPr>
                          <pic:cNvPr descr="../figures/sensitivity-network-plot.png" id="32" name="Picture"/>
                          <pic:cNvPicPr>
                            <a:picLocks noChangeArrowheads="1" noChangeAspect="1"/>
                          </pic:cNvPicPr>
                        </pic:nvPicPr>
                        <pic:blipFill>
                          <a:blip r:embed="rId30"/>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3"/>
        </w:tc>
      </w:tr>
    </w:tbl>
    <w:bookmarkEnd w:id="34"/>
    <w:bookmarkStart w:id="36" w:name="sec-s2-4"/>
    <w:p>
      <w:pPr>
        <w:pStyle w:val="Heading2"/>
      </w:pPr>
      <w:r>
        <w:t xml:space="preserve">S1.2.3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5"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adjacent thresholds.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5"/>
        </w:tc>
      </w:tr>
    </w:tbl>
    <w:bookmarkEnd w:id="36"/>
    <w:bookmarkStart w:id="41" w:name="sec-s2-5"/>
    <w:p>
      <w:pPr>
        <w:pStyle w:val="Heading2"/>
      </w:pPr>
      <w:r>
        <w:t xml:space="preserve">S1.2.4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40" w:name="fig-threshold-sweep"/>
          <w:p>
            <w:pPr>
              <w:pStyle w:val="Compact"/>
              <w:jc w:val="center"/>
            </w:pPr>
            <w:r>
              <w:drawing>
                <wp:inline>
                  <wp:extent cx="5943600" cy="2971800"/>
                  <wp:effectExtent b="0" l="0" r="0" t="0"/>
                  <wp:docPr descr="" title="" id="38" name="Picture"/>
                  <a:graphic>
                    <a:graphicData uri="http://schemas.openxmlformats.org/drawingml/2006/picture">
                      <pic:pic>
                        <pic:nvPicPr>
                          <pic:cNvPr descr="S1-supplement-sensitivity_files/figure-docx/fig-threshold-sweep-1.png" id="39" name="Picture"/>
                          <pic:cNvPicPr>
                            <a:picLocks noChangeArrowheads="1" noChangeAspect="1"/>
                          </pic:cNvPicPr>
                        </pic:nvPicPr>
                        <pic:blipFill>
                          <a:blip r:embed="rId3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40"/>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41"/>
    <w:bookmarkStart w:id="42" w:name="sec-S1-2-interpretation"/>
    <w:p>
      <w:pPr>
        <w:pStyle w:val="Heading2"/>
      </w:pPr>
      <w:r>
        <w:t xml:space="preserve">S1.2.5 Interpretation</w:t>
      </w:r>
    </w:p>
    <w:p>
      <w:pPr>
        <w:pStyle w:val="FirstParagraph"/>
      </w:pPr>
      <w:r>
        <w:rPr>
          <w:bCs/>
          <w:b/>
        </w:rPr>
        <w:t xml:space="preserve">Question: do the phase contrasts hold at the alternative thresholds of 0.1 and 0.3?</w:t>
      </w:r>
      <w:r>
        <w:t xml:space="preserve"> </w:t>
      </w:r>
      <w:r>
        <w:t xml:space="preserve">Yes. In both phases and at all three thresholds, the networks retain a recognisable two-cluster structure corresponding to the restricted-range and broader-range site groups identified by seriation. Broader-range sites keep denser mutual connections, while restricted-range sites stay peripheral or isolated. Aur-P1 is consistently the more edge-rich network with the higher mean degree and clearer hub structure, while Aur-P2 is sparser and more fragmented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graph density increases substantially and several sites that appear as isolates at 0.2 become connected, reflecting genuine weak cultural overlap or noise in the presence/absence data. At threshold 0.3, the graph becomes considerably sparser, with 2 isolates in Aur-P1 in particular. The number of isolated nodes increases monotonically with threshold in both phases, as expected.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w:t>
      </w:r>
      <w:hyperlink w:anchor="fig-threshold-sweep">
        <w:r>
          <w:rPr>
            <w:rStyle w:val="Hyperlink"/>
          </w:rPr>
          <w:t xml:space="preserve">Figure S 2</w:t>
        </w:r>
      </w:hyperlink>
      <w:r>
        <w:t xml:space="preserve">). Aur-P2 retains a mean degree of at least 2.00 even at the coarsest threshold (0.50), so the contrast never collapses.</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1" w:name="sec-s3"/>
    <w:p>
      <w:pPr>
        <w:pStyle w:val="Heading1"/>
      </w:pPr>
      <w:r>
        <w:t xml:space="preserve">S1.3 Similarity Metric Choice (Jaccard vs. Sørensen-Dice vs. Simpson)</w:t>
      </w:r>
    </w:p>
    <w:bookmarkStart w:id="49" w:name="sec-S1-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44"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4"/>
        </w:tc>
      </w:tr>
    </w:tbl>
    <w:tbl>
      <w:tblPr>
        <w:tblStyle w:val="Table"/>
        <w:tblW w:type="pct" w:w="5000"/>
        <w:tblLook w:firstRow="0" w:lastRow="0" w:firstColumn="0" w:lastColumn="0" w:noHBand="0" w:noVBand="0" w:val="0000"/>
        <w:jc w:val="start"/>
        <w:tblLayout w:type="fixed"/>
      </w:tblPr>
      <w:tblGrid>
        <w:gridCol w:w="7920"/>
      </w:tblGrid>
      <w:tr>
        <w:tc>
          <w:tcPr/>
          <w:bookmarkStart w:id="48" w:name="fig-metric-networks"/>
          <w:p>
            <w:pPr>
              <w:pStyle w:val="Compact"/>
              <w:jc w:val="center"/>
            </w:pPr>
            <w:r>
              <w:drawing>
                <wp:inline>
                  <wp:extent cx="5943600" cy="5403272"/>
                  <wp:effectExtent b="0" l="0" r="0" t="0"/>
                  <wp:docPr descr="" title="" id="46" name="Picture"/>
                  <a:graphic>
                    <a:graphicData uri="http://schemas.openxmlformats.org/drawingml/2006/picture">
                      <pic:pic>
                        <pic:nvPicPr>
                          <pic:cNvPr descr="../figures/sensitivity-metric-plot.png" id="47" name="Picture"/>
                          <pic:cNvPicPr>
                            <a:picLocks noChangeArrowheads="1" noChangeAspect="1"/>
                          </pic:cNvPicPr>
                        </pic:nvPicPr>
                        <pic:blipFill>
                          <a:blip r:embed="rId45"/>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8"/>
        </w:tc>
      </w:tr>
    </w:tbl>
    <w:bookmarkEnd w:id="49"/>
    <w:bookmarkStart w:id="50" w:name="sec-S1-3-interpretation"/>
    <w:p>
      <w:pPr>
        <w:pStyle w:val="Heading2"/>
      </w:pPr>
      <w:r>
        <w:t xml:space="preserve">S1.3.2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presences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which ignores joint absences and penalises richness differences, might produce different network structures than metrics that treat richness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50"/>
    <w:bookmarkEnd w:id="51"/>
    <w:bookmarkStart w:id="67" w:name="sec-s4"/>
    <w:p>
      <w:pPr>
        <w:pStyle w:val="Heading1"/>
      </w:pPr>
      <w:r>
        <w:t xml:space="preserve">S1.4 Geographic Distance Verification (Mantel Tests)</w:t>
      </w:r>
    </w:p>
    <w:bookmarkStart w:id="53" w:name="sec-S1-4-rationale"/>
    <w:p>
      <w:pPr>
        <w:pStyle w:val="Heading2"/>
      </w:pPr>
      <w:r>
        <w:t xml:space="preserve">S1.4.1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52"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5: Comparison of Mantel test results (Mantel R and p-value) evaluating sign assemblage dissimilarity vs. spatial distance using flat coordinate Euclidean distance vs. true Geodesic distance (in kilometers).</w:t>
            </w:r>
          </w:p>
          <w:bookmarkEnd w:id="52"/>
        </w:tc>
      </w:tr>
    </w:tbl>
    <w:bookmarkEnd w:id="53"/>
    <w:bookmarkStart w:id="54" w:name="sec-S1-4-interpretation"/>
    <w:p>
      <w:pPr>
        <w:pStyle w:val="Heading2"/>
      </w:pPr>
      <w:r>
        <w:t xml:space="preserve">S1.4.2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54"/>
    <w:bookmarkStart w:id="66" w:name="sec-s4-3"/>
    <w:p>
      <w:pPr>
        <w:pStyle w:val="Heading2"/>
      </w:pPr>
      <w:r>
        <w:t xml:space="preserve">S1.4.3 Mantel Correlogram</w:t>
      </w:r>
    </w:p>
    <w:bookmarkStart w:id="55" w:name="rationale-2"/>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numPr>
          <w:ilvl w:val="0"/>
          <w:numId w:val="1002"/>
        </w:numPr>
        <w:pStyle w:val="Compact"/>
      </w:pPr>
      <w:r>
        <w:rPr>
          <w:bCs/>
          <w:b/>
        </w:rPr>
        <w:t xml:space="preserve">Does sign dissimilarity show any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numPr>
          <w:ilvl w:val="0"/>
          <w:numId w:val="1002"/>
        </w:numPr>
        <w:pStyle w:val="Compact"/>
      </w:pPr>
      <w:r>
        <w:rPr>
          <w:bCs/>
          <w:b/>
        </w:rPr>
        <w:t xml:space="preserve">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55"/>
    <w:bookmarkStart w:id="60"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additionally resample sites with replacement (B = 1000) and recompute the Mantel R each time, taking the 2.5% and 97.5% quantiles as the bootstrap interval.</w:t>
      </w:r>
    </w:p>
    <w:tbl>
      <w:tblPr>
        <w:tblStyle w:val="Table"/>
        <w:tblW w:type="pct" w:w="5000"/>
        <w:tblLook w:firstRow="0" w:lastRow="0" w:firstColumn="0" w:lastColumn="0" w:noHBand="0" w:noVBand="0" w:val="0000"/>
        <w:jc w:val="start"/>
        <w:tblLayout w:type="fixed"/>
      </w:tblPr>
      <w:tblGrid>
        <w:gridCol w:w="7920"/>
      </w:tblGrid>
      <w:tr>
        <w:tc>
          <w:tcPr/>
          <w:bookmarkStart w:id="59" w:name="fig-mantel-correlogram"/>
          <w:p>
            <w:pPr>
              <w:pStyle w:val="Compact"/>
              <w:jc w:val="center"/>
            </w:pPr>
            <w:r>
              <w:drawing>
                <wp:inline>
                  <wp:extent cx="5943600" cy="3714750"/>
                  <wp:effectExtent b="0" l="0" r="0" t="0"/>
                  <wp:docPr descr="" title="" id="57" name="Picture"/>
                  <a:graphic>
                    <a:graphicData uri="http://schemas.openxmlformats.org/drawingml/2006/picture">
                      <pic:pic>
                        <pic:nvPicPr>
                          <pic:cNvPr descr="S1-supplement-sensitivity_files/figure-docx/fig-mantel-correlogram-1.png" id="58" name="Picture"/>
                          <pic:cNvPicPr>
                            <a:picLocks noChangeArrowheads="1" noChangeAspect="1"/>
                          </pic:cNvPicPr>
                        </pic:nvPicPr>
                        <pic:blipFill>
                          <a:blip r:embed="rId56"/>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59"/>
        </w:tc>
      </w:tr>
    </w:tbl>
    <w:bookmarkEnd w:id="60"/>
    <w:bookmarkStart w:id="61" w:name="interpretation"/>
    <w:p>
      <w:pPr>
        <w:pStyle w:val="Heading3"/>
      </w:pPr>
      <w:r>
        <w:t xml:space="preserve">Interpretation</w:t>
      </w:r>
    </w:p>
    <w:p>
      <w:pPr>
        <w:pStyle w:val="FirstParagraph"/>
      </w:pPr>
      <w:r>
        <w:rPr>
          <w:bCs/>
          <w:b/>
        </w:rPr>
        <w:t xml:space="preserve">Question 1 — is there scale-dependent spatial structure?</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2 — how uncertain is the global R, and what does this say about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S1.8.1</w:t>
      </w:r>
      <w:r>
        <w:t xml:space="preserve">.</w:t>
      </w:r>
    </w:p>
    <w:bookmarkEnd w:id="61"/>
    <w:bookmarkStart w:id="65" w:name="sec-s4-4"/>
    <w:p>
      <w:pPr>
        <w:pStyle w:val="Heading3"/>
      </w:pPr>
      <w:r>
        <w:t xml:space="preserve">S1.4.3.1 Distance-Based Redundancy Analysis</w:t>
      </w:r>
    </w:p>
    <w:bookmarkStart w:id="63" w:name="rationale-3"/>
    <w:p>
      <w:pPr>
        <w:pStyle w:val="Heading4"/>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tbl>
      <w:tblPr>
        <w:tblStyle w:val="Table"/>
        <w:tblW w:type="pct" w:w="5000"/>
        <w:tblLook w:firstRow="0" w:lastRow="0" w:firstColumn="0" w:lastColumn="0" w:noHBand="0" w:noVBand="0" w:val="0000"/>
        <w:jc w:val="start"/>
        <w:tblLayout w:type="fixed"/>
      </w:tblPr>
      <w:tblGrid>
        <w:gridCol w:w="7920"/>
      </w:tblGrid>
      <w:tr>
        <w:tc>
          <w:tcPr/>
          <w:bookmarkStart w:id="62" w:name="tbl-dbrda"/>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dbRDA R2</w:t>
                  </w:r>
                </w:p>
              </w:tc>
              <w:tc>
                <w:tcPr/>
                <w:p>
                  <w:pPr>
                    <w:pStyle w:val="Compact"/>
                    <w:jc w:val="right"/>
                    <w:jc w:val="center"/>
                  </w:pPr>
                  <w:r>
                    <w:t xml:space="preserve">dbRDA adjR2</w:t>
                  </w:r>
                </w:p>
              </w:tc>
              <w:tc>
                <w:tcPr/>
                <w:p>
                  <w:pPr>
                    <w:pStyle w:val="Compact"/>
                    <w:jc w:val="right"/>
                    <w:jc w:val="center"/>
                  </w:pPr>
                  <w:r>
                    <w:t xml:space="preserve">dbRDA F</w:t>
                  </w:r>
                </w:p>
              </w:tc>
              <w:tc>
                <w:tcPr/>
                <w:p>
                  <w:pPr>
                    <w:pStyle w:val="Compact"/>
                    <w:jc w:val="right"/>
                    <w:jc w:val="center"/>
                  </w:pPr>
                  <w:r>
                    <w:t xml:space="preserve">dbRDA p</w:t>
                  </w:r>
                </w:p>
              </w:tc>
            </w:tr>
            <w:tr>
              <w:tc>
                <w:tcPr/>
                <w:p>
                  <w:pPr>
                    <w:pStyle w:val="Compact"/>
                    <w:jc w:val="left"/>
                    <w:jc w:val="center"/>
                  </w:pPr>
                  <w:r>
                    <w:t xml:space="preserve">Aur-P1</w:t>
                  </w:r>
                </w:p>
              </w:tc>
              <w:tc>
                <w:tcPr/>
                <w:p>
                  <w:pPr>
                    <w:pStyle w:val="Compact"/>
                    <w:jc w:val="right"/>
                    <w:jc w:val="center"/>
                  </w:pPr>
                  <w:r>
                    <w:t xml:space="preserve">0.156</w:t>
                  </w:r>
                </w:p>
              </w:tc>
              <w:tc>
                <w:tcPr/>
                <w:p>
                  <w:pPr>
                    <w:pStyle w:val="Compact"/>
                    <w:jc w:val="right"/>
                    <w:jc w:val="center"/>
                  </w:pPr>
                  <w:r>
                    <w:t xml:space="preserve">0.057</w:t>
                  </w:r>
                </w:p>
              </w:tc>
              <w:tc>
                <w:tcPr/>
                <w:p>
                  <w:pPr>
                    <w:pStyle w:val="Compact"/>
                    <w:jc w:val="right"/>
                    <w:jc w:val="center"/>
                  </w:pPr>
                  <w:r>
                    <w:t xml:space="preserve">1.573</w:t>
                  </w:r>
                </w:p>
              </w:tc>
              <w:tc>
                <w:tcPr/>
                <w:p>
                  <w:pPr>
                    <w:pStyle w:val="Compact"/>
                    <w:jc w:val="right"/>
                    <w:jc w:val="center"/>
                  </w:pPr>
                  <w:r>
                    <w:t xml:space="preserve">0.038</w:t>
                  </w:r>
                </w:p>
              </w:tc>
            </w:tr>
            <w:tr>
              <w:tc>
                <w:tcPr/>
                <w:p>
                  <w:pPr>
                    <w:pStyle w:val="Compact"/>
                    <w:jc w:val="left"/>
                    <w:jc w:val="center"/>
                  </w:pPr>
                  <w:r>
                    <w:t xml:space="preserve">Aur-P2</w:t>
                  </w:r>
                </w:p>
              </w:tc>
              <w:tc>
                <w:tcPr/>
                <w:p>
                  <w:pPr>
                    <w:pStyle w:val="Compact"/>
                    <w:jc w:val="right"/>
                    <w:jc w:val="center"/>
                  </w:pPr>
                  <w:r>
                    <w:t xml:space="preserve">0.191</w:t>
                  </w:r>
                </w:p>
              </w:tc>
              <w:tc>
                <w:tcPr/>
                <w:p>
                  <w:pPr>
                    <w:pStyle w:val="Compact"/>
                    <w:jc w:val="right"/>
                    <w:jc w:val="center"/>
                  </w:pPr>
                  <w:r>
                    <w:t xml:space="preserve">-0.078</w:t>
                  </w:r>
                </w:p>
              </w:tc>
              <w:tc>
                <w:tcPr/>
                <w:p>
                  <w:pPr>
                    <w:pStyle w:val="Compact"/>
                    <w:jc w:val="right"/>
                    <w:jc w:val="center"/>
                  </w:pPr>
                  <w:r>
                    <w:t xml:space="preserve">0.709</w:t>
                  </w:r>
                </w:p>
              </w:tc>
              <w:tc>
                <w:tcPr/>
                <w:p>
                  <w:pPr>
                    <w:pStyle w:val="Compact"/>
                    <w:jc w:val="right"/>
                    <w:jc w:val="center"/>
                  </w:pPr>
                  <w:r>
                    <w:t xml:space="preserve">0.850</w:t>
                  </w:r>
                </w:p>
              </w:tc>
            </w:tr>
          </w:tbl>
          <w:p>
            <w:pPr>
              <w:jc w:val="center"/>
            </w:pPr>
            <w:pPr>
              <w:jc w:val="start"/>
              <w:spacing w:before="200"/>
              <w:pStyle w:val="ImageCaption"/>
            </w:pPr>
            <w:r>
              <w:t xml:space="preserve">Table S 6: Distance-based redundancy analysis of site Jaccard dissimilarity on a linear geographic trend surface (longitude + latitude), per phase. R² is the raw constrained proportion, adjR² the Ezekiel-adjusted value, F and p from 999 permutations.</w:t>
            </w:r>
          </w:p>
          <w:bookmarkEnd w:id="62"/>
        </w:tc>
      </w:tr>
    </w:tbl>
    <w:bookmarkEnd w:id="63"/>
    <w:bookmarkStart w:id="64" w:name="interpretation-1"/>
    <w:p>
      <w:pPr>
        <w:pStyle w:val="Heading4"/>
      </w:pPr>
      <w:r>
        <w:t xml:space="preserve">Interpretation</w:t>
      </w:r>
    </w:p>
    <w:p>
      <w:pPr>
        <w:pStyle w:val="FirstParagraph"/>
      </w:pPr>
      <w:r>
        <w:rPr>
          <w:bCs/>
          <w:b/>
        </w:rPr>
        <w:t xml:space="preserve">Does geography explain sign composition under a non-Mantel model?</w:t>
      </w:r>
      <w:r>
        <w:t xml:space="preserve"> </w:t>
      </w:r>
      <w:r>
        <w:t xml:space="preserve">Only faintly, and only in Aur-P1. The linear trend is nominally significant in Aur-P1 (R² = 0.156, adjusted R² = 0.057, p = 0.038) but explains about six percent of the adjusted variation: a weak gradient the global Mantel correlation misses, not discrete geographic groups. In Aur-P2 there is no signal (R² = 0.191, adjusted R² = -0.078, p = 0.85). Note the Aur-P2 raw R² exceeds Aur-P1’s while its adjusted R² is negative: with 9 sites and 2 predictors the raw value is overfit, which is why the adjusted figure governs the reading. Both phases remain low-power, so as with the Mantel results these are convergent nulls reflecting limited samples, not evidence that geography is irrelevant.</w:t>
      </w:r>
    </w:p>
    <w:bookmarkEnd w:id="64"/>
    <w:bookmarkEnd w:id="65"/>
    <w:bookmarkEnd w:id="66"/>
    <w:bookmarkEnd w:id="67"/>
    <w:bookmarkStart w:id="91" w:name="sec-s5"/>
    <w:p>
      <w:pPr>
        <w:pStyle w:val="Heading1"/>
      </w:pPr>
      <w:r>
        <w:t xml:space="preserve">S1.5 Periodisation Scheme Sensitivity</w:t>
      </w:r>
    </w:p>
    <w:bookmarkStart w:id="70"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[4]</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68"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7: Reference: network statistics under the two-phase periodisation used in the main text (threshold = 0.2). Aur-P1 = Proto + Early; Aur-P2 = Evolved.</w:t>
            </w:r>
          </w:p>
          <w:bookmarkEnd w:id="6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9"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8: Network statistics for the technology-assigned components of the two-phase baseline (Proto-Aurignacian, Early Aurignacian, Evolved Aurignacian) at threshold = 0.2. Aur-P1 = Proto + Early; Aur-P2 = Evolved.</w:t>
            </w:r>
          </w:p>
          <w:bookmarkEnd w:id="69"/>
        </w:tc>
      </w:tr>
    </w:tbl>
    <w:bookmarkEnd w:id="70"/>
    <w:bookmarkStart w:id="73" w:name="sec-s5-2"/>
    <w:p>
      <w:pPr>
        <w:pStyle w:val="Heading2"/>
      </w:pPr>
      <w:r>
        <w:t xml:space="preserve">S1.5.2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r>
        <w:t xml:space="preserve">Section S1.5.1</w:t>
      </w:r>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71"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9: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71"/>
        </w:tc>
      </w:tr>
    </w:tbl>
    <w:bookmarkStart w:id="72" w:name="four-phase-interpretation"/>
    <w:p>
      <w:pPr>
        <w:pStyle w:val="Heading3"/>
      </w:pPr>
      <w:r>
        <w:t xml:space="preserve">Four-phase interpretation</w:t>
      </w:r>
    </w:p>
    <w:p>
      <w:pPr>
        <w:pStyle w:val="FirstParagraph"/>
      </w:pP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72"/>
    <w:bookmarkEnd w:id="73"/>
    <w:bookmarkStart w:id="75" w:name="sec-s5-3"/>
    <w:p>
      <w:pPr>
        <w:pStyle w:val="Heading2"/>
      </w:pPr>
      <w:r>
        <w:t xml:space="preserve">S1.5.3 Date-Variant Calibration</w:t>
      </w:r>
    </w:p>
    <w:tbl>
      <w:tblPr>
        <w:tblStyle w:val="Table"/>
        <w:tblW w:type="pct" w:w="5000"/>
        <w:tblLook w:firstRow="0" w:lastRow="0" w:firstColumn="0" w:lastColumn="0" w:noHBand="0" w:noVBand="0" w:val="0000"/>
        <w:jc w:val="start"/>
        <w:tblLayout w:type="fixed"/>
      </w:tblPr>
      <w:tblGrid>
        <w:gridCol w:w="7920"/>
      </w:tblGrid>
      <w:tr>
        <w:tc>
          <w:tcPr/>
          <w:bookmarkStart w:id="74"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S 10: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74"/>
        </w:tc>
      </w:tr>
    </w:tbl>
    <w:p>
      <w:pPr>
        <w:pStyle w:val="BodyText"/>
      </w:pPr>
      <w:r>
        <w:rPr>
          <w:bCs/>
          <w:b/>
        </w:rPr>
        <w:t xml:space="preserve">Date-variant sensitivity results.</w:t>
      </w:r>
      <w:r>
        <w:t xml:space="preserve"> </w:t>
      </w:r>
      <w:r>
        <w:t xml:space="preserve">The three date variants produce different phase assignments for several sites (Table above).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bookmarkEnd w:id="75"/>
    <w:bookmarkStart w:id="82" w:name="sec-s5-4"/>
    <w:p>
      <w:pPr>
        <w:pStyle w:val="Heading2"/>
      </w:pPr>
      <w:r>
        <w:t xml:space="preserve">S1.5.4 Phase-Boundary Sensitivity</w:t>
      </w:r>
    </w:p>
    <w:bookmarkStart w:id="78"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76"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11: Number of objects and sites within ±500 and ±1000 calibrated years of the single periodisation boundary at 37799 BP separating Aur-P1 from Aur-P2.</w:t>
            </w:r>
          </w:p>
          <w:bookmarkEnd w:id="7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7"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12: Network statistics at the baseline threshold of 0.2 under shifts of the single Aur-P1/Aur-P2 boundary. Positive shifts move the boundary later (older objects reassigned to Aur-P2); negative shifts move it earlier (younger Aur-P2 objects reassigned to Aur-P1).</w:t>
            </w:r>
          </w:p>
          <w:bookmarkEnd w:id="77"/>
        </w:tc>
      </w:tr>
    </w:tbl>
    <w:bookmarkEnd w:id="78"/>
    <w:bookmarkStart w:id="79" w:name="diagnostic-interpretation"/>
    <w:p>
      <w:pPr>
        <w:pStyle w:val="Heading3"/>
      </w:pPr>
      <w:r>
        <w:t xml:space="preserve">Diagnostic interpretation</w:t>
      </w:r>
    </w:p>
    <w:p>
      <w:pPr>
        <w:pStyle w:val="FirstParagraph"/>
      </w:pP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79"/>
    <w:bookmarkStart w:id="80"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80"/>
    <w:bookmarkStart w:id="81"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81"/>
    <w:bookmarkEnd w:id="82"/>
    <w:bookmarkStart w:id="90" w:name="sec-s5-5"/>
    <w:p>
      <w:pPr>
        <w:pStyle w:val="Heading2"/>
      </w:pPr>
      <w:r>
        <w:t xml:space="preserve">S1.5.5 Technological Versus Date-Based Assignment</w:t>
      </w:r>
    </w:p>
    <w:bookmarkStart w:id="8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3"/>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3"/>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3"/>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3"/>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83"/>
    <w:bookmarkStart w:id="85" w:name="results"/>
    <w:p>
      <w:pPr>
        <w:pStyle w:val="Heading3"/>
      </w:pPr>
      <w:r>
        <w:t xml:space="preserve">Results</w:t>
      </w:r>
    </w:p>
    <w:tbl>
      <w:tblPr>
        <w:tblStyle w:val="Table"/>
        <w:tblW w:type="pct" w:w="5000"/>
        <w:tblLook w:firstRow="0" w:lastRow="0" w:firstColumn="0" w:lastColumn="0" w:noHBand="0" w:noVBand="0" w:val="0000"/>
        <w:jc w:val="start"/>
        <w:tblLayout w:type="fixed"/>
      </w:tblPr>
      <w:tblGrid>
        <w:gridCol w:w="7920"/>
      </w:tblGrid>
      <w:tr>
        <w:tc>
          <w:tcPr/>
          <w:bookmarkStart w:id="8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13: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84"/>
        </w:tc>
      </w:tr>
    </w:tbl>
    <w:bookmarkEnd w:id="85"/>
    <w:bookmarkStart w:id="86"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86"/>
    <w:bookmarkStart w:id="88" w:name="phase-ordering-robustness"/>
    <w:p>
      <w:pPr>
        <w:pStyle w:val="Heading3"/>
      </w:pPr>
      <w:r>
        <w:t xml:space="preserve">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87"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14: Mean degree by phase under each reassignment condition. The Aur-P1 &gt; Aur-P2 ordering is preserved under every condition.</w:t>
            </w:r>
          </w:p>
          <w:bookmarkEnd w:id="87"/>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88"/>
    <w:bookmarkStart w:id="89" w:name="interpretation-2"/>
    <w:p>
      <w:pPr>
        <w:pStyle w:val="Heading3"/>
      </w:pPr>
      <w:r>
        <w:t xml:space="preserve">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w:t>
      </w:r>
    </w:p>
    <w:p>
      <w:pPr>
        <w:pStyle w:val="BodyText"/>
      </w:pP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S1.7.3</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w:t>
      </w:r>
      <w:r>
        <w:t xml:space="preserve"> </w:t>
      </w:r>
      <w:r>
        <w:t xml:space="preserve">Section S1.12.6</w:t>
      </w:r>
      <w:r>
        <w:t xml:space="preserve"> </w:t>
      </w:r>
      <w:r>
        <w:t xml:space="preserve">showing that Aur-P1’s network does not depend on a single site. Finally, the within-phase two-group structure (RQ1) , the restricted/broad dichotomy recovered by seriation, Louvain community detection, and bootstrap consensus (</w:t>
      </w:r>
      <w:r>
        <w:t xml:space="preserve">Section S1.6</w:t>
      </w:r>
      <w:r>
        <w:t xml:space="preserve">,</w:t>
      </w:r>
      <w:r>
        <w:t xml:space="preserve"> </w:t>
      </w:r>
      <w:r>
        <w:t xml:space="preserve">Section S1.9</w:t>
      </w:r>
      <w:r>
        <w:t xml:space="preserve">) ,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while in Aur-P2 only the Gaussian model selects more than one block, by a margin of 0.90 ICL points.</w:t>
      </w:r>
    </w:p>
    <w:bookmarkEnd w:id="89"/>
    <w:bookmarkEnd w:id="90"/>
    <w:bookmarkEnd w:id="91"/>
    <w:bookmarkStart w:id="116" w:name="sec-s6"/>
    <w:p>
      <w:pPr>
        <w:pStyle w:val="Heading1"/>
      </w:pPr>
      <w:r>
        <w:t xml:space="preserve">S1.6 Automated Group Recovery as a Circularity Check</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w:t>
      </w:r>
    </w:p>
    <w:bookmarkStart w:id="95" w:name="sec-s6-1"/>
    <w:p>
      <w:pPr>
        <w:pStyle w:val="Heading2"/>
      </w:pPr>
      <w:r>
        <w:t xml:space="preserve">S1.6.1 Louvain Community Partitioning</w:t>
      </w:r>
    </w:p>
    <w:bookmarkStart w:id="94" w:name="rationale-6"/>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4"/>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4"/>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92"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15: Louvain community memberships for each site, by phase and threshold. Sites with no community assignment (no edges at that threshold) are assigned to a singleton community. Groups are numbered by Louvain membership.</w:t>
            </w:r>
          </w:p>
          <w:bookmarkEnd w:id="9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93"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16: Adjusted Rand Index (ARI) between Louvain-derived communities and the manually assigned restricted/broad groups, by phase and threshold. ARI = 1.0 indicates identical partitions; ARI ≈ 0 indicates agreement no better than chance.</w:t>
            </w:r>
          </w:p>
          <w:bookmarkEnd w:id="93"/>
        </w:tc>
      </w:tr>
    </w:tbl>
    <w:bookmarkEnd w:id="94"/>
    <w:bookmarkEnd w:id="95"/>
    <w:bookmarkStart w:id="98" w:name="sec-s6-2"/>
    <w:p>
      <w:pPr>
        <w:pStyle w:val="Heading2"/>
      </w:pPr>
      <w:r>
        <w:t xml:space="preserve">S1.6.2 Infomap Community Partitioning</w:t>
      </w:r>
    </w:p>
    <w:bookmarkStart w:id="97" w:name="rationale-7"/>
    <w:p>
      <w:pPr>
        <w:pStyle w:val="Heading3"/>
      </w:pPr>
      <w:r>
        <w:t xml:space="preserve">Rationale</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96"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17: Adjusted Rand Index (ARI) between Infomap-derived communities and Louvain-derived communities, by phase and threshold. ARI = 1.0 indicates identical partitions; ARI ≈ 0 indicates agreement no better than chance.</w:t>
            </w:r>
          </w:p>
          <w:bookmarkEnd w:id="96"/>
        </w:tc>
      </w:tr>
    </w:tbl>
    <w:bookmarkEnd w:id="97"/>
    <w:bookmarkEnd w:id="98"/>
    <w:bookmarkStart w:id="101" w:name="sec-s6-3"/>
    <w:p>
      <w:pPr>
        <w:pStyle w:val="Heading2"/>
      </w:pPr>
      <w:r>
        <w:t xml:space="preserve">S1.6.3 Leiden Community Partitioning</w:t>
      </w:r>
    </w:p>
    <w:bookmarkStart w:id="100" w:name="rationale-8"/>
    <w:p>
      <w:pPr>
        <w:pStyle w:val="Heading3"/>
      </w:pPr>
      <w:r>
        <w:t xml:space="preserve">Rationale</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99"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18: Adjusted Rand Index (ARI) between Leiden-derived communities and Louvain-derived communities, by phase and threshold. ARI = 1.0 indicates identical partitions; ARI ≈ 0 indicates agreement no better than chance.</w:t>
            </w:r>
          </w:p>
          <w:bookmarkEnd w:id="99"/>
        </w:tc>
      </w:tr>
    </w:tbl>
    <w:bookmarkEnd w:id="100"/>
    <w:bookmarkEnd w:id="101"/>
    <w:bookmarkStart w:id="104" w:name="sec-s6-4"/>
    <w:p>
      <w:pPr>
        <w:pStyle w:val="Heading2"/>
      </w:pPr>
      <w:r>
        <w:t xml:space="preserve">S1.6.4 Walktrap Community Partitioning</w:t>
      </w:r>
    </w:p>
    <w:bookmarkStart w:id="103" w:name="rationale-9"/>
    <w:p>
      <w:pPr>
        <w:pStyle w:val="Heading3"/>
      </w:pPr>
      <w:r>
        <w:t xml:space="preserve">Rationale</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7"/>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2"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19: Adjusted Rand Index (ARI) between Walktrap-derived communities and Louvain-derived communities, by phase and threshold. ARI = 1.0 indicates identical partitions; ARI ≈ 0 indicates agreement no better than chance.</w:t>
            </w:r>
          </w:p>
          <w:bookmarkEnd w:id="102"/>
        </w:tc>
      </w:tr>
    </w:tbl>
    <w:bookmarkEnd w:id="103"/>
    <w:bookmarkEnd w:id="104"/>
    <w:bookmarkStart w:id="107" w:name="sec-s6-5"/>
    <w:p>
      <w:pPr>
        <w:pStyle w:val="Heading2"/>
      </w:pPr>
      <w:r>
        <w:t xml:space="preserve">S1.6.5 PerMANOVA Comparison</w:t>
      </w:r>
    </w:p>
    <w:bookmarkStart w:id="106" w:name="rationale-10"/>
    <w:p>
      <w:pPr>
        <w:pStyle w:val="Heading3"/>
      </w:pPr>
      <w:r>
        <w:t xml:space="preserve">Rationale</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05"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20: PerMANOVA comparison: manual (restricted/broad) grouping versus algorithmically derived groupings. R² and pseudo-F for each phase, threshold, and community detection algorithm.</w:t>
            </w:r>
          </w:p>
          <w:bookmarkEnd w:id="105"/>
        </w:tc>
      </w:tr>
    </w:tbl>
    <w:bookmarkEnd w:id="106"/>
    <w:bookmarkEnd w:id="107"/>
    <w:bookmarkStart w:id="110" w:name="sec-s6-6"/>
    <w:p>
      <w:pPr>
        <w:pStyle w:val="Heading2"/>
      </w:pPr>
      <w:r>
        <w:t xml:space="preserve">S1.6.6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15</w:t>
        </w:r>
      </w:hyperlink>
      <w:r>
        <w:t xml:space="preserve">,</w:t>
      </w:r>
      <w:r>
        <w:t xml:space="preserve"> </w:t>
      </w:r>
      <w:hyperlink w:anchor="tbl-ari-louvain">
        <w:r>
          <w:rPr>
            <w:rStyle w:val="Hyperlink"/>
          </w:rPr>
          <w:t xml:space="preserve">Table S 16</w:t>
        </w:r>
      </w:hyperlink>
      <w:r>
        <w:t xml:space="preserve">,</w:t>
      </w:r>
      <w:r>
        <w:t xml:space="preserve"> </w:t>
      </w:r>
      <w:hyperlink w:anchor="tbl-ari-infomap">
        <w:r>
          <w:rPr>
            <w:rStyle w:val="Hyperlink"/>
          </w:rPr>
          <w:t xml:space="preserve">Table S 17</w:t>
        </w:r>
      </w:hyperlink>
      <w:r>
        <w:t xml:space="preserve">,</w:t>
      </w:r>
      <w:r>
        <w:t xml:space="preserve"> </w:t>
      </w:r>
      <w:hyperlink w:anchor="tbl-ari-leiden">
        <w:r>
          <w:rPr>
            <w:rStyle w:val="Hyperlink"/>
          </w:rPr>
          <w:t xml:space="preserve">Table S 18</w:t>
        </w:r>
      </w:hyperlink>
      <w:r>
        <w:t xml:space="preserve">,</w:t>
      </w:r>
      <w:r>
        <w:t xml:space="preserve"> </w:t>
      </w:r>
      <w:hyperlink w:anchor="tbl-ari-walktrap">
        <w:r>
          <w:rPr>
            <w:rStyle w:val="Hyperlink"/>
          </w:rPr>
          <w:t xml:space="preserve">Table S 19</w:t>
        </w:r>
      </w:hyperlink>
      <w:r>
        <w:t xml:space="preserve">,</w:t>
      </w:r>
      <w:r>
        <w:t xml:space="preserve"> </w:t>
      </w:r>
      <w:hyperlink w:anchor="tbl-permanova-comparison">
        <w:r>
          <w:rPr>
            <w:rStyle w:val="Hyperlink"/>
          </w:rPr>
          <w:t xml:space="preserve">Table S 20</w:t>
        </w:r>
      </w:hyperlink>
      <w:r>
        <w:t xml:space="preserve">). Counts below are read from those tables at render time, not hardcoded, so the text cannot drift from the computation.</w:t>
      </w:r>
    </w:p>
    <w:bookmarkStart w:id="108" w:name="X476baf9f10e0f49802cc91d92480ab0b2880e1b"/>
    <w:p>
      <w:pPr>
        <w:pStyle w:val="Heading3"/>
      </w:pPr>
      <w:r>
        <w:t xml:space="preserve">Interpretation of Cross-Algorithm Comparisons</w:t>
      </w:r>
    </w:p>
    <w:p>
      <w:pPr>
        <w:pStyle w:val="FirstParagraph"/>
      </w:pPr>
      <w:r>
        <w:t xml:space="preserve">The results reveal distinct patterns of agreement and divergence among the four community detection algorithms:</w:t>
      </w:r>
    </w:p>
    <w:p>
      <w:pPr>
        <w:pStyle w:val="BodyText"/>
      </w:pPr>
      <w:r>
        <w:rPr>
          <w:bCs/>
          <w:b/>
        </w:rPr>
        <w:t xml:space="preserve">Algorithm Divergence:</w:t>
      </w:r>
      <w:r>
        <w:t xml:space="preserve"> </w:t>
      </w:r>
      <w:r>
        <w:t xml:space="preserve">-</w:t>
      </w:r>
      <w:r>
        <w:t xml:space="preserve"> </w:t>
      </w:r>
      <w:r>
        <w:rPr>
          <w:bCs/>
          <w:b/>
        </w:rPr>
        <w:t xml:space="preserve">Infomap</w:t>
      </w:r>
      <w:r>
        <w:t xml:space="preserve"> </w:t>
      </w:r>
      <w:r>
        <w:t xml:space="preserve">produces the most conservative results, often collapsing networks into fewer communities than Louvain, especially in the sparser Aur-P2 phase.</w:t>
      </w:r>
      <w:r>
        <w:t xml:space="preserve"> </w:t>
      </w:r>
      <w:r>
        <w:t xml:space="preserve">-</w:t>
      </w:r>
      <w:r>
        <w:t xml:space="preserve"> </w:t>
      </w:r>
      <w:r>
        <w:rPr>
          <w:bCs/>
          <w:b/>
        </w:rPr>
        <w:t xml:space="preserve">Leiden</w:t>
      </w:r>
      <w:r>
        <w:t xml:space="preserve"> </w:t>
      </w:r>
      <w:r>
        <w:t xml:space="preserve">addresses Louvain’s known limitations but still differs from Louvain in key cases, particularly at threshold 0.2 in Aur-P2 where Leiden finds 1 community vs. Louvain’s 3.</w:t>
      </w:r>
      <w:r>
        <w:t xml:space="preserve"> </w:t>
      </w:r>
      <w:r>
        <w:t xml:space="preserve">-</w:t>
      </w:r>
      <w:r>
        <w:t xml:space="preserve"> </w:t>
      </w:r>
      <w:r>
        <w:rPr>
          <w:bCs/>
          <w:b/>
        </w:rPr>
        <w:t xml:space="preserve">Walktrap</w:t>
      </w:r>
      <w:r>
        <w:t xml:space="preserve"> </w:t>
      </w:r>
      <w:r>
        <w:t xml:space="preserve">shows variable behavior: at threshold 0.2 it perfectly matches Louvain (ARI=1.000) in both phases, but differs at other thresholds.</w:t>
      </w:r>
    </w:p>
    <w:p>
      <w:pPr>
        <w:pStyle w:val="BodyText"/>
      </w:pPr>
      <w:r>
        <w:rPr>
          <w:bCs/>
          <w:b/>
        </w:rPr>
        <w:t xml:space="preserve">Phase Differences:</w:t>
      </w:r>
      <w:r>
        <w:t xml:space="preserve"> </w:t>
      </w:r>
      <w:r>
        <w:t xml:space="preserve">-</w:t>
      </w:r>
      <w:r>
        <w:t xml:space="preserve"> </w:t>
      </w:r>
      <w:r>
        <w:rPr>
          <w:bCs/>
          <w:b/>
        </w:rPr>
        <w:t xml:space="preserve">Aur-P1 (well-sampled):</w:t>
      </w:r>
      <w:r>
        <w:t xml:space="preserve"> </w:t>
      </w:r>
      <w:r>
        <w:t xml:space="preserve">More algorithmic convergence, suggesting the restricted/broad structure is robust across different optimization criteria.</w:t>
      </w:r>
      <w:r>
        <w:t xml:space="preserve"> </w:t>
      </w:r>
      <w:r>
        <w:t xml:space="preserve">-</w:t>
      </w:r>
      <w:r>
        <w:t xml:space="preserve"> </w:t>
      </w:r>
      <w:r>
        <w:rPr>
          <w:bCs/>
          <w:b/>
        </w:rPr>
        <w:t xml:space="preserve">Aur-P2 (small sample):</w:t>
      </w:r>
      <w:r>
        <w:t xml:space="preserve"> </w:t>
      </w:r>
      <w:r>
        <w:t xml:space="preserve">Substantial algorithm divergence, indicating that conclusions about community structure in this phase are highly sensitive to the chosen algorithm.</w:t>
      </w:r>
    </w:p>
    <w:p>
      <w:pPr>
        <w:pStyle w:val="BodyText"/>
      </w:pPr>
      <w:r>
        <w:rPr>
          <w:bCs/>
          <w:b/>
        </w:rPr>
        <w:t xml:space="preserve">Threshold Sensitivity:</w:t>
      </w:r>
      <w:r>
        <w:t xml:space="preserve"> </w:t>
      </w:r>
      <w:r>
        <w:t xml:space="preserve">The choice of threshold interacts strongly with algorithm performance. At the main-text threshold (0.2), algorithms either converge (Infomap vs Louvain in Aur-P1, Walktrap vs Louvain in both phases) or diverge substantially (Leiden vs all others in Aur-P2).</w:t>
      </w:r>
    </w:p>
    <w:bookmarkEnd w:id="108"/>
    <w:bookmarkStart w:id="109" w:name="implications-for-the-main-analysis"/>
    <w:p>
      <w:pPr>
        <w:pStyle w:val="Heading3"/>
      </w:pPr>
      <w:r>
        <w:t xml:space="preserve">Implications for the Main Analysis</w:t>
      </w:r>
    </w:p>
    <w:p>
      <w:pPr>
        <w:pStyle w:val="FirstParagraph"/>
      </w:pPr>
      <w:r>
        <w:t xml:space="preserve">These results have important implications for interpreting the manual restricted/broad grouping:</w:t>
      </w:r>
    </w:p>
    <w:p>
      <w:pPr>
        <w:numPr>
          <w:ilvl w:val="0"/>
          <w:numId w:val="1008"/>
        </w:numPr>
      </w:pPr>
      <w:r>
        <w:rPr>
          <w:bCs/>
          <w:b/>
        </w:rPr>
        <w:t xml:space="preserve">Algorithm choice matters for small, sparse networks.</w:t>
      </w:r>
      <w:r>
        <w:t xml:space="preserve"> </w:t>
      </w:r>
      <w:r>
        <w:t xml:space="preserve">In Aur-P2’s small sample (9 sites), the algorithm choice fundamentally alters conclusions about community structure.</w:t>
      </w:r>
    </w:p>
    <w:p>
      <w:pPr>
        <w:numPr>
          <w:ilvl w:val="0"/>
          <w:numId w:val="1008"/>
        </w:numPr>
      </w:pPr>
      <w:r>
        <w:rPr>
          <w:bCs/>
          <w:b/>
        </w:rPr>
        <w:t xml:space="preserve">The manual two-group split is not universally recovered.</w:t>
      </w:r>
      <w:r>
        <w:t xml:space="preserve"> </w:t>
      </w:r>
      <w:r>
        <w:t xml:space="preserve">While Louvain and Walktrap at threshold 0.2 in Aur-P1 largely recover the manual split, no single algorithm consistently identifies exactly the same partition across all phases.</w:t>
      </w:r>
    </w:p>
    <w:p>
      <w:pPr>
        <w:numPr>
          <w:ilvl w:val="0"/>
          <w:numId w:val="1008"/>
        </w:numPr>
      </w:pPr>
      <w:r>
        <w:rPr>
          <w:bCs/>
          <w:b/>
        </w:rPr>
        <w:t xml:space="preserve">Robustness vs. sensitivity.</w:t>
      </w:r>
      <w:r>
        <w:t xml:space="preserve"> </w:t>
      </w:r>
      <w:r>
        <w:t xml:space="preserve">Some algorithms (particularly Infomap) are more robust but may miss potentially meaningful structure (e.g., in Aur-P2), while others (particularly Walktrap at threshold 0.2) may show strong agreement with Louvain.</w:t>
      </w:r>
    </w:p>
    <w:p>
      <w:pPr>
        <w:numPr>
          <w:ilvl w:val="0"/>
          <w:numId w:val="1008"/>
        </w:numPr>
      </w:pPr>
      <w:r>
        <w:rPr>
          <w:bCs/>
          <w:b/>
        </w:rPr>
        <w:t xml:space="preserve">Complementary insights.</w:t>
      </w:r>
      <w:r>
        <w:t xml:space="preserve"> </w:t>
      </w:r>
      <w:r>
        <w:t xml:space="preserve">Using multiple algorithms provides a more comprehensive view: the convergence across algorithms where found suggests stronger evidence for genuine structure, while algorithm disagreement signals caution about over-interpreting small-sample results.</w:t>
      </w:r>
    </w:p>
    <w:p>
      <w:pPr>
        <w:pStyle w:val="FirstParagraph"/>
      </w:pPr>
      <w:r>
        <w:t xml:space="preserve">These findings suggest that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bookmarkEnd w:id="109"/>
    <w:bookmarkEnd w:id="110"/>
    <w:bookmarkStart w:id="115" w:name="sec-s6-7"/>
    <w:p>
      <w:pPr>
        <w:pStyle w:val="Heading2"/>
      </w:pPr>
      <w:r>
        <w:t xml:space="preserve">S1.6.7 Interpretation</w:t>
      </w:r>
    </w:p>
    <w:bookmarkStart w:id="111"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15</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111"/>
    <w:bookmarkStart w:id="112"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S 16</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112"/>
    <w:bookmarkStart w:id="113"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comparison">
        <w:r>
          <w:rPr>
            <w:rStyle w:val="Hyperlink"/>
          </w:rPr>
          <w:t xml:space="preserve">Table S 20</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113"/>
    <w:bookmarkStart w:id="114"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4"/>
    <w:bookmarkEnd w:id="115"/>
    <w:bookmarkEnd w:id="116"/>
    <w:bookmarkStart w:id="131" w:name="sec-s7"/>
    <w:p>
      <w:pPr>
        <w:pStyle w:val="Heading1"/>
      </w:pPr>
      <w:r>
        <w:t xml:space="preserve">S1.7 Network Calibration</w:t>
      </w:r>
    </w:p>
    <w:p>
      <w:pPr>
        <w:pStyle w:val="FirstParagraph"/>
      </w:pPr>
      <w:r>
        <w:t xml:space="preserve">Calibration checks ask whether modularity, degree, and significance survive nulls, sampling noise, multiple testing, and network size. They do not test group existence itself.</w:t>
      </w:r>
    </w:p>
    <w:bookmarkStart w:id="118" w:name="sec-s7-1"/>
    <w:p>
      <w:pPr>
        <w:pStyle w:val="Heading2"/>
      </w:pPr>
      <w:r>
        <w:t xml:space="preserve">S1.7.1 Null-Benchmarked Modularity</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117"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21: Observed modularity and null-model p-values for each Aurignacian phase at three Jaccard similarity thresholds.</w:t>
            </w:r>
          </w:p>
          <w:bookmarkEnd w:id="117"/>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18"/>
    <w:bookmarkStart w:id="120" w:name="sec-s7-2"/>
    <w:p>
      <w:pPr>
        <w:pStyle w:val="Heading2"/>
      </w:pPr>
      <w:r>
        <w:t xml:space="preserve">S1.7.2 Richness and Degree Confound</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119"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22: Spearman correlations between node degree and site sign richness (number of distinct sign types) within each Aurignacian phase, at the baseline threshold of 0.2.</w:t>
            </w:r>
          </w:p>
          <w:bookmarkEnd w:id="119"/>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120"/>
    <w:bookmarkStart w:id="126" w:name="sec-s7-3"/>
    <w:p>
      <w:pPr>
        <w:pStyle w:val="Heading2"/>
      </w:pPr>
      <w:r>
        <w:t xml:space="preserve">S1.7.3 Bootstrap Confidence Intervals</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tbl>
      <w:tblPr>
        <w:tblStyle w:val="Table"/>
        <w:tblW w:type="pct" w:w="5000"/>
        <w:tblLook w:firstRow="0" w:lastRow="0" w:firstColumn="0" w:lastColumn="0" w:noHBand="0" w:noVBand="0" w:val="0000"/>
        <w:jc w:val="start"/>
        <w:tblLayout w:type="fixed"/>
      </w:tblPr>
      <w:tblGrid>
        <w:gridCol w:w="7920"/>
      </w:tblGrid>
      <w:tr>
        <w:tc>
          <w:tcPr/>
          <w:bookmarkStart w:id="121" w:name="tbl-bootstrap-ci"/>
          <w:tbl>
            <w:tblPr>
              <w:tblStyle w:val="Table"/>
              <w:tblW w:type="pct" w:w="5000"/>
              <w:tblLook w:firstRow="1" w:lastRow="0" w:firstColumn="0" w:lastColumn="0" w:noHBand="0" w:noVBand="0" w:val="0020"/>
              <w:jc w:val="start"/>
              <w:tblLayout w:type="fixed"/>
            </w:tblPr>
            <w:tblGrid>
              <w:gridCol w:w="652"/>
              <w:gridCol w:w="2236"/>
              <w:gridCol w:w="559"/>
              <w:gridCol w:w="652"/>
              <w:gridCol w:w="559"/>
              <w:gridCol w:w="1304"/>
              <w:gridCol w:w="652"/>
              <w:gridCol w:w="652"/>
              <w:gridCol w:w="652"/>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5.70</w:t>
                  </w:r>
                </w:p>
              </w:tc>
              <w:tc>
                <w:tcPr/>
                <w:p>
                  <w:pPr>
                    <w:pStyle w:val="Compact"/>
                    <w:jc w:val="center"/>
                    <w:jc w:val="center"/>
                  </w:pPr>
                  <w:r>
                    <w:t xml:space="preserve">8.70</w:t>
                  </w:r>
                </w:p>
              </w:tc>
              <w:tc>
                <w:tcPr/>
                <w:p>
                  <w:pPr>
                    <w:pStyle w:val="Compact"/>
                    <w:jc w:val="center"/>
                    <w:jc w:val="center"/>
                  </w:pPr>
                  <w:r>
                    <w:t xml:space="preserve">0.74</w:t>
                  </w:r>
                </w:p>
              </w:tc>
              <w:tc>
                <w:tcPr/>
                <w:p>
                  <w:pPr>
                    <w:pStyle w:val="Compact"/>
                    <w:jc w:val="center"/>
                    <w:jc w:val="center"/>
                  </w:pPr>
                  <w:r>
                    <w:t xml:space="preserve">0.336</w:t>
                  </w:r>
                </w:p>
              </w:tc>
              <w:tc>
                <w:tcPr/>
                <w:p>
                  <w:pPr>
                    <w:pStyle w:val="Compact"/>
                    <w:jc w:val="center"/>
                    <w:jc w:val="center"/>
                  </w:pPr>
                  <w:r>
                    <w:t xml:space="preserve">0.239</w:t>
                  </w:r>
                </w:p>
              </w:tc>
              <w:tc>
                <w:tcPr/>
                <w:p>
                  <w:pPr>
                    <w:pStyle w:val="Compact"/>
                    <w:jc w:val="center"/>
                    <w:jc w:val="center"/>
                  </w:pPr>
                  <w:r>
                    <w:t xml:space="preserve">0.444</w:t>
                  </w:r>
                </w:p>
              </w:tc>
              <w:tc>
                <w:tcPr/>
                <w:p>
                  <w:pPr>
                    <w:pStyle w:val="Compact"/>
                    <w:jc w:val="center"/>
                    <w:jc w:val="center"/>
                  </w:pPr>
                  <w:r>
                    <w:t xml:space="preserve">0.051</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3.33</w:t>
                  </w:r>
                </w:p>
              </w:tc>
              <w:tc>
                <w:tcPr/>
                <w:p>
                  <w:pPr>
                    <w:pStyle w:val="Compact"/>
                    <w:jc w:val="center"/>
                    <w:jc w:val="center"/>
                  </w:pPr>
                  <w:r>
                    <w:t xml:space="preserve">5.78</w:t>
                  </w:r>
                </w:p>
              </w:tc>
              <w:tc>
                <w:tcPr/>
                <w:p>
                  <w:pPr>
                    <w:pStyle w:val="Compact"/>
                    <w:jc w:val="center"/>
                    <w:jc w:val="center"/>
                  </w:pPr>
                  <w:r>
                    <w:t xml:space="preserve">0.62</w:t>
                  </w:r>
                </w:p>
              </w:tc>
              <w:tc>
                <w:tcPr/>
                <w:p>
                  <w:pPr>
                    <w:pStyle w:val="Compact"/>
                    <w:jc w:val="center"/>
                    <w:jc w:val="center"/>
                  </w:pPr>
                  <w:r>
                    <w:t xml:space="preserve">0.161</w:t>
                  </w:r>
                </w:p>
              </w:tc>
              <w:tc>
                <w:tcPr/>
                <w:p>
                  <w:pPr>
                    <w:pStyle w:val="Compact"/>
                    <w:jc w:val="center"/>
                    <w:jc w:val="center"/>
                  </w:pPr>
                  <w:r>
                    <w:t xml:space="preserve">0.081</w:t>
                  </w:r>
                </w:p>
              </w:tc>
              <w:tc>
                <w:tcPr/>
                <w:p>
                  <w:pPr>
                    <w:pStyle w:val="Compact"/>
                    <w:jc w:val="center"/>
                    <w:jc w:val="center"/>
                  </w:pPr>
                  <w:r>
                    <w:t xml:space="preserve">0.299</w:t>
                  </w:r>
                </w:p>
              </w:tc>
              <w:tc>
                <w:tcPr/>
                <w:p>
                  <w:pPr>
                    <w:pStyle w:val="Compact"/>
                    <w:jc w:val="center"/>
                    <w:jc w:val="center"/>
                  </w:pPr>
                  <w:r>
                    <w:t xml:space="preserve">0.045</w:t>
                  </w:r>
                </w:p>
              </w:tc>
            </w:tr>
          </w:tbl>
          <w:p>
            <w:pPr>
              <w:jc w:val="center"/>
            </w:pPr>
            <w:pPr>
              <w:jc w:val="start"/>
              <w:spacing w:before="200"/>
              <w:pStyle w:val="ImageCaption"/>
            </w:pPr>
            <w:r>
              <w:t xml:space="preserve">Table S 23: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1"/>
        </w:tc>
      </w:tr>
    </w:tbl>
    <w:tbl>
      <w:tblPr>
        <w:tblStyle w:val="Table"/>
        <w:tblW w:type="pct" w:w="5000"/>
        <w:tblLook w:firstRow="0" w:lastRow="0" w:firstColumn="0" w:lastColumn="0" w:noHBand="0" w:noVBand="0" w:val="0000"/>
        <w:jc w:val="start"/>
        <w:tblLayout w:type="fixed"/>
      </w:tblPr>
      <w:tblGrid>
        <w:gridCol w:w="7920"/>
      </w:tblGrid>
      <w:tr>
        <w:tc>
          <w:tcPr/>
          <w:bookmarkStart w:id="125" w:name="fig-bootstrap-dist"/>
          <w:p>
            <w:pPr>
              <w:pStyle w:val="Compact"/>
              <w:jc w:val="center"/>
            </w:pPr>
            <w:r>
              <w:drawing>
                <wp:inline>
                  <wp:extent cx="5943600" cy="4754880"/>
                  <wp:effectExtent b="0" l="0" r="0" t="0"/>
                  <wp:docPr descr="" title="" id="123" name="Picture"/>
                  <a:graphic>
                    <a:graphicData uri="http://schemas.openxmlformats.org/drawingml/2006/picture">
                      <pic:pic>
                        <pic:nvPicPr>
                          <pic:cNvPr descr="S1-supplement-sensitivity_files/figure-docx/fig-bootstrap-dist-1.png" id="124" name="Picture"/>
                          <pic:cNvPicPr>
                            <a:picLocks noChangeArrowheads="1" noChangeAspect="1"/>
                          </pic:cNvPicPr>
                        </pic:nvPicPr>
                        <pic:blipFill>
                          <a:blip r:embed="rId12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23</w:t>
              </w:r>
            </w:hyperlink>
            <w:r>
              <w:t xml:space="preserve">); any offset between a band and its observed value reflects systematic rare-sign dropout under resampling, which is why the bands are read as stability checks rather than confidence intervals.</w:t>
            </w:r>
          </w:p>
          <w:bookmarkEnd w:id="125"/>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p>
      <w:pPr>
        <w:pStyle w:val="BodyText"/>
      </w:pPr>
      <w:r>
        <w:rPr>
          <w:bCs/>
          <w:b/>
        </w:rPr>
        <w:t xml:space="preserve">Implications for the main text.</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5</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persists across the resampled replicates, but absolute values remain sensitive to threshold and small-P2 sample (9 sites) (see</w:t>
      </w:r>
      <w:r>
        <w:t xml:space="preserve"> </w:t>
      </w:r>
      <w:r>
        <w:t xml:space="preserve">Section S1.2.4</w:t>
      </w:r>
      <w:r>
        <w:t xml:space="preserve">).</w:t>
      </w:r>
    </w:p>
    <w:bookmarkEnd w:id="126"/>
    <w:bookmarkStart w:id="128" w:name="sec-s7-4"/>
    <w:p>
      <w:pPr>
        <w:pStyle w:val="Heading2"/>
      </w:pPr>
      <w:r>
        <w:t xml:space="preserve">S1.7.4 Multiple-Testing Correction</w:t>
      </w:r>
    </w:p>
    <w:p>
      <w:pPr>
        <w:pStyle w:val="FirstParagraph"/>
      </w:pPr>
      <w:r>
        <w:t xml:space="preserve">The Mantel tests reported in</w:t>
      </w:r>
      <w:r>
        <w:t xml:space="preserve"> </w:t>
      </w:r>
      <w:hyperlink w:anchor="tbl-geodesic-mantel">
        <w:r>
          <w:rPr>
            <w:rStyle w:val="Hyperlink"/>
          </w:rPr>
          <w:t xml:space="preserve">Table S 5</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127"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24: Mantel test p-values before and after Benjamini–Hochberg correction for multiple testing across 2 phases × 2 distance measures (4 tests total). Results with adjusted p &lt; 0.05 are highlighted.</w:t>
            </w:r>
          </w:p>
          <w:bookmarkEnd w:id="127"/>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128"/>
    <w:bookmarkStart w:id="130" w:name="sec-s7-5"/>
    <w:p>
      <w:pPr>
        <w:pStyle w:val="Heading2"/>
      </w:pPr>
      <w:r>
        <w:t xml:space="preserve">S1.7.5 Size-Normalised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129"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25: Network metrics normalised by size-matched Erdos-Renyi expectation. Ratio &gt; 1 indicates the observed value exceeds the random expectation for a network of the same size. ER mean and SD are based on 100 random graphs per phase.</w:t>
            </w:r>
          </w:p>
          <w:bookmarkEnd w:id="129"/>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9"/>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9"/>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bookmarkEnd w:id="130"/>
    <w:bookmarkEnd w:id="131"/>
    <w:bookmarkStart w:id="147" w:name="sec-s8"/>
    <w:p>
      <w:pPr>
        <w:pStyle w:val="Heading1"/>
      </w:pPr>
      <w:r>
        <w:t xml:space="preserve">S1.8 Space, Time, and Regional Drivers</w:t>
      </w:r>
    </w:p>
    <w:p>
      <w:pPr>
        <w:pStyle w:val="FirstParagraph"/>
      </w:pPr>
      <w:r>
        <w:t xml:space="preserve">Geography, time, and regions test alternative drivers of sign dissimilarity. They do not test threshold or group existence.</w:t>
      </w:r>
    </w:p>
    <w:bookmarkStart w:id="132" w:name="sec-s8-1"/>
    <w:p>
      <w:pPr>
        <w:pStyle w:val="Heading2"/>
      </w:pPr>
      <w:r>
        <w:t xml:space="preserve">S1.8.1 Multiple Regression on Distance Matrices</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[16]</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t xml:space="preserve">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bookmarkEnd w:id="132"/>
    <w:bookmarkStart w:id="137" w:name="sec-s8-2"/>
    <w:p>
      <w:pPr>
        <w:pStyle w:val="Heading2"/>
      </w:pPr>
      <w:r>
        <w:t xml:space="preserve">S1.8.2 Time-Lag Check</w:t>
      </w:r>
    </w:p>
    <w:bookmarkStart w:id="133" w:name="rationale-11"/>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numPr>
          <w:ilvl w:val="0"/>
          <w:numId w:val="1010"/>
        </w:numPr>
        <w:pStyle w:val="Compact"/>
      </w:pPr>
      <w:r>
        <w:rPr>
          <w:bCs/>
          <w:b/>
        </w:rPr>
        <w:t xml:space="preserve">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numPr>
          <w:ilvl w:val="0"/>
          <w:numId w:val="1010"/>
        </w:numPr>
        <w:pStyle w:val="Compact"/>
      </w:pPr>
      <w:r>
        <w:rPr>
          <w:bCs/>
          <w:b/>
        </w:rPr>
        <w:t xml:space="preserve">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numPr>
          <w:ilvl w:val="0"/>
          <w:numId w:val="1010"/>
        </w:numPr>
        <w:pStyle w:val="Compact"/>
      </w:pPr>
      <w:r>
        <w:rPr>
          <w:bCs/>
          <w:b/>
        </w:rPr>
        <w:t xml:space="preserve">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33"/>
    <w:bookmarkStart w:id="135" w:name="analysis-1"/>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34"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26: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34"/>
        </w:tc>
      </w:tr>
    </w:tbl>
    <w:bookmarkEnd w:id="135"/>
    <w:bookmarkStart w:id="136" w:name="interpretation-3"/>
    <w:p>
      <w:pPr>
        <w:pStyle w:val="Heading3"/>
      </w:pPr>
      <w:r>
        <w:t xml:space="preserve">Interpretation</w:t>
      </w:r>
    </w:p>
    <w:p>
      <w:pPr>
        <w:pStyle w:val="FirstParagraph"/>
      </w:pPr>
      <w:r>
        <w:rPr>
          <w:bCs/>
          <w:b/>
        </w:rPr>
        <w:t xml:space="preserve">Question 1 —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26</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2 —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3 — how should a flat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S1.8.1</w:t>
      </w:r>
      <w:r>
        <w:t xml:space="preserve"> </w:t>
      </w:r>
      <w:r>
        <w:t xml:space="preserve">multiple regression, both of which conclude that temporal distance explains little of the variation in sign composition and cannot establish whether substantial change did or did not occur.</w:t>
      </w:r>
    </w:p>
    <w:bookmarkEnd w:id="136"/>
    <w:bookmarkEnd w:id="137"/>
    <w:bookmarkStart w:id="146" w:name="sec-s8-3"/>
    <w:p>
      <w:pPr>
        <w:pStyle w:val="Heading2"/>
      </w:pPr>
      <w:r>
        <w:t xml:space="preserve">S1.8.3 Objective Regional Grouping</w:t>
      </w:r>
    </w:p>
    <w:bookmarkStart w:id="144" w:name="rationale-12"/>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tbl>
      <w:tblPr>
        <w:tblStyle w:val="Table"/>
        <w:tblW w:type="pct" w:w="5000"/>
        <w:tblLook w:firstRow="0" w:lastRow="0" w:firstColumn="0" w:lastColumn="0" w:noHBand="0" w:noVBand="0" w:val="0000"/>
        <w:jc w:val="start"/>
        <w:tblLayout w:type="fixed"/>
      </w:tblPr>
      <w:tblGrid>
        <w:gridCol w:w="7920"/>
      </w:tblGrid>
      <w:tr>
        <w:tc>
          <w:tcPr/>
          <w:bookmarkStart w:id="138"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27: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3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39"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28: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39"/>
        </w:tc>
      </w:tr>
    </w:tbl>
    <w:tbl>
      <w:tblPr>
        <w:tblStyle w:val="Table"/>
        <w:tblW w:type="pct" w:w="5000"/>
        <w:tblLook w:firstRow="0" w:lastRow="0" w:firstColumn="0" w:lastColumn="0" w:noHBand="0" w:noVBand="0" w:val="0000"/>
        <w:jc w:val="start"/>
        <w:tblLayout w:type="fixed"/>
      </w:tblPr>
      <w:tblGrid>
        <w:gridCol w:w="7920"/>
      </w:tblGrid>
      <w:tr>
        <w:tc>
          <w:tcPr/>
          <w:bookmarkStart w:id="143" w:name="fig-region-map"/>
          <w:p>
            <w:pPr>
              <w:pStyle w:val="Compact"/>
              <w:jc w:val="center"/>
            </w:pPr>
            <w:r>
              <w:drawing>
                <wp:inline>
                  <wp:extent cx="5943600" cy="4457699"/>
                  <wp:effectExtent b="0" l="0" r="0" t="0"/>
                  <wp:docPr descr="" title="" id="141" name="Picture"/>
                  <a:graphic>
                    <a:graphicData uri="http://schemas.openxmlformats.org/drawingml/2006/picture">
                      <pic:pic>
                        <pic:nvPicPr>
                          <pic:cNvPr descr="../figures/s513-region-map.png" id="142" name="Picture"/>
                          <pic:cNvPicPr>
                            <a:picLocks noChangeArrowheads="1" noChangeAspect="1"/>
                          </pic:cNvPicPr>
                        </pic:nvPicPr>
                        <pic:blipFill>
                          <a:blip r:embed="rId140"/>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Objective geographic regions discovered by PAM on geodesic distances (primary, k=2). Sites coloured by region; Jaccard sign data not used. West vs Central (Aur-P1) partitions the Dordogne vs Swabian research blocks.</w:t>
            </w:r>
          </w:p>
          <w:bookmarkEnd w:id="143"/>
        </w:tc>
      </w:tr>
    </w:tbl>
    <w:bookmarkEnd w:id="144"/>
    <w:bookmarkStart w:id="145" w:name="interpretation-4"/>
    <w:p>
      <w:pPr>
        <w:pStyle w:val="Heading3"/>
      </w:pPr>
      <w:r>
        <w:t xml:space="preserve">Interpretation</w:t>
      </w:r>
    </w:p>
    <w:p>
      <w:pPr>
        <w:pStyle w:val="FirstParagraph"/>
      </w:pPr>
      <w:r>
        <w:t xml:space="preserve">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S1.12.3</w:t>
      </w:r>
      <w:r>
        <w:t xml:space="preserve">–</w:t>
      </w:r>
      <w:r>
        <w:t xml:space="preserve">Section S1.12.4</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t xml:space="preserve">Section S1.6.1</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S1.10.1</w:t>
      </w:r>
      <w:r>
        <w:t xml:space="preserve"> </w:t>
      </w:r>
      <w:r>
        <w:t xml:space="preserve">terms) uses permutations with caution; per Boemke et al. 2023, the Aur-P1 geography signal coincides with research intensity (German ivory — 225/346 objects — versus French limestone blocs) rather than a past cultural groups.</w:t>
      </w:r>
    </w:p>
    <w:bookmarkEnd w:id="145"/>
    <w:bookmarkEnd w:id="146"/>
    <w:bookmarkEnd w:id="147"/>
    <w:bookmarkStart w:id="171" w:name="sec-s9"/>
    <w:p>
      <w:pPr>
        <w:pStyle w:val="Heading1"/>
      </w:pPr>
      <w:r>
        <w:t xml:space="preserve">S1.9 Partition Stability and Generative Models</w:t>
      </w:r>
    </w:p>
    <w:bookmarkStart w:id="148" w:name="sec-s9-1"/>
    <w:p>
      <w:pPr>
        <w:pStyle w:val="Heading2"/>
      </w:pPr>
      <w:r>
        <w:t xml:space="preserve">S1.9.1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48"/>
    <w:bookmarkStart w:id="157" w:name="sec-s9-2"/>
    <w:p>
      <w:pPr>
        <w:pStyle w:val="Heading2"/>
      </w:pPr>
      <w:r>
        <w:t xml:space="preserve">S1.9.2 Bootstrap Consensus Analysis</w:t>
      </w:r>
    </w:p>
    <w:bookmarkStart w:id="155" w:name="rationale-13"/>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tbl>
      <w:tblPr>
        <w:tblStyle w:val="Table"/>
        <w:tblW w:type="pct" w:w="5000"/>
        <w:tblLook w:firstRow="0" w:lastRow="0" w:firstColumn="0" w:lastColumn="0" w:noHBand="0" w:noVBand="0" w:val="0000"/>
        <w:jc w:val="start"/>
        <w:tblLayout w:type="fixed"/>
      </w:tblPr>
      <w:tblGrid>
        <w:gridCol w:w="7920"/>
      </w:tblGrid>
      <w:tr>
        <w:tc>
          <w:tcPr/>
          <w:bookmarkStart w:id="149"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29: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4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0"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30: Per-site bootstrap consistency: proportion of 1000 resamples in which each site is assigned to its modal (most frequent) block. Consistency near 1 indicates robust assignment; values near 0.5 indicate sites whose group membership flips across resamples.</w:t>
            </w:r>
          </w:p>
          <w:bookmarkEnd w:id="150"/>
        </w:tc>
      </w:tr>
    </w:tbl>
    <w:tbl>
      <w:tblPr>
        <w:tblStyle w:val="Table"/>
        <w:tblW w:type="pct" w:w="5000"/>
        <w:tblLook w:firstRow="0" w:lastRow="0" w:firstColumn="0" w:lastColumn="0" w:noHBand="0" w:noVBand="0" w:val="0000"/>
        <w:jc w:val="start"/>
        <w:tblLayout w:type="fixed"/>
      </w:tblPr>
      <w:tblGrid>
        <w:gridCol w:w="7920"/>
      </w:tblGrid>
      <w:tr>
        <w:tc>
          <w:tcPr/>
          <w:bookmarkStart w:id="154" w:name="fig-bootstrap-consensus"/>
          <w:p>
            <w:pPr>
              <w:pStyle w:val="Compact"/>
              <w:jc w:val="center"/>
            </w:pPr>
            <w:r>
              <w:drawing>
                <wp:inline>
                  <wp:extent cx="5943600" cy="6604000"/>
                  <wp:effectExtent b="0" l="0" r="0" t="0"/>
                  <wp:docPr descr="" title="" id="152" name="Picture"/>
                  <a:graphic>
                    <a:graphicData uri="http://schemas.openxmlformats.org/drawingml/2006/picture">
                      <pic:pic>
                        <pic:nvPicPr>
                          <pic:cNvPr descr="../figures/bootstrap-consensus-plot.png" id="153" name="Picture"/>
                          <pic:cNvPicPr>
                            <a:picLocks noChangeArrowheads="1" noChangeAspect="1"/>
                          </pic:cNvPicPr>
                        </pic:nvPicPr>
                        <pic:blipFill>
                          <a:blip r:embed="rId151"/>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54"/>
        </w:tc>
      </w:tr>
    </w:tbl>
    <w:bookmarkEnd w:id="155"/>
    <w:bookmarkStart w:id="156" w:name="interpretation-5"/>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30</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30</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7</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S 30</w:t>
        </w:r>
      </w:hyperlink>
      <w:r>
        <w:t xml:space="preserve">.</w:t>
      </w:r>
    </w:p>
    <w:bookmarkEnd w:id="156"/>
    <w:bookmarkEnd w:id="157"/>
    <w:bookmarkStart w:id="166" w:name="sec-s9-3"/>
    <w:p>
      <w:pPr>
        <w:pStyle w:val="Heading2"/>
      </w:pPr>
      <w:r>
        <w:t xml:space="preserve">S1.9.3 Stochastic Block Models</w:t>
      </w:r>
    </w:p>
    <w:bookmarkStart w:id="164" w:name="rationale-14"/>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tbl>
      <w:tblPr>
        <w:tblStyle w:val="Table"/>
        <w:tblW w:type="pct" w:w="5000"/>
        <w:tblLook w:firstRow="0" w:lastRow="0" w:firstColumn="0" w:lastColumn="0" w:noHBand="0" w:noVBand="0" w:val="0000"/>
        <w:jc w:val="start"/>
        <w:tblLayout w:type="fixed"/>
      </w:tblPr>
      <w:tblGrid>
        <w:gridCol w:w="7920"/>
      </w:tblGrid>
      <w:tr>
        <w:tc>
          <w:tcPr/>
          <w:bookmarkStart w:id="158"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31: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58"/>
        </w:tc>
      </w:tr>
    </w:tbl>
    <w:tbl>
      <w:tblPr>
        <w:tblStyle w:val="Table"/>
        <w:tblW w:type="pct" w:w="5000"/>
        <w:tblLook w:firstRow="0" w:lastRow="0" w:firstColumn="0" w:lastColumn="0" w:noHBand="0" w:noVBand="0" w:val="0000"/>
        <w:jc w:val="start"/>
        <w:tblLayout w:type="fixed"/>
      </w:tblPr>
      <w:tblGrid>
        <w:gridCol w:w="7920"/>
      </w:tblGrid>
      <w:tr>
        <w:tc>
          <w:tcPr/>
          <w:bookmarkStart w:id="162" w:name="fig-sbm-icl"/>
          <w:p>
            <w:pPr>
              <w:pStyle w:val="Compact"/>
              <w:jc w:val="center"/>
            </w:pPr>
            <w:r>
              <w:drawing>
                <wp:inline>
                  <wp:extent cx="5943600" cy="2971800"/>
                  <wp:effectExtent b="0" l="0" r="0" t="0"/>
                  <wp:docPr descr="" title="" id="160" name="Picture"/>
                  <a:graphic>
                    <a:graphicData uri="http://schemas.openxmlformats.org/drawingml/2006/picture">
                      <pic:pic>
                        <pic:nvPicPr>
                          <pic:cNvPr descr="S1-supplement-sensitivity_files/figure-docx/fig-sbm-icl-1.png" id="161" name="Picture"/>
                          <pic:cNvPicPr>
                            <a:picLocks noChangeArrowheads="1" noChangeAspect="1"/>
                          </pic:cNvPicPr>
                        </pic:nvPicPr>
                        <pic:blipFill>
                          <a:blip r:embed="rId159"/>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62"/>
        </w:tc>
      </w:tr>
    </w:tbl>
    <w:tbl>
      <w:tblPr>
        <w:tblStyle w:val="Table"/>
        <w:tblW w:type="pct" w:w="5000"/>
        <w:tblLook w:firstRow="0" w:lastRow="0" w:firstColumn="0" w:lastColumn="0" w:noHBand="0" w:noVBand="0" w:val="0000"/>
        <w:jc w:val="start"/>
        <w:tblLayout w:type="fixed"/>
      </w:tblPr>
      <w:tblGrid>
        <w:gridCol w:w="7920"/>
      </w:tblGrid>
      <w:tr>
        <w:tc>
          <w:tcPr/>
          <w:bookmarkStart w:id="163"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32: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63"/>
        </w:tc>
      </w:tr>
    </w:tbl>
    <w:bookmarkEnd w:id="164"/>
    <w:bookmarkStart w:id="165" w:name="interpretation-6"/>
    <w:p>
      <w:pPr>
        <w:pStyle w:val="Heading3"/>
      </w:pPr>
      <w:r>
        <w:t xml:space="preserve">Interpretation</w:t>
      </w:r>
    </w:p>
    <w:p>
      <w:pPr>
        <w:pStyle w:val="FirstParagraph"/>
      </w:pPr>
      <w:r>
        <w:t xml:space="preserve">The ICL model-selection results (</w:t>
      </w:r>
      <w:hyperlink w:anchor="tbl-sbm-icl">
        <w:r>
          <w:rPr>
            <w:rStyle w:val="Hyperlink"/>
          </w:rPr>
          <w:t xml:space="preserve">Table S 31</w:t>
        </w:r>
      </w:hyperlink>
      <w:r>
        <w:t xml:space="preserve">;</w:t>
      </w:r>
      <w:r>
        <w:t xml:space="preserve"> </w:t>
      </w:r>
      <w:hyperlink w:anchor="fig-sbm-icl">
        <w:r>
          <w:rPr>
            <w:rStyle w:val="Hyperlink"/>
          </w:rPr>
          <w:t xml:space="preserve">Figure S 8</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31</w:t>
        </w:r>
      </w:hyperlink>
      <w:r>
        <w:t xml:space="preserve">, NA entries; truncated curves in</w:t>
      </w:r>
      <w:r>
        <w:t xml:space="preserve"> </w:t>
      </w:r>
      <w:hyperlink w:anchor="fig-sbm-icl">
        <w:r>
          <w:rPr>
            <w:rStyle w:val="Hyperlink"/>
          </w:rPr>
          <w:t xml:space="preserve">Figure S 8</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32</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the largest block in both models contains the same nine broad-range sites, and both models split off Labeko Koba, Les Cottés, and Trou al’Wesse as a small third block — the same small-assemblage sites that Louvain isolates as singletons (</w:t>
      </w:r>
      <w:r>
        <w:t xml:space="preserve">Section S1.11.5</w:t>
      </w:r>
      <w:r>
        <w:t xml:space="preserve">) and the downsampling analysis flags as unstable (</w:t>
      </w:r>
      <w:r>
        <w:t xml:space="preserve">Section S1.12.2</w:t>
      </w:r>
      <w:r>
        <w:t xml:space="preserve">). The Poisson model agrees on an eight-site broad core but places Grotte du Renne in the large mixed block alongside the restricted-range sites.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S1.6.1</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S1.6.1</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the bootstrap supports the two-group partition’s internal coherence; Louvain detects multiple communities including substructure within the broader-range sites; the SBM selects multiple blocks in Aur-P1 under all three emission models (K = 3, 4, 3) while selecting a single block in Aur-P2 under Bernoulli and Poisson (Gaussian K = 2 by 0.90 points). This pattern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answers yes in the well-sampled Aur-P1 phase under every encoding, while withholding support in the small Aur-P2 sample.</w:t>
      </w:r>
    </w:p>
    <w:p>
      <w:pPr>
        <w:pStyle w:val="BodyText"/>
      </w:pPr>
      <w:r>
        <w:rPr>
          <w:bCs/>
          <w:b/>
        </w:rPr>
        <w:t xml:space="preserve">Implications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answers that it reproduces it as its dominant structure in Aur-P1, with a small-block refinement, while recovering no stable partition in Aur-P2.</w:t>
      </w:r>
    </w:p>
    <w:bookmarkEnd w:id="165"/>
    <w:bookmarkEnd w:id="166"/>
    <w:bookmarkStart w:id="170" w:name="sec-s9-4"/>
    <w:p>
      <w:pPr>
        <w:pStyle w:val="Heading2"/>
      </w:pPr>
      <w:r>
        <w:t xml:space="preserve">S1.9.4 Cross-Validation of Group Assignments (ARI)</w:t>
      </w:r>
    </w:p>
    <w:bookmarkStart w:id="168" w:name="rationale-15"/>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tbl>
      <w:tblPr>
        <w:tblStyle w:val="Table"/>
        <w:tblW w:type="pct" w:w="5000"/>
        <w:tblLook w:firstRow="0" w:lastRow="0" w:firstColumn="0" w:lastColumn="0" w:noHBand="0" w:noVBand="0" w:val="0000"/>
        <w:jc w:val="start"/>
        <w:tblLayout w:type="fixed"/>
      </w:tblPr>
      <w:tblGrid>
        <w:gridCol w:w="7920"/>
      </w:tblGrid>
      <w:tr>
        <w:tc>
          <w:tcPr/>
          <w:bookmarkStart w:id="167" w:name="tbl-ari-bootstrap-sbm"/>
          <w:tbl>
            <w:tblPr>
              <w:tblStyle w:val="Table"/>
              <w:tblW w:type="pct" w:w="5000"/>
              <w:tblLook w:firstRow="1" w:lastRow="0" w:firstColumn="0" w:lastColumn="0" w:noHBand="0" w:noVBand="0" w:val="0020"/>
              <w:jc w:val="start"/>
              <w:tblLayout w:type="fixed"/>
            </w:tblPr>
            <w:tblGrid>
              <w:gridCol w:w="301"/>
              <w:gridCol w:w="1076"/>
              <w:gridCol w:w="1119"/>
              <w:gridCol w:w="1033"/>
              <w:gridCol w:w="1162"/>
              <w:gridCol w:w="1076"/>
              <w:gridCol w:w="1119"/>
              <w:gridCol w:w="1033"/>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 (Bern)</w:t>
                  </w:r>
                </w:p>
              </w:tc>
              <w:tc>
                <w:tcPr/>
                <w:p>
                  <w:pPr>
                    <w:pStyle w:val="Compact"/>
                    <w:jc w:val="center"/>
                    <w:jc w:val="center"/>
                  </w:pPr>
                  <w:r>
                    <w:t xml:space="preserve">ARI boot vs SBM (Bern)</w:t>
                  </w:r>
                </w:p>
              </w:tc>
              <w:tc>
                <w:tcPr/>
                <w:p>
                  <w:pPr>
                    <w:pStyle w:val="Compact"/>
                    <w:jc w:val="center"/>
                    <w:jc w:val="center"/>
                  </w:pPr>
                  <w:r>
                    <w:t xml:space="preserve">ARI manual vs SBM (Gauss)</w:t>
                  </w:r>
                </w:p>
              </w:tc>
              <w:tc>
                <w:tcPr/>
                <w:p>
                  <w:pPr>
                    <w:pStyle w:val="Compact"/>
                    <w:jc w:val="center"/>
                    <w:jc w:val="center"/>
                  </w:pPr>
                  <w:r>
                    <w:t xml:space="preserve">ARI boot vs SBM (Gauss)</w:t>
                  </w:r>
                </w:p>
              </w:tc>
              <w:tc>
                <w:tcPr/>
                <w:p>
                  <w:pPr>
                    <w:pStyle w:val="Compact"/>
                    <w:jc w:val="center"/>
                    <w:jc w:val="center"/>
                  </w:pPr>
                  <w:r>
                    <w:t xml:space="preserve">ARI manual vs SBM (Pois)</w:t>
                  </w:r>
                </w:p>
              </w:tc>
              <w:tc>
                <w:tcPr/>
                <w:p>
                  <w:pPr>
                    <w:pStyle w:val="Compact"/>
                    <w:jc w:val="center"/>
                    <w:jc w:val="center"/>
                  </w:pPr>
                  <w:r>
                    <w:t xml:space="preserve">ARI boot vs SBM (Pois)</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c>
                <w:tcPr/>
                <w:p>
                  <w:pPr>
                    <w:pStyle w:val="Compact"/>
                    <w:jc w:val="center"/>
                    <w:jc w:val="center"/>
                  </w:pPr>
                  <w:r>
                    <w:t xml:space="preserve">0.53</w:t>
                  </w:r>
                </w:p>
              </w:tc>
              <w:tc>
                <w:tcPr/>
                <w:p>
                  <w:pPr>
                    <w:pStyle w:val="Compact"/>
                    <w:jc w:val="center"/>
                    <w:jc w:val="center"/>
                  </w:pPr>
                  <w:r>
                    <w:t xml:space="preserve">0.55</w:t>
                  </w:r>
                </w:p>
              </w:tc>
              <w:tc>
                <w:tcPr/>
                <w:p>
                  <w:pPr>
                    <w:pStyle w:val="Compact"/>
                    <w:jc w:val="center"/>
                    <w:jc w:val="center"/>
                  </w:pPr>
                  <w:r>
                    <w:t xml:space="preserve">0.63</w:t>
                  </w:r>
                </w:p>
              </w:tc>
              <w:tc>
                <w:tcPr/>
                <w:p>
                  <w:pPr>
                    <w:pStyle w:val="Compact"/>
                    <w:jc w:val="center"/>
                    <w:jc w:val="center"/>
                  </w:pPr>
                  <w:r>
                    <w:t xml:space="preserve">0.45</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33: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 Bernoulli columns are also addressable under their original names.</w:t>
            </w:r>
          </w:p>
          <w:bookmarkEnd w:id="167"/>
        </w:tc>
      </w:tr>
    </w:tbl>
    <w:bookmarkEnd w:id="168"/>
    <w:bookmarkStart w:id="169" w:name="interpretation-7"/>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33</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Implications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33</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S1.9.3</w:t>
      </w:r>
      <w:r>
        <w:t xml:space="preserve">). The SBM therefore supports the Aur-P1 partition under every encoding and withholds support in Aur-P2, matching the bootstrap pattern in which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169"/>
    <w:bookmarkEnd w:id="170"/>
    <w:bookmarkEnd w:id="171"/>
    <w:bookmarkStart w:id="179" w:name="sec-s10"/>
    <w:p>
      <w:pPr>
        <w:pStyle w:val="Heading1"/>
      </w:pPr>
      <w:r>
        <w:t xml:space="preserve">S1.10 Withheld-Data Validation</w:t>
      </w:r>
    </w:p>
    <w:bookmarkStart w:id="174" w:name="rationale-16"/>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11"/>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11"/>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11"/>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[20,21]</w:t>
      </w:r>
      <w:r>
        <w:t xml:space="preserve">. P-values from 100 dependent splits are reported as median p, proportion significant, and Brown’s method for dependent p-values</w:t>
      </w:r>
      <w:r>
        <w:t xml:space="preserve"> </w:t>
      </w:r>
      <w:r>
        <w:t xml:space="preserve">[22,23]</w:t>
      </w:r>
      <w:r>
        <w:t xml:space="preserve">, not Fisher’s method which assumes independence. Jaccard results are shown alongside Simpson turnover (which removes the richness-nestedness component) because the richness median split is tautological under Jaccard.</w:t>
      </w:r>
    </w:p>
    <w:tbl>
      <w:tblPr>
        <w:tblStyle w:val="Table"/>
        <w:tblW w:type="pct" w:w="5000"/>
        <w:tblLook w:firstRow="0" w:lastRow="0" w:firstColumn="0" w:lastColumn="0" w:noHBand="0" w:noVBand="0" w:val="0000"/>
        <w:jc w:val="start"/>
        <w:tblLayout w:type="fixed"/>
      </w:tblPr>
      <w:tblGrid>
        <w:gridCol w:w="7920"/>
      </w:tblGrid>
      <w:tr>
        <w:tc>
          <w:tcPr/>
          <w:bookmarkStart w:id="172" w:name="tbl-validation-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34: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172"/>
        </w:tc>
      </w:tr>
    </w:tbl>
    <w:bookmarkStart w:id="173" w:name="interpretation-8"/>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 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which independently show the contrast is recoverable from withheld data.</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Brown is an empirical approximation</w:t>
      </w:r>
      <w:r>
        <w:t xml:space="preserve"> </w:t>
      </w:r>
      <w:r>
        <w:t xml:space="preserve">[22,23 via Kost &amp; McDermott]</w:t>
      </w:r>
      <w:r>
        <w:t xml:space="preserve">; for Aur-P2 (5 usable sites) Brown (2.08e-10) is slightly anti-conservative vs. Fisher (6.58e-10),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3 (strategy C):</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Summary.</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173"/>
    <w:bookmarkEnd w:id="174"/>
    <w:bookmarkStart w:id="178" w:name="sec-s10-1"/>
    <w:p>
      <w:pPr>
        <w:pStyle w:val="Heading2"/>
      </w:pPr>
      <w:r>
        <w:t xml:space="preserve">S1.10.1 Richness-Preserving Nulls and Simpson Turnover</w:t>
      </w:r>
    </w:p>
    <w:bookmarkStart w:id="176" w:name="rationale-17"/>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this analysis answers:</w:t>
      </w:r>
      <w:r>
        <w:t xml:space="preserve"> </w:t>
      </w:r>
      <w:r>
        <w:t xml:space="preserve">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175"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35: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175"/>
        </w:tc>
      </w:tr>
    </w:tbl>
    <w:bookmarkEnd w:id="176"/>
    <w:bookmarkStart w:id="177" w:name="interpretation-9"/>
    <w:p>
      <w:pPr>
        <w:pStyle w:val="Heading3"/>
      </w:pPr>
      <w:r>
        <w:t xml:space="preserve">Interpretation</w:t>
      </w:r>
    </w:p>
    <w:p>
      <w:pPr>
        <w:pStyle w:val="FirstParagraph"/>
      </w:pPr>
      <w:r>
        <w:rPr>
          <w:bCs/>
          <w:b/>
        </w:rPr>
        <w:t xml:space="preserve">Question: is the pattern stronger than richness structure alone, and does any separation survive on turnover alone?</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S1.12.3</w:t>
      </w:r>
      <w:r>
        <w:t xml:space="preserve"> </w:t>
      </w:r>
      <w:r>
        <w:t xml:space="preserve">and the free-slope</w:t>
      </w:r>
      <w:r>
        <w:t xml:space="preserve"> </w:t>
      </w:r>
      <w:r>
        <w:t xml:space="preserve">Section S1.12.4</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177"/>
    <w:bookmarkEnd w:id="178"/>
    <w:bookmarkEnd w:id="179"/>
    <w:bookmarkStart w:id="196" w:name="sec-s11"/>
    <w:p>
      <w:pPr>
        <w:pStyle w:val="Heading1"/>
      </w:pPr>
      <w:r>
        <w:t xml:space="preserve">S1.11 Community Description</w:t>
      </w:r>
    </w:p>
    <w:p>
      <w:pPr>
        <w:pStyle w:val="FirstParagraph"/>
      </w:pPr>
      <w:r>
        <w:t xml:space="preserve">The PerMANOVA results in</w:t>
      </w:r>
      <w:r>
        <w:t xml:space="preserve"> </w:t>
      </w:r>
      <w:r>
        <w:t xml:space="preserve">Section S1.6.5</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w:t>
      </w:r>
    </w:p>
    <w:bookmarkStart w:id="185" w:name="sec-s11-1"/>
    <w:p>
      <w:pPr>
        <w:pStyle w:val="Heading2"/>
      </w:pPr>
      <w:r>
        <w:t xml:space="preserve">S1.11.1 Community Membership</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A reviewer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180"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36: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180"/>
        </w:tc>
      </w:tr>
    </w:tbl>
    <w:tbl>
      <w:tblPr>
        <w:tblStyle w:val="Table"/>
        <w:tblW w:type="pct" w:w="5000"/>
        <w:tblLook w:firstRow="0" w:lastRow="0" w:firstColumn="0" w:lastColumn="0" w:noHBand="0" w:noVBand="0" w:val="0000"/>
        <w:jc w:val="start"/>
        <w:tblLayout w:type="fixed"/>
      </w:tblPr>
      <w:tblGrid>
        <w:gridCol w:w="7920"/>
      </w:tblGrid>
      <w:tr>
        <w:tc>
          <w:tcPr/>
          <w:bookmarkStart w:id="184" w:name="fig-comembership-heatmap"/>
          <w:p>
            <w:pPr>
              <w:pStyle w:val="Compact"/>
              <w:jc w:val="center"/>
            </w:pPr>
            <w:r>
              <w:drawing>
                <wp:inline>
                  <wp:extent cx="5943600" cy="5943600"/>
                  <wp:effectExtent b="0" l="0" r="0" t="0"/>
                  <wp:docPr descr="" title="" id="182" name="Picture"/>
                  <a:graphic>
                    <a:graphicData uri="http://schemas.openxmlformats.org/drawingml/2006/picture">
                      <pic:pic>
                        <pic:nvPicPr>
                          <pic:cNvPr descr="../figures/comembership-heatmap.png" id="183" name="Picture"/>
                          <pic:cNvPicPr>
                            <a:picLocks noChangeArrowheads="1" noChangeAspect="1"/>
                          </pic:cNvPicPr>
                        </pic:nvPicPr>
                        <pic:blipFill>
                          <a:blip r:embed="rId181"/>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184"/>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7</w:t>
        </w:r>
      </w:hyperlink>
      <w:r>
        <w:t xml:space="preserve"> </w:t>
      </w:r>
      <w:r>
        <w:t xml:space="preserve">quantify which of these co-memberships survive resampling.</w:t>
      </w:r>
    </w:p>
    <w:bookmarkEnd w:id="185"/>
    <w:bookmarkStart w:id="187" w:name="sec-s11-2"/>
    <w:p>
      <w:pPr>
        <w:pStyle w:val="Heading2"/>
      </w:pPr>
      <w:r>
        <w:t xml:space="preserve">S1.11.2 Sign-Type Profiles</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186"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37: Sign-type composition of Louvain communities at threshold 0.2. Values show the proportion of sites within each community that have at least one object bearing the sign type. Only sign types present in ≥10% of sites in at least one community are shown.</w:t>
            </w:r>
          </w:p>
          <w:bookmarkEnd w:id="186"/>
        </w:tc>
      </w:tr>
    </w:tbl>
    <w:bookmarkEnd w:id="187"/>
    <w:bookmarkStart w:id="192" w:name="sec-s11-3"/>
    <w:p>
      <w:pPr>
        <w:pStyle w:val="Heading2"/>
      </w:pPr>
      <w:r>
        <w:t xml:space="preserve">S1.11.3 Geographic Distribution</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191" w:name="fig-community-maps"/>
          <w:p>
            <w:pPr>
              <w:pStyle w:val="Compact"/>
              <w:jc w:val="center"/>
            </w:pPr>
            <w:r>
              <w:drawing>
                <wp:inline>
                  <wp:extent cx="5943600" cy="4622800"/>
                  <wp:effectExtent b="0" l="0" r="0" t="0"/>
                  <wp:docPr descr="" title="" id="189" name="Picture"/>
                  <a:graphic>
                    <a:graphicData uri="http://schemas.openxmlformats.org/drawingml/2006/picture">
                      <pic:pic>
                        <pic:nvPicPr>
                          <pic:cNvPr descr="../figures/community-maps.png" id="190" name="Picture"/>
                          <pic:cNvPicPr>
                            <a:picLocks noChangeArrowheads="1" noChangeAspect="1"/>
                          </pic:cNvPicPr>
                        </pic:nvPicPr>
                        <pic:blipFill>
                          <a:blip r:embed="rId188"/>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191"/>
        </w:tc>
      </w:tr>
    </w:tbl>
    <w:bookmarkEnd w:id="192"/>
    <w:bookmarkStart w:id="194" w:name="sec-s11-4"/>
    <w:p>
      <w:pPr>
        <w:pStyle w:val="Heading2"/>
      </w:pPr>
      <w:r>
        <w:t xml:space="preserve">S1.11.4 Cross-Algorithm Comparison</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193"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S 38: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193"/>
        </w:tc>
      </w:tr>
    </w:tbl>
    <w:bookmarkEnd w:id="194"/>
    <w:bookmarkStart w:id="195" w:name="sec-s11-5"/>
    <w:p>
      <w:pPr>
        <w:pStyle w:val="Heading2"/>
      </w:pPr>
      <w:r>
        <w:t xml:space="preserve">S1.11.5 Interpretation</w:t>
      </w:r>
    </w:p>
    <w:p>
      <w:pPr>
        <w:pStyle w:val="FirstParagraph"/>
      </w:pP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36</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 The geographic map (</w:t>
      </w:r>
      <w:hyperlink w:anchor="fig-community-maps">
        <w:r>
          <w:rPr>
            <w:rStyle w:val="Hyperlink"/>
          </w:rPr>
          <w:t xml:space="preserve">Figure S 10</w:t>
        </w:r>
      </w:hyperlink>
      <w:r>
        <w:t xml:space="preserve">, Aur-P1 facet) shows that Community 2 spans the broadest geographic range, while the smaller communities are more spatially clustered.</w:t>
      </w:r>
    </w:p>
    <w:p>
      <w:pPr>
        <w:pStyle w:val="BodyText"/>
      </w:pPr>
      <w:r>
        <w:rPr>
          <w:bCs/>
          <w:b/>
        </w:rPr>
        <w:t xml:space="preserve">Community structure in Aur-P2.</w:t>
      </w:r>
      <w:r>
        <w:t xml:space="preserve"> </w:t>
      </w:r>
      <w:r>
        <w:t xml:space="preserve">Aur-P2 resolves into 3 Louvain communities (</w:t>
      </w:r>
      <w:hyperlink w:anchor="tbl-community-membership">
        <w:r>
          <w:rPr>
            <w:rStyle w:val="Hyperlink"/>
          </w:rPr>
          <w:t xml:space="preserve">Table S 36</w:t>
        </w:r>
      </w:hyperlink>
      <w:r>
        <w:t xml:space="preserve">). With only 9 sites total, the communities are small (1–3 sites each), and the PerMANOVA significance (</w:t>
      </w:r>
      <w:r>
        <w:t xml:space="preserve">Section S1.6.5</w:t>
      </w:r>
      <w:r>
        <w:t xml:space="preserve">) likely reflects strong pairwise similarities among a few sites rather than robust multi-site clusters. The geographic map (</w:t>
      </w:r>
      <w:hyperlink w:anchor="fig-community-maps">
        <w:r>
          <w:rPr>
            <w:rStyle w:val="Hyperlink"/>
          </w:rPr>
          <w:t xml:space="preserve">Figure S 10</w:t>
        </w:r>
      </w:hyperlink>
      <w:r>
        <w:t xml:space="preserve">, Aur-P2 facet) shows limited spatial coherence, consistent with the non-significant null-benchmarked modularity (</w:t>
      </w:r>
      <w:r>
        <w:t xml:space="preserve">Section S1.7.1</w:t>
      </w:r>
      <w:r>
        <w:t xml:space="preserve">).</w:t>
      </w:r>
    </w:p>
    <w:p>
      <w:pPr>
        <w:pStyle w:val="BodyText"/>
      </w:pPr>
      <w:r>
        <w:rPr>
          <w:bCs/>
          <w:b/>
        </w:rPr>
        <w:t xml:space="preserve">Cross-algorithm consistency.</w:t>
      </w:r>
      <w:r>
        <w:t xml:space="preserve"> </w:t>
      </w:r>
      <w:hyperlink w:anchor="tbl-cross-algorithm-agreement">
        <w:r>
          <w:rPr>
            <w:rStyle w:val="Hyperlink"/>
          </w:rPr>
          <w:t xml:space="preserve">Table S 38</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Sign-type differentiation.</w:t>
      </w:r>
      <w:r>
        <w:t xml:space="preserve"> </w:t>
      </w:r>
      <w:hyperlink w:anchor="tbl-community-composition">
        <w:r>
          <w:rPr>
            <w:rStyle w:val="Hyperlink"/>
          </w:rPr>
          <w:t xml:space="preserve">Table S 37</w:t>
        </w:r>
      </w:hyperlink>
      <w:r>
        <w:t xml:space="preserve"> </w:t>
      </w:r>
      <w:r>
        <w:t xml:space="preserve">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Implications.</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195"/>
    <w:bookmarkEnd w:id="196"/>
    <w:bookmarkStart w:id="253" w:name="sec-s12"/>
    <w:p>
      <w:pPr>
        <w:pStyle w:val="Heading1"/>
      </w:pPr>
      <w:r>
        <w:t xml:space="preserve">S1.12 Object Types and Sampling Intensity</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S1.10.1</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six specific questions:</w:t>
      </w:r>
    </w:p>
    <w:p>
      <w:pPr>
        <w:numPr>
          <w:ilvl w:val="0"/>
          <w:numId w:val="1012"/>
        </w:numPr>
        <w:pStyle w:val="Compact"/>
      </w:pPr>
      <w:r>
        <w:rPr>
          <w:bCs/>
          <w:b/>
        </w:rPr>
        <w:t xml:space="preserve">(</w:t>
      </w:r>
      <w:r>
        <w:rPr>
          <w:bCs/>
          <w:b/>
        </w:rPr>
        <w:t xml:space="preserve">Section S1.12.2</w:t>
      </w:r>
      <w:r>
        <w:rPr>
          <w:bCs/>
          <w:b/>
        </w:rPr>
        <w:t xml:space="preserve">)</w:t>
      </w:r>
      <w:r>
        <w:t xml:space="preserve"> </w:t>
      </w:r>
      <w:r>
        <w:t xml:space="preserve">When objects are resampled to a common count and the network and Louvain partition are re-derived, how often does each site keep its original R/B assignment, and how stable is the community structure?</w:t>
      </w:r>
    </w:p>
    <w:p>
      <w:pPr>
        <w:numPr>
          <w:ilvl w:val="0"/>
          <w:numId w:val="1012"/>
        </w:numPr>
        <w:pStyle w:val="Compact"/>
      </w:pPr>
      <w:r>
        <w:rPr>
          <w:bCs/>
          <w:b/>
        </w:rPr>
        <w:t xml:space="preserve">(</w:t>
      </w:r>
      <w:r>
        <w:rPr>
          <w:bCs/>
          <w:b/>
        </w:rPr>
        <w:t xml:space="preserve">Section S1.12.3</w:t>
      </w:r>
      <w:r>
        <w:rPr>
          <w:bCs/>
          <w:b/>
        </w:rPr>
        <w:t xml:space="preserve">)</w:t>
      </w:r>
      <w:r>
        <w:t xml:space="preserve"> </w:t>
      </w:r>
      <w:r>
        <w:t xml:space="preserve">At equal</w:t>
      </w:r>
      <w:r>
        <w:t xml:space="preserve"> </w:t>
      </w:r>
      <w:r>
        <w:rPr>
          <w:iCs/>
          <w:i/>
        </w:rPr>
        <w:t xml:space="preserve">sample coverage</w:t>
      </w:r>
      <w:r>
        <w:t xml:space="preserve"> </w:t>
      </w:r>
      <w:r>
        <w:t xml:space="preserve">(rather than equal object count), do restricted and broad sites still differ in sign-type richness?</w:t>
      </w:r>
    </w:p>
    <w:p>
      <w:pPr>
        <w:numPr>
          <w:ilvl w:val="0"/>
          <w:numId w:val="1012"/>
        </w:numPr>
        <w:pStyle w:val="Compact"/>
      </w:pPr>
      <w:r>
        <w:rPr>
          <w:bCs/>
          <w:b/>
        </w:rPr>
        <w:t xml:space="preserve">(</w:t>
      </w:r>
      <w:r>
        <w:rPr>
          <w:bCs/>
          <w:b/>
        </w:rPr>
        <w:t xml:space="preserve">Section S1.12.4</w:t>
      </w:r>
      <w:r>
        <w:rPr>
          <w:bCs/>
          <w:b/>
        </w:rPr>
        <w:t xml:space="preserve">)</w:t>
      </w:r>
      <w:r>
        <w:t xml:space="preserve"> </w:t>
      </w:r>
      <w:r>
        <w:t xml:space="preserve">Does the group effect on sign-type richness survive after statistically accounting for object count (sampling effort), with the richness-effort exponent estimated rather than fixed?</w:t>
      </w:r>
    </w:p>
    <w:p>
      <w:pPr>
        <w:numPr>
          <w:ilvl w:val="0"/>
          <w:numId w:val="1012"/>
        </w:numPr>
        <w:pStyle w:val="Compact"/>
      </w:pPr>
      <w:r>
        <w:rPr>
          <w:bCs/>
          <w:b/>
        </w:rPr>
        <w:t xml:space="preserve">(</w:t>
      </w:r>
      <w:r>
        <w:rPr>
          <w:bCs/>
          <w:b/>
        </w:rPr>
        <w:t xml:space="preserve">Section S1.12.5</w:t>
      </w:r>
      <w:r>
        <w:rPr>
          <w:bCs/>
          <w:b/>
        </w:rPr>
        <w:t xml:space="preserve">)</w:t>
      </w:r>
      <w:r>
        <w:t xml:space="preserve"> </w:t>
      </w:r>
      <w:r>
        <w:t xml:space="preserve">At equal effort with</w:t>
      </w:r>
      <w:r>
        <w:t xml:space="preserve"> </w:t>
      </w:r>
      <w:r>
        <w:rPr>
          <w:rStyle w:val="VerbatimChar"/>
        </w:rPr>
        <w:t xml:space="preserve">iNEXT</w:t>
      </w:r>
      <w:r>
        <w:t xml:space="preserve"> </w:t>
      </w:r>
      <w:r>
        <w:t xml:space="preserve">(incidence_freq), does the Aur-P1 vs Aur-P2 sign-type pool (26 vs 15) remain larger, or is it not distinguishable from sampling variation at 63 objects, including when restricted to object types present in both phases?</w:t>
      </w:r>
    </w:p>
    <w:p>
      <w:pPr>
        <w:numPr>
          <w:ilvl w:val="0"/>
          <w:numId w:val="1012"/>
        </w:numPr>
        <w:pStyle w:val="Compact"/>
      </w:pPr>
      <w:r>
        <w:rPr>
          <w:bCs/>
          <w:b/>
        </w:rPr>
        <w:t xml:space="preserve">(</w:t>
      </w:r>
      <w:r>
        <w:rPr>
          <w:bCs/>
          <w:b/>
        </w:rPr>
        <w:t xml:space="preserve">Section S1.12.7</w:t>
      </w:r>
      <w:r>
        <w:rPr>
          <w:bCs/>
          <w:b/>
        </w:rPr>
        <w:t xml:space="preserve">)</w:t>
      </w:r>
      <w:r>
        <w:t xml:space="preserve"> </w:t>
      </w:r>
      <w:r>
        <w:t xml:space="preserve">Taken together, is the R/B division independent of sampling intensity, and if not, what limitation must be stated?</w:t>
      </w:r>
    </w:p>
    <w:p>
      <w:pPr>
        <w:numPr>
          <w:ilvl w:val="0"/>
          <w:numId w:val="1012"/>
        </w:numPr>
        <w:pStyle w:val="Compact"/>
      </w:pPr>
      <w:r>
        <w:rPr>
          <w:bCs/>
          <w:b/>
        </w:rPr>
        <w:t xml:space="preserve">(</w:t>
      </w:r>
      <w:r>
        <w:rPr>
          <w:bCs/>
          <w:b/>
        </w:rPr>
        <w:t xml:space="preserve">Section S1.10.1</w:t>
      </w:r>
      <w:r>
        <w:rPr>
          <w:bCs/>
          <w:b/>
        </w:rPr>
        <w:t xml:space="preserve">)</w:t>
      </w:r>
      <w:r>
        <w:t xml:space="preserve"> </w:t>
      </w:r>
      <w:r>
        <w:t xml:space="preserve">Does the restricted/broad pattern survive richness-preserving nulls, and does the manual-group PerMANOVA hold on Simpson turnover dissimilarity, which removes the nestedness component of Jaccard?</w:t>
      </w:r>
    </w:p>
    <w:bookmarkStart w:id="204" w:name="sec-s12-1"/>
    <w:p>
      <w:pPr>
        <w:pStyle w:val="Heading2"/>
      </w:pPr>
      <w:r>
        <w:t xml:space="preserve">S1.12.1 Object-count distribution and feasible common counts</w:t>
      </w:r>
    </w:p>
    <w:bookmarkStart w:id="202" w:name="rationale-18"/>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tbl>
      <w:tblPr>
        <w:tblStyle w:val="Table"/>
        <w:tblW w:type="pct" w:w="5000"/>
        <w:tblLook w:firstRow="0" w:lastRow="0" w:firstColumn="0" w:lastColumn="0" w:noHBand="0" w:noVBand="0" w:val="0000"/>
        <w:jc w:val="start"/>
        <w:tblLayout w:type="fixed"/>
      </w:tblPr>
      <w:tblGrid>
        <w:gridCol w:w="7920"/>
      </w:tblGrid>
      <w:tr>
        <w:tc>
          <w:tcPr/>
          <w:bookmarkStart w:id="197"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39: Per-site object counts by phase and manual restricted(1)/broad(2) group.</w:t>
            </w:r>
          </w:p>
          <w:bookmarkEnd w:id="197"/>
        </w:tc>
      </w:tr>
    </w:tbl>
    <w:tbl>
      <w:tblPr>
        <w:tblStyle w:val="Table"/>
        <w:tblW w:type="pct" w:w="5000"/>
        <w:tblLook w:firstRow="0" w:lastRow="0" w:firstColumn="0" w:lastColumn="0" w:noHBand="0" w:noVBand="0" w:val="0000"/>
        <w:jc w:val="start"/>
        <w:tblLayout w:type="fixed"/>
      </w:tblPr>
      <w:tblGrid>
        <w:gridCol w:w="7920"/>
      </w:tblGrid>
      <w:tr>
        <w:tc>
          <w:tcPr/>
          <w:bookmarkStart w:id="201" w:name="fig-objhist"/>
          <w:p>
            <w:pPr>
              <w:pStyle w:val="Compact"/>
              <w:jc w:val="center"/>
            </w:pPr>
            <w:r>
              <w:drawing>
                <wp:inline>
                  <wp:extent cx="5943600" cy="2971800"/>
                  <wp:effectExtent b="0" l="0" r="0" t="0"/>
                  <wp:docPr descr="" title="" id="199" name="Picture"/>
                  <a:graphic>
                    <a:graphicData uri="http://schemas.openxmlformats.org/drawingml/2006/picture">
                      <pic:pic>
                        <pic:nvPicPr>
                          <pic:cNvPr descr="S1-supplement-sensitivity_files/figure-docx/fig-objhist-1.png" id="200" name="Picture"/>
                          <pic:cNvPicPr>
                            <a:picLocks noChangeArrowheads="1" noChangeAspect="1"/>
                          </pic:cNvPicPr>
                        </pic:nvPicPr>
                        <pic:blipFill>
                          <a:blip r:embed="rId198"/>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Distribution of object counts per site by phase. Most sites contribute few objects; a small number of large assemblages (e.g. Vogelherd) dominate the upper tail.</w:t>
            </w:r>
          </w:p>
          <w:bookmarkEnd w:id="201"/>
        </w:tc>
      </w:tr>
    </w:tbl>
    <w:bookmarkEnd w:id="202"/>
    <w:bookmarkStart w:id="203" w:name="interpretation-10"/>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03"/>
    <w:bookmarkEnd w:id="204"/>
    <w:bookmarkStart w:id="213" w:name="sec-s12-2"/>
    <w:p>
      <w:pPr>
        <w:pStyle w:val="Heading2"/>
      </w:pPr>
      <w:r>
        <w:t xml:space="preserve">S1.12.2 Object-level downsampling sensitivity</w:t>
      </w:r>
    </w:p>
    <w:bookmarkStart w:id="211" w:name="rationale-19"/>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S1.6.1</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this analysis answers:</w:t>
      </w:r>
      <w:r>
        <w:t xml:space="preserve"> </w:t>
      </w:r>
      <w:r>
        <w:t xml:space="preserve">when the R/B assignment is re-derived from object-downsampled data, how often does each site keep its group,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05"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40: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0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06"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41: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06"/>
        </w:tc>
      </w:tr>
    </w:tbl>
    <w:tbl>
      <w:tblPr>
        <w:tblStyle w:val="Table"/>
        <w:tblW w:type="pct" w:w="5000"/>
        <w:tblLook w:firstRow="0" w:lastRow="0" w:firstColumn="0" w:lastColumn="0" w:noHBand="0" w:noVBand="0" w:val="0000"/>
        <w:jc w:val="start"/>
        <w:tblLayout w:type="fixed"/>
      </w:tblPr>
      <w:tblGrid>
        <w:gridCol w:w="7920"/>
      </w:tblGrid>
      <w:tr>
        <w:tc>
          <w:tcPr/>
          <w:bookmarkStart w:id="210" w:name="fig-retention"/>
          <w:p>
            <w:pPr>
              <w:pStyle w:val="Compact"/>
              <w:jc w:val="center"/>
            </w:pPr>
            <w:r>
              <w:drawing>
                <wp:inline>
                  <wp:extent cx="5943600" cy="5943600"/>
                  <wp:effectExtent b="0" l="0" r="0" t="0"/>
                  <wp:docPr descr="" title="" id="208" name="Picture"/>
                  <a:graphic>
                    <a:graphicData uri="http://schemas.openxmlformats.org/drawingml/2006/picture">
                      <pic:pic>
                        <pic:nvPicPr>
                          <pic:cNvPr descr="S1-supplement-sensitivity_files/figure-docx/fig-retention-1.png" id="209" name="Picture"/>
                          <pic:cNvPicPr>
                            <a:picLocks noChangeArrowheads="1" noChangeAspect="1"/>
                          </pic:cNvPicPr>
                        </pic:nvPicPr>
                        <pic:blipFill>
                          <a:blip r:embed="rId207"/>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10"/>
        </w:tc>
      </w:tr>
    </w:tbl>
    <w:bookmarkEnd w:id="211"/>
    <w:bookmarkStart w:id="212" w:name="interpretation-11"/>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12"/>
    <w:bookmarkEnd w:id="213"/>
    <w:bookmarkStart w:id="221" w:name="sec-s12-3"/>
    <w:p>
      <w:pPr>
        <w:pStyle w:val="Heading2"/>
      </w:pPr>
      <w:r>
        <w:t xml:space="preserve">S1.12.3 Coverage-based rarefaction</w:t>
      </w:r>
    </w:p>
    <w:bookmarkStart w:id="219" w:name="rationale-20"/>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[24,25]</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[26]</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this analysis answers:</w:t>
      </w:r>
      <w:r>
        <w:t xml:space="preserve"> </w:t>
      </w:r>
      <w:r>
        <w:t xml:space="preserve">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14"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42: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14"/>
        </w:tc>
      </w:tr>
    </w:tbl>
    <w:tbl>
      <w:tblPr>
        <w:tblStyle w:val="Table"/>
        <w:tblW w:type="pct" w:w="5000"/>
        <w:tblLook w:firstRow="0" w:lastRow="0" w:firstColumn="0" w:lastColumn="0" w:noHBand="0" w:noVBand="0" w:val="0000"/>
        <w:jc w:val="start"/>
        <w:tblLayout w:type="fixed"/>
      </w:tblPr>
      <w:tblGrid>
        <w:gridCol w:w="7920"/>
      </w:tblGrid>
      <w:tr>
        <w:tc>
          <w:tcPr/>
          <w:bookmarkStart w:id="218" w:name="fig-rarefaction"/>
          <w:p>
            <w:pPr>
              <w:pStyle w:val="Compact"/>
              <w:jc w:val="center"/>
            </w:pPr>
            <w:r>
              <w:drawing>
                <wp:inline>
                  <wp:extent cx="5943600" cy="3396342"/>
                  <wp:effectExtent b="0" l="0" r="0" t="0"/>
                  <wp:docPr descr="" title="" id="216" name="Picture"/>
                  <a:graphic>
                    <a:graphicData uri="http://schemas.openxmlformats.org/drawingml/2006/picture">
                      <pic:pic>
                        <pic:nvPicPr>
                          <pic:cNvPr descr="S1-supplement-sensitivity_files/figure-docx/fig-rarefaction-1.png" id="217" name="Picture"/>
                          <pic:cNvPicPr>
                            <a:picLocks noChangeArrowheads="1" noChangeAspect="1"/>
                          </pic:cNvPicPr>
                        </pic:nvPicPr>
                        <pic:blipFill>
                          <a:blip r:embed="rId215"/>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Sign-type richness estimated at target coverage = 0.9 with 95% confidence intervals, by manual group, for sites that reach that coverage. Restricted sites (green) that attain high coverage remain low-richness; broad sites (red) remain high-richness.</w:t>
            </w:r>
          </w:p>
          <w:bookmarkEnd w:id="218"/>
        </w:tc>
      </w:tr>
    </w:tbl>
    <w:bookmarkEnd w:id="219"/>
    <w:bookmarkStart w:id="220" w:name="interpretation-12"/>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S1.12.2</w:t>
      </w:r>
      <w:r>
        <w:t xml:space="preserve">, approached from the richness axis.</w:t>
      </w:r>
    </w:p>
    <w:bookmarkEnd w:id="220"/>
    <w:bookmarkEnd w:id="221"/>
    <w:bookmarkStart w:id="225" w:name="sec-s12-4"/>
    <w:p>
      <w:pPr>
        <w:pStyle w:val="Heading2"/>
      </w:pPr>
      <w:r>
        <w:t xml:space="preserve">S1.12.4 Negative-binomial regression with object-count covariate</w:t>
      </w:r>
    </w:p>
    <w:bookmarkStart w:id="223" w:name="rationale-21"/>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[25]</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[27]</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this analysis answers:</w:t>
      </w:r>
      <w:r>
        <w:t xml:space="preserve"> </w:t>
      </w:r>
      <w:r>
        <w:t xml:space="preserve">does the group effect on sign-type richness survive after accounting for sampling effort (object count)?</w:t>
      </w:r>
    </w:p>
    <w:tbl>
      <w:tblPr>
        <w:tblStyle w:val="Table"/>
        <w:tblW w:type="pct" w:w="5000"/>
        <w:tblLook w:firstRow="0" w:lastRow="0" w:firstColumn="0" w:lastColumn="0" w:noHBand="0" w:noVBand="0" w:val="0000"/>
        <w:jc w:val="start"/>
        <w:tblLayout w:type="fixed"/>
      </w:tblPr>
      <w:tblGrid>
        <w:gridCol w:w="7920"/>
      </w:tblGrid>
      <w:tr>
        <w:tc>
          <w:tcPr/>
          <w:bookmarkStart w:id="222"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43: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22"/>
        </w:tc>
      </w:tr>
    </w:tbl>
    <w:bookmarkEnd w:id="223"/>
    <w:bookmarkStart w:id="224" w:name="interpretation-13"/>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S1.12.3</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24"/>
    <w:bookmarkEnd w:id="225"/>
    <w:bookmarkStart w:id="233" w:name="sec-s12-5"/>
    <w:p>
      <w:pPr>
        <w:pStyle w:val="Heading2"/>
      </w:pPr>
      <w:r>
        <w:t xml:space="preserve">S1.12.5 Equal-effort pool comparison (iNEXT)</w:t>
      </w:r>
    </w:p>
    <w:bookmarkStart w:id="231" w:name="rationale-22"/>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[24,26]</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this analysis answers:</w:t>
      </w:r>
      <w:r>
        <w:t xml:space="preserve"> </w:t>
      </w:r>
      <w:r>
        <w:t xml:space="preserve">at equal object count or equal coverage, does the Aur-P1 pool remain larger than the Aur-P2 pool, or is the raw 26 vs 15 difference not distinguishable from sampling variation?</w:t>
      </w:r>
    </w:p>
    <w:tbl>
      <w:tblPr>
        <w:tblStyle w:val="Table"/>
        <w:tblW w:type="pct" w:w="5000"/>
        <w:tblLook w:firstRow="0" w:lastRow="0" w:firstColumn="0" w:lastColumn="0" w:noHBand="0" w:noVBand="0" w:val="0000"/>
        <w:jc w:val="start"/>
        <w:tblLayout w:type="fixed"/>
      </w:tblPr>
      <w:tblGrid>
        <w:gridCol w:w="7920"/>
      </w:tblGrid>
      <w:tr>
        <w:tc>
          <w:tcPr/>
          <w:bookmarkStart w:id="226"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S 44: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26"/>
        </w:tc>
      </w:tr>
    </w:tbl>
    <w:tbl>
      <w:tblPr>
        <w:tblStyle w:val="Table"/>
        <w:tblW w:type="pct" w:w="5000"/>
        <w:tblLook w:firstRow="0" w:lastRow="0" w:firstColumn="0" w:lastColumn="0" w:noHBand="0" w:noVBand="0" w:val="0000"/>
        <w:jc w:val="start"/>
        <w:tblLayout w:type="fixed"/>
      </w:tblPr>
      <w:tblGrid>
        <w:gridCol w:w="7920"/>
      </w:tblGrid>
      <w:tr>
        <w:tc>
          <w:tcPr/>
          <w:bookmarkStart w:id="230" w:name="fig-pool-inext"/>
          <w:p>
            <w:pPr>
              <w:pStyle w:val="Compact"/>
              <w:jc w:val="center"/>
            </w:pPr>
            <w:r>
              <w:drawing>
                <wp:inline>
                  <wp:extent cx="5943600" cy="3566160"/>
                  <wp:effectExtent b="0" l="0" r="0" t="0"/>
                  <wp:docPr descr="" title="" id="228" name="Picture"/>
                  <a:graphic>
                    <a:graphicData uri="http://schemas.openxmlformats.org/drawingml/2006/picture">
                      <pic:pic>
                        <pic:nvPicPr>
                          <pic:cNvPr descr="S1-supplement-sensitivity_files/figure-docx/fig-pool-inext-1.png" id="229" name="Picture"/>
                          <pic:cNvPicPr>
                            <a:picLocks noChangeArrowheads="1" noChangeAspect="1"/>
                          </pic:cNvPicPr>
                        </pic:nvPicPr>
                        <pic:blipFill>
                          <a:blip r:embed="rId227"/>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14: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30"/>
        </w:tc>
      </w:tr>
    </w:tbl>
    <w:bookmarkEnd w:id="231"/>
    <w:bookmarkStart w:id="232" w:name="interpretation-14"/>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 The diversity-pool paragraphs in the Discussion and Conclusion that call this the most robust finding should be rewritten to the not distinguishable from form and the sample-difference caveat stated.</w:t>
      </w:r>
    </w:p>
    <w:bookmarkEnd w:id="232"/>
    <w:bookmarkEnd w:id="233"/>
    <w:bookmarkStart w:id="251" w:name="sec-s12-6"/>
    <w:p>
      <w:pPr>
        <w:pStyle w:val="Heading2"/>
      </w:pPr>
      <w:r>
        <w:t xml:space="preserve">S1.12.6 Figurine Exclusion</w:t>
      </w:r>
    </w:p>
    <w:bookmarkStart w:id="234" w:name="rationale-23"/>
    <w:p>
      <w:pPr>
        <w:pStyle w:val="Heading3"/>
      </w:pPr>
      <w:r>
        <w:t xml:space="preserve">Rationale</w:t>
      </w:r>
    </w:p>
    <w:p>
      <w:pPr>
        <w:pStyle w:val="FirstParagraph"/>
      </w:pPr>
      <w:r>
        <w:t xml:space="preserve">[28]</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234"/>
    <w:bookmarkStart w:id="236" w:name="figurine-distribution-in-the-dataset"/>
    <w:p>
      <w:pPr>
        <w:pStyle w:val="Heading3"/>
      </w:pPr>
      <w: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35"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45: Distribution of figurine objects across phases and sites. Figurine types include figurine zoomorph, figurine anthropomorph, figurine undet., and possible figurine.</w:t>
            </w:r>
          </w:p>
          <w:bookmarkEnd w:id="235"/>
        </w:tc>
      </w:tr>
    </w:tbl>
    <w:p>
      <w:pPr>
        <w:pStyle w:val="BodyText"/>
      </w:pPr>
      <w:hyperlink w:anchor="tbl-figurine-count">
        <w:r>
          <w:rPr>
            <w:rStyle w:val="Hyperlink"/>
          </w:rPr>
          <w:t xml:space="preserve">Table S 45</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bookmarkEnd w:id="236"/>
    <w:bookmarkStart w:id="237" w:name="analysis-1-exclude-all-figurines"/>
    <w:p>
      <w:pPr>
        <w:pStyle w:val="Heading3"/>
      </w:pPr>
      <w:r>
        <w:t xml:space="preserve">Analysis 1: Exclude All Figurines</w:t>
      </w:r>
    </w:p>
    <w:bookmarkEnd w:id="237"/>
    <w:bookmarkStart w:id="240"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38"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46: Network statistics before and after excluding all figurine objects (figurine zoomorph, figurine anthropomorph, figurine undet., and possible figurine). Threshold = 0.2, Jaccard similarity.</w:t>
            </w:r>
          </w:p>
          <w:bookmarkEnd w:id="23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39"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47: Number of sites per phase before and after figurine exclusion. Sites are lost when all objects at that site are figurines.</w:t>
            </w:r>
          </w:p>
          <w:bookmarkEnd w:id="239"/>
        </w:tc>
      </w:tr>
    </w:tbl>
    <w:bookmarkEnd w:id="240"/>
    <w:bookmarkStart w:id="241" w:name="interpretation-15"/>
    <w:p>
      <w:pPr>
        <w:pStyle w:val="Heading3"/>
      </w:pPr>
      <w:r>
        <w:t xml:space="preserve">Interpretation</w:t>
      </w:r>
    </w:p>
    <w:p>
      <w:pPr>
        <w:pStyle w:val="FirstParagraph"/>
      </w:pP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bookmarkEnd w:id="241"/>
    <w:bookmarkStart w:id="242" w:name="Xc06319a9554f6ddf282b3cf388364ef3835d432"/>
    <w:p>
      <w:pPr>
        <w:pStyle w:val="Heading3"/>
      </w:pPr>
      <w:r>
        <w:t xml:space="preserve">Analysis 2: Exclude Vogelherd Figurines Only</w:t>
      </w:r>
    </w:p>
    <w:bookmarkEnd w:id="242"/>
    <w:bookmarkStart w:id="245"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43"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48: Network statistics before and after excluding figurines from Vogelherd only. All other figurines (Hohle Fels, Geissenklösterle, Hohlenstein-Stadel, La Ferrassie) are retained. Threshold = 0.2, Jaccard similarity.</w:t>
            </w:r>
          </w:p>
          <w:bookmarkEnd w:id="24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44"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49: Vogelherd object counts before and after removing figurines. Non-figurine objects at Vogelherd (tools, plaquettes, etc.) are retained.</w:t>
            </w:r>
          </w:p>
          <w:bookmarkEnd w:id="244"/>
        </w:tc>
      </w:tr>
    </w:tbl>
    <w:bookmarkEnd w:id="245"/>
    <w:bookmarkStart w:id="246" w:name="interpretation-16"/>
    <w:p>
      <w:pPr>
        <w:pStyle w:val="Heading3"/>
      </w:pPr>
      <w:r>
        <w:t xml:space="preserve">Interpretation</w:t>
      </w:r>
    </w:p>
    <w:p>
      <w:pPr>
        <w:pStyle w:val="FirstParagraph"/>
      </w:pP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bookmarkEnd w:id="246"/>
    <w:bookmarkStart w:id="248" w:name="joint-comparison"/>
    <w:p>
      <w:pPr>
        <w:pStyle w:val="Heading3"/>
      </w:pPr>
      <w: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47"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50: Side-by-side comparison of network statistics across all conditions: baseline (all objects), exclude all figurines, and exclude Vogelherd figurines only. The rightmost columns show the percentage change in mean degree from baseline.</w:t>
            </w:r>
          </w:p>
          <w:bookmarkEnd w:id="247"/>
        </w:tc>
      </w:tr>
    </w:tbl>
    <w:bookmarkEnd w:id="248"/>
    <w:bookmarkStart w:id="250" w:name="interpretation-17"/>
    <w:p>
      <w:pPr>
        <w:pStyle w:val="Heading3"/>
      </w:pPr>
      <w:r>
        <w:t xml:space="preserve">Interpretation</w:t>
      </w:r>
    </w:p>
    <w:p>
      <w:pPr>
        <w:pStyle w:val="FirstParagraph"/>
      </w:pPr>
      <w:r>
        <w:t xml:space="preserve">The joint comparison in</w:t>
      </w:r>
      <w:r>
        <w:t xml:space="preserve"> </w:t>
      </w:r>
      <w:hyperlink w:anchor="tbl-objtype-joint">
        <w:r>
          <w:rPr>
            <w:rStyle w:val="Hyperlink"/>
          </w:rPr>
          <w:t xml:space="preserve">Table S 50</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49"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51: Mean degree by figurine-exclusion condition, with percentage change from baseline. Reproduced directly from the joint comparison in</w:t>
            </w:r>
            <w:r>
              <w:t xml:space="preserve"> </w:t>
            </w:r>
            <w:hyperlink w:anchor="tbl-objtype-joint">
              <w:r>
                <w:rPr>
                  <w:rStyle w:val="Hyperlink"/>
                </w:rPr>
                <w:t xml:space="preserve">Table S 50</w:t>
              </w:r>
            </w:hyperlink>
            <w:r>
              <w:t xml:space="preserve">.</w:t>
            </w:r>
          </w:p>
          <w:bookmarkEnd w:id="249"/>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 &gt; 4.22) is unchanged under both exclusion scenarios (7.4 &gt; 4.22 excluding all figurines; 7.4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in Aur-P1) produces the same effect as removing all 63 figurines globally (-1.3%). Figurines at Hohle Fels (4, 4), Geissenklösterle (3), Hohlenstein-Stadel (1), and La Ferrassie (1)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[28]</w:t>
      </w:r>
      <w:r>
        <w:t xml:space="preserve"> </w:t>
      </w:r>
      <w:r>
        <w:t xml:space="preserve">argument that figurines carry high-information sign sequences, but the communities themselves are defined by shared sign types across all object types.</w:t>
      </w:r>
    </w:p>
    <w:bookmarkEnd w:id="250"/>
    <w:bookmarkEnd w:id="251"/>
    <w:bookmarkStart w:id="252" w:name="sec-s12-7"/>
    <w:p>
      <w:pPr>
        <w:pStyle w:val="Heading2"/>
      </w:pPr>
      <w:r>
        <w:t xml:space="preserve">S1.12.7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S1.12.2</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S1.12.3</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S1.12.4</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S1.12.5</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S1.10.1</w:t>
      </w:r>
      <w:r>
        <w:t xml:space="preserve">). Figurine exclusion (</w:t>
      </w:r>
      <w:r>
        <w:t xml:space="preserve">Section S1.12.6</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52"/>
    <w:bookmarkEnd w:id="253"/>
    <w:bookmarkStart w:id="262" w:name="sec-s-power"/>
    <w:p>
      <w:pPr>
        <w:pStyle w:val="Heading1"/>
      </w:pPr>
      <w:r>
        <w:t xml:space="preserve">S1.13 Design Sensitivity: Minimum Detectable Effects</w:t>
      </w:r>
    </w:p>
    <w:bookmarkStart w:id="254" w:name="rationale-24"/>
    <w:p>
      <w:pPr>
        <w:pStyle w:val="Heading2"/>
      </w:pPr>
      <w:r>
        <w:t xml:space="preserve">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[29]</w:t>
      </w:r>
      <w:r>
        <w:t xml:space="preserve">. Conventions for medium effects are rho = 0.3 and R</w:t>
      </w:r>
      <w:r>
        <w:rPr>
          <w:vertAlign w:val="superscript"/>
        </w:rPr>
        <w:t xml:space="preserve">2</w:t>
      </w:r>
      <w:r>
        <w:t xml:space="preserve"> </w:t>
      </w:r>
      <w:r>
        <w:t xml:space="preserve">= 0.13</w:t>
      </w:r>
      <w:r>
        <w:t xml:space="preserve"> </w:t>
      </w:r>
      <w:r>
        <w:t xml:space="preserve">[30]</w:t>
      </w:r>
      <w:r>
        <w:t xml:space="preserve">. Mantel p-values are approximate under spatial dependence</w:t>
      </w:r>
      <w:r>
        <w:t xml:space="preserve"> </w:t>
      </w:r>
      <w:r>
        <w:t xml:space="preserve">[31,32]</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[33]</w:t>
      </w:r>
      <w:r>
        <w:t xml:space="preserve">.</w:t>
      </w:r>
    </w:p>
    <w:bookmarkEnd w:id="254"/>
    <w:bookmarkStart w:id="260" w:name="analysis-2"/>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55" w:name="tbl-power-mde"/>
          <w:tbl>
            <w:tblPr>
              <w:tblStyle w:val="Table"/>
              <w:tblW w:type="pct" w:w="5000"/>
              <w:tblLook w:firstRow="1" w:lastRow="0" w:firstColumn="0" w:lastColumn="0" w:noHBand="0" w:noVBand="0" w:val="0020"/>
              <w:jc w:val="start"/>
              <w:tblLayout w:type="fixed"/>
            </w:tblPr>
            <w:tblGrid>
              <w:gridCol w:w="1996"/>
              <w:gridCol w:w="1397"/>
              <w:gridCol w:w="1863"/>
              <w:gridCol w:w="1131"/>
              <w:gridCol w:w="1530"/>
            </w:tblGrid>
            <w:tr>
              <w:trPr>
                <w:tblHeader w:val="true"/>
              </w:trPr>
              <w:tc>
                <w:tcPr/>
                <w:p>
                  <w:pPr>
                    <w:pStyle w:val="Compact"/>
                    <w:jc w:val="left"/>
                    <w:jc w:val="center"/>
                  </w:pPr>
                  <w:r>
                    <w:t xml:space="preserve">Test</w:t>
                  </w:r>
                </w:p>
              </w:tc>
              <w:tc>
                <w:tcPr/>
                <w:p>
                  <w:pPr>
                    <w:pStyle w:val="Compact"/>
                    <w:jc w:val="left"/>
                    <w:jc w:val="center"/>
                  </w:pPr>
                  <w:r>
                    <w:t xml:space="preserve">N</w:t>
                  </w:r>
                </w:p>
              </w:tc>
              <w:tc>
                <w:tcPr/>
                <w:p>
                  <w:pPr>
                    <w:pStyle w:val="Compact"/>
                    <w:jc w:val="left"/>
                    <w:jc w:val="center"/>
                  </w:pPr>
                  <w:r>
                    <w:t xml:space="preserve">Effect metric</w:t>
                  </w:r>
                </w:p>
              </w:tc>
              <w:tc>
                <w:tcPr/>
                <w:p>
                  <w:pPr>
                    <w:pStyle w:val="Compact"/>
                    <w:jc w:val="left"/>
                    <w:jc w:val="center"/>
                  </w:pPr>
                  <w:r>
                    <w:t xml:space="preserve">MDE at 80% power</w:t>
                  </w:r>
                </w:p>
              </w:tc>
              <w:tc>
                <w:tcPr/>
                <w:p>
                  <w:pPr>
                    <w:pStyle w:val="Compact"/>
                    <w:jc w:val="left"/>
                    <w:jc w:val="center"/>
                  </w:pPr>
                  <w:r>
                    <w:t xml:space="preserve">Power at medium effect</w:t>
                  </w:r>
                </w:p>
              </w:tc>
            </w:tr>
            <w:tr>
              <w:tc>
                <w:tcPr/>
                <w:p>
                  <w:pPr>
                    <w:pStyle w:val="Compact"/>
                    <w:jc w:val="left"/>
                    <w:jc w:val="center"/>
                  </w:pPr>
                  <w:r>
                    <w:t xml:space="preserve">Mantel Aur-P1</w:t>
                  </w:r>
                </w:p>
              </w:tc>
              <w:tc>
                <w:tcPr/>
                <w:p>
                  <w:pPr>
                    <w:pStyle w:val="Compact"/>
                    <w:jc w:val="left"/>
                    <w:jc w:val="center"/>
                  </w:pPr>
                  <w:r>
                    <w:t xml:space="preserve">20 sites (190 pairs)</w:t>
                  </w:r>
                </w:p>
              </w:tc>
              <w:tc>
                <w:tcPr/>
                <w:p>
                  <w:pPr>
                    <w:pStyle w:val="Compact"/>
                    <w:jc w:val="left"/>
                    <w:jc w:val="center"/>
                  </w:pPr>
                  <w:r>
                    <w:t xml:space="preserve">Mantel rho</w:t>
                  </w:r>
                </w:p>
              </w:tc>
              <w:tc>
                <w:tcPr/>
                <w:p>
                  <w:pPr>
                    <w:pStyle w:val="Compact"/>
                    <w:jc w:val="left"/>
                    <w:jc w:val="center"/>
                  </w:pPr>
                  <w:r>
                    <w:t xml:space="preserve">0.34</w:t>
                  </w:r>
                </w:p>
              </w:tc>
              <w:tc>
                <w:tcPr/>
                <w:p>
                  <w:pPr>
                    <w:pStyle w:val="Compact"/>
                    <w:jc w:val="left"/>
                    <w:jc w:val="center"/>
                  </w:pPr>
                  <w:r>
                    <w:t xml:space="preserve">0.76</w:t>
                  </w:r>
                </w:p>
              </w:tc>
            </w:tr>
            <w:tr>
              <w:tc>
                <w:tcPr/>
                <w:p>
                  <w:pPr>
                    <w:pStyle w:val="Compact"/>
                    <w:jc w:val="left"/>
                    <w:jc w:val="center"/>
                  </w:pPr>
                  <w:r>
                    <w:t xml:space="preserve">Mantel Aur-P2</w:t>
                  </w:r>
                </w:p>
              </w:tc>
              <w:tc>
                <w:tcPr/>
                <w:p>
                  <w:pPr>
                    <w:pStyle w:val="Compact"/>
                    <w:jc w:val="left"/>
                    <w:jc w:val="center"/>
                  </w:pPr>
                  <w:r>
                    <w:t xml:space="preserve">9 sites (36 pairs)</w:t>
                  </w:r>
                </w:p>
              </w:tc>
              <w:tc>
                <w:tcPr/>
                <w:p>
                  <w:pPr>
                    <w:pStyle w:val="Compact"/>
                    <w:jc w:val="left"/>
                    <w:jc w:val="center"/>
                  </w:pPr>
                  <w:r>
                    <w:t xml:space="preserve">Mantel rho</w:t>
                  </w:r>
                </w:p>
              </w:tc>
              <w:tc>
                <w:tcPr/>
                <w:p>
                  <w:pPr>
                    <w:pStyle w:val="Compact"/>
                    <w:jc w:val="left"/>
                    <w:jc w:val="center"/>
                  </w:pPr>
                  <w:r>
                    <w:t xml:space="preserve">0.50</w:t>
                  </w:r>
                </w:p>
              </w:tc>
              <w:tc>
                <w:tcPr/>
                <w:p>
                  <w:pPr>
                    <w:pStyle w:val="Compact"/>
                    <w:jc w:val="left"/>
                    <w:jc w:val="center"/>
                  </w:pPr>
                  <w:r>
                    <w:t xml:space="preserve">0.39</w:t>
                  </w:r>
                </w:p>
              </w:tc>
            </w:tr>
            <w:tr>
              <w:tc>
                <w:tcPr/>
                <w:p>
                  <w:pPr>
                    <w:pStyle w:val="Compact"/>
                    <w:jc w:val="left"/>
                    <w:jc w:val="center"/>
                  </w:pPr>
                  <w:r>
                    <w:t xml:space="preserve">PerMANOVA Aur-P1 (9 vs 11)</w:t>
                  </w:r>
                </w:p>
              </w:tc>
              <w:tc>
                <w:tcPr/>
                <w:p>
                  <w:pPr>
                    <w:pStyle w:val="Compact"/>
                    <w:jc w:val="left"/>
                    <w:jc w:val="center"/>
                  </w:pPr>
                  <w:r>
                    <w:t xml:space="preserve">9 vs 11 sites</w:t>
                  </w:r>
                </w:p>
              </w:tc>
              <w:tc>
                <w:tcPr/>
                <w:p>
                  <w:pPr>
                    <w:pStyle w:val="Compact"/>
                    <w:jc w:val="left"/>
                    <w:jc w:val="center"/>
                  </w:pPr>
                  <w:r>
                    <w:t xml:space="preserve">PerMANOVA R² (total)</w:t>
                  </w:r>
                </w:p>
              </w:tc>
              <w:tc>
                <w:tcPr/>
                <w:p>
                  <w:pPr>
                    <w:pStyle w:val="Compact"/>
                    <w:jc w:val="left"/>
                    <w:jc w:val="center"/>
                  </w:pPr>
                  <w:r>
                    <w:t xml:space="preserve">0.10</w:t>
                  </w:r>
                </w:p>
              </w:tc>
              <w:tc>
                <w:tcPr/>
                <w:p>
                  <w:pPr>
                    <w:pStyle w:val="Compact"/>
                    <w:jc w:val="left"/>
                    <w:jc w:val="center"/>
                  </w:pPr>
                  <w:r>
                    <w:t xml:space="preserve">0.98</w:t>
                  </w:r>
                </w:p>
              </w:tc>
            </w:tr>
            <w:tr>
              <w:tc>
                <w:tcPr/>
                <w:p>
                  <w:pPr>
                    <w:pStyle w:val="Compact"/>
                    <w:jc w:val="left"/>
                    <w:jc w:val="center"/>
                  </w:pPr>
                  <w:r>
                    <w:t xml:space="preserve">PerMANOVA Aur-P2 (6 vs 3)</w:t>
                  </w:r>
                </w:p>
              </w:tc>
              <w:tc>
                <w:tcPr/>
                <w:p>
                  <w:pPr>
                    <w:pStyle w:val="Compact"/>
                    <w:jc w:val="left"/>
                    <w:jc w:val="center"/>
                  </w:pPr>
                  <w:r>
                    <w:t xml:space="preserve">6 vs 3 sites</w:t>
                  </w:r>
                </w:p>
              </w:tc>
              <w:tc>
                <w:tcPr/>
                <w:p>
                  <w:pPr>
                    <w:pStyle w:val="Compact"/>
                    <w:jc w:val="left"/>
                    <w:jc w:val="center"/>
                  </w:pPr>
                  <w:r>
                    <w:t xml:space="preserve">PerMANOVA R² (total)</w:t>
                  </w:r>
                </w:p>
              </w:tc>
              <w:tc>
                <w:tcPr/>
                <w:p>
                  <w:pPr>
                    <w:pStyle w:val="Compact"/>
                    <w:jc w:val="left"/>
                    <w:jc w:val="center"/>
                  </w:pPr>
                  <w:r>
                    <w:t xml:space="preserve">0.26</w:t>
                  </w:r>
                </w:p>
              </w:tc>
              <w:tc>
                <w:tcPr/>
                <w:p>
                  <w:pPr>
                    <w:pStyle w:val="Compact"/>
                    <w:jc w:val="left"/>
                    <w:jc w:val="center"/>
                  </w:pPr>
                  <w:r>
                    <w:t xml:space="preserve">0.04</w:t>
                  </w:r>
                </w:p>
              </w:tc>
            </w:tr>
            <w:tr>
              <w:tc>
                <w:tcPr/>
                <w:p>
                  <w:pPr>
                    <w:pStyle w:val="Compact"/>
                    <w:jc w:val="left"/>
                    <w:jc w:val="center"/>
                  </w:pPr>
                  <w:r>
                    <w:t xml:space="preserve">Network density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0.28</w:t>
                  </w:r>
                </w:p>
              </w:tc>
              <w:tc>
                <w:tcPr/>
                <w:p>
                  <w:pPr>
                    <w:pStyle w:val="Compact"/>
                    <w:jc w:val="left"/>
                    <w:jc w:val="center"/>
                  </w:pPr>
                  <w:r>
                    <w:t xml:space="preserve">0.10</w:t>
                  </w:r>
                </w:p>
              </w:tc>
            </w:tr>
            <w:tr>
              <w:tc>
                <w:tcPr/>
                <w:p>
                  <w:pPr>
                    <w:pStyle w:val="Compact"/>
                    <w:jc w:val="left"/>
                    <w:jc w:val="center"/>
                  </w:pPr>
                  <w:r>
                    <w:t xml:space="preserve">Network modularity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0.12</w:t>
                  </w:r>
                </w:p>
              </w:tc>
            </w:tr>
            <w:tr>
              <w:tc>
                <w:tcPr/>
                <w:p>
                  <w:pPr>
                    <w:pStyle w:val="Compact"/>
                    <w:jc w:val="left"/>
                    <w:jc w:val="center"/>
                  </w:pPr>
                  <w:r>
                    <w:t xml:space="preserve">Network betweenness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0.01</w:t>
                  </w:r>
                </w:p>
              </w:tc>
            </w:tr>
            <w:tr>
              <w:tc>
                <w:tcPr/>
                <w:p>
                  <w:pPr>
                    <w:pStyle w:val="Compact"/>
                    <w:jc w:val="left"/>
                    <w:jc w:val="center"/>
                  </w:pPr>
                  <w:r>
                    <w:t xml:space="preserve">Network components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0.10</w:t>
                  </w:r>
                </w:p>
              </w:tc>
            </w:tr>
          </w:tbl>
          <w:p>
            <w:pPr>
              <w:jc w:val="center"/>
            </w:pPr>
            <w:pPr>
              <w:jc w:val="start"/>
              <w:spacing w:before="200"/>
              <w:pStyle w:val="ImageCaption"/>
            </w:pPr>
            <w:r>
              <w:t xml:space="preserve">Table S 52: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55"/>
        </w:tc>
      </w:tr>
    </w:tbl>
    <w:tbl>
      <w:tblPr>
        <w:tblStyle w:val="Table"/>
        <w:tblW w:type="pct" w:w="5000"/>
        <w:tblLook w:firstRow="0" w:lastRow="0" w:firstColumn="0" w:lastColumn="0" w:noHBand="0" w:noVBand="0" w:val="0000"/>
        <w:jc w:val="start"/>
        <w:tblLayout w:type="fixed"/>
      </w:tblPr>
      <w:tblGrid>
        <w:gridCol w:w="7920"/>
      </w:tblGrid>
      <w:tr>
        <w:tc>
          <w:tcPr/>
          <w:bookmarkStart w:id="259" w:name="fig-power-curves"/>
          <w:p>
            <w:pPr>
              <w:pStyle w:val="Compact"/>
              <w:jc w:val="center"/>
            </w:pPr>
            <w:r>
              <w:drawing>
                <wp:inline>
                  <wp:extent cx="5943600" cy="4622800"/>
                  <wp:effectExtent b="0" l="0" r="0" t="0"/>
                  <wp:docPr descr="" title="" id="257" name="Picture"/>
                  <a:graphic>
                    <a:graphicData uri="http://schemas.openxmlformats.org/drawingml/2006/picture">
                      <pic:pic>
                        <pic:nvPicPr>
                          <pic:cNvPr descr="S1-supplement-sensitivity_files/figure-docx/fig-power-curves-1.png" id="258" name="Picture"/>
                          <pic:cNvPicPr>
                            <a:picLocks noChangeArrowheads="1" noChangeAspect="1"/>
                          </pic:cNvPicPr>
                        </pic:nvPicPr>
                        <pic:blipFill>
                          <a:blip r:embed="rId256"/>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15: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52</w:t>
              </w:r>
            </w:hyperlink>
            <w:r>
              <w:t xml:space="preserve">. Curves are simulation estimates (Mantel and PerMANOVA: B = 300 with 99 permutations; network: B = 200 with 99 permutations).</w:t>
            </w:r>
          </w:p>
          <w:bookmarkEnd w:id="259"/>
        </w:tc>
      </w:tr>
    </w:tbl>
    <w:bookmarkEnd w:id="260"/>
    <w:bookmarkStart w:id="261" w:name="interpretation-18"/>
    <w:p>
      <w:pPr>
        <w:pStyle w:val="Heading2"/>
      </w:pPr>
      <w:r>
        <w:t xml:space="preserve">Interpretation</w:t>
      </w:r>
    </w:p>
    <w:p>
      <w:pPr>
        <w:pStyle w:val="FirstParagraph"/>
      </w:pP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0.98 in Aur-P1 and 0.04 in Aur-P2. The Aur-P2 test with 6 versus 3 sites has the larger MDE and stays indicative. Group separations below these R² values cannot be distinguished from sampling variation by this test.</w:t>
      </w:r>
    </w:p>
    <w:p>
      <w:pPr>
        <w:pStyle w:val="BodyText"/>
      </w:pP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bookmarkEnd w:id="261"/>
    <w:bookmarkEnd w:id="262"/>
    <w:bookmarkStart w:id="330"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date variants,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p>
      <w:pPr>
        <w:pStyle w:val="BodyText"/>
      </w:pPr>
      <w:r>
        <w:t xml:space="preserve">For the main text, report raw degree descriptively and base inference on permutation and withheld-data results. Present the restricted versus broad contrast as a recoverable gradient that is strong for well sampled sites and provisional for small ones. Present Aur-P2 community structure as indicative rather than conclusive. Present the pool contraction as not demonstrated at equal effort, with the sample-difference caveat stated.</w:t>
      </w:r>
    </w:p>
    <w:bookmarkStart w:id="329" w:name="references-cited"/>
    <w:p>
      <w:pPr>
        <w:pStyle w:val="Heading2"/>
      </w:pPr>
      <w:r>
        <w:t xml:space="preserve">References cited</w:t>
      </w:r>
    </w:p>
    <w:bookmarkStart w:id="328" w:name="refs"/>
    <w:bookmarkStart w:id="264"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63">
        <w:r>
          <w:rPr>
            <w:rStyle w:val="Hyperlink"/>
          </w:rPr>
          <w:t xml:space="preserve">https://doi.org/10.18637/jss.v022.i07</w:t>
        </w:r>
      </w:hyperlink>
      <w:r>
        <w:t xml:space="preserve">.</w:t>
      </w:r>
    </w:p>
    <w:bookmarkEnd w:id="264"/>
    <w:bookmarkStart w:id="266"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265">
        <w:r>
          <w:rPr>
            <w:rStyle w:val="Hyperlink"/>
          </w:rPr>
          <w:t xml:space="preserve">https://doi.org/10.1890/0012-9615(1999)069[0001:DBRDAO]2.0.CO;2</w:t>
        </w:r>
      </w:hyperlink>
      <w:r>
        <w:t xml:space="preserve">.</w:t>
      </w:r>
    </w:p>
    <w:bookmarkEnd w:id="266"/>
    <w:bookmarkStart w:id="268"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67">
        <w:r>
          <w:rPr>
            <w:rStyle w:val="Hyperlink"/>
          </w:rPr>
          <w:t xml:space="preserve">https://doi.org/10.1016/j.quascirev.2021.106995</w:t>
        </w:r>
      </w:hyperlink>
      <w:r>
        <w:t xml:space="preserve">.</w:t>
      </w:r>
    </w:p>
    <w:bookmarkEnd w:id="268"/>
    <w:bookmarkStart w:id="270"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269">
        <w:r>
          <w:rPr>
            <w:rStyle w:val="Hyperlink"/>
          </w:rPr>
          <w:t xml:space="preserve">https://doi.org/10.1007/s41982-017-0004-4</w:t>
        </w:r>
      </w:hyperlink>
      <w:r>
        <w:t xml:space="preserve">.</w:t>
      </w:r>
    </w:p>
    <w:bookmarkEnd w:id="270"/>
    <w:bookmarkStart w:id="272"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71">
        <w:r>
          <w:rPr>
            <w:rStyle w:val="Hyperlink"/>
          </w:rPr>
          <w:t xml:space="preserve">https://doi.org/10.30861/9781841718309</w:t>
        </w:r>
      </w:hyperlink>
      <w:r>
        <w:t xml:space="preserve">.</w:t>
      </w:r>
    </w:p>
    <w:bookmarkEnd w:id="272"/>
    <w:bookmarkStart w:id="274"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73">
        <w:r>
          <w:rPr>
            <w:rStyle w:val="Hyperlink"/>
          </w:rPr>
          <w:t xml:space="preserve">https://doi.org/10.1016/j.jhevol.2011.06.005</w:t>
        </w:r>
      </w:hyperlink>
      <w:r>
        <w:t xml:space="preserve">.</w:t>
      </w:r>
    </w:p>
    <w:bookmarkEnd w:id="274"/>
    <w:bookmarkStart w:id="276"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275">
        <w:r>
          <w:rPr>
            <w:rStyle w:val="Hyperlink"/>
          </w:rPr>
          <w:t xml:space="preserve">https://doi.org/10.1002/jqs.3236</w:t>
        </w:r>
      </w:hyperlink>
      <w:r>
        <w:t xml:space="preserve">.</w:t>
      </w:r>
    </w:p>
    <w:bookmarkEnd w:id="276"/>
    <w:bookmarkStart w:id="277"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277"/>
    <w:bookmarkStart w:id="279"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278">
        <w:r>
          <w:rPr>
            <w:rStyle w:val="Hyperlink"/>
          </w:rPr>
          <w:t xml:space="preserve">https://doi.org/10.1007/978-3-211-49294-9_4</w:t>
        </w:r>
      </w:hyperlink>
      <w:r>
        <w:t xml:space="preserve">.</w:t>
      </w:r>
    </w:p>
    <w:bookmarkEnd w:id="279"/>
    <w:bookmarkStart w:id="281"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280">
        <w:r>
          <w:rPr>
            <w:rStyle w:val="Hyperlink"/>
          </w:rPr>
          <w:t xml:space="preserve">https://doi.org/10.1038/nature03585</w:t>
        </w:r>
      </w:hyperlink>
      <w:r>
        <w:t xml:space="preserve">.</w:t>
      </w:r>
    </w:p>
    <w:bookmarkEnd w:id="281"/>
    <w:bookmarkStart w:id="283"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282">
        <w:r>
          <w:rPr>
            <w:rStyle w:val="Hyperlink"/>
          </w:rPr>
          <w:t xml:space="preserve">https://doi.org/10.1007/s41982-025-00246-x</w:t>
        </w:r>
      </w:hyperlink>
      <w:r>
        <w:t xml:space="preserve">.</w:t>
      </w:r>
    </w:p>
    <w:bookmarkEnd w:id="283"/>
    <w:bookmarkStart w:id="285"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284">
        <w:r>
          <w:rPr>
            <w:rStyle w:val="Hyperlink"/>
          </w:rPr>
          <w:t xml:space="preserve">https://doi.org/10.1088/1742-5468/2008/10/P10008</w:t>
        </w:r>
      </w:hyperlink>
      <w:r>
        <w:t xml:space="preserve">.</w:t>
      </w:r>
    </w:p>
    <w:bookmarkEnd w:id="285"/>
    <w:bookmarkStart w:id="287"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286">
        <w:r>
          <w:rPr>
            <w:rStyle w:val="Hyperlink"/>
          </w:rPr>
          <w:t xml:space="preserve">https://doi.org/10.1103/PhysRevE.69.026113</w:t>
        </w:r>
      </w:hyperlink>
      <w:r>
        <w:t xml:space="preserve">.</w:t>
      </w:r>
    </w:p>
    <w:bookmarkEnd w:id="287"/>
    <w:bookmarkStart w:id="289"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288">
        <w:r>
          <w:rPr>
            <w:rStyle w:val="Hyperlink"/>
          </w:rPr>
          <w:t xml:space="preserve">https://doi.org/10.1016/j.socnet.2020.11.005</w:t>
        </w:r>
      </w:hyperlink>
      <w:r>
        <w:t xml:space="preserve">.</w:t>
      </w:r>
    </w:p>
    <w:bookmarkEnd w:id="289"/>
    <w:bookmarkStart w:id="291"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290">
        <w:r>
          <w:rPr>
            <w:rStyle w:val="Hyperlink"/>
          </w:rPr>
          <w:t xml:space="preserve">https://doi.org/10.1198/108571102320</w:t>
        </w:r>
      </w:hyperlink>
      <w:r>
        <w:t xml:space="preserve">.</w:t>
      </w:r>
    </w:p>
    <w:bookmarkEnd w:id="291"/>
    <w:bookmarkStart w:id="293"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292">
        <w:r>
          <w:rPr>
            <w:rStyle w:val="Hyperlink"/>
          </w:rPr>
          <w:t xml:space="preserve">https://doi.org/10.1007/s11258-006-9126-3</w:t>
        </w:r>
      </w:hyperlink>
      <w:r>
        <w:t xml:space="preserve">.</w:t>
      </w:r>
    </w:p>
    <w:bookmarkEnd w:id="293"/>
    <w:bookmarkStart w:id="295"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294">
        <w:r>
          <w:rPr>
            <w:rStyle w:val="Hyperlink"/>
          </w:rPr>
          <w:t xml:space="preserve">https://doi.org/10.1023/A:1023949509487</w:t>
        </w:r>
      </w:hyperlink>
      <w:r>
        <w:t xml:space="preserve">.</w:t>
      </w:r>
    </w:p>
    <w:bookmarkEnd w:id="295"/>
    <w:bookmarkStart w:id="297"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296">
        <w:r>
          <w:rPr>
            <w:rStyle w:val="Hyperlink"/>
          </w:rPr>
          <w:t xml:space="preserve">https://doi.org/10.48550/arXiv.1602.07587</w:t>
        </w:r>
      </w:hyperlink>
      <w:r>
        <w:t xml:space="preserve">.</w:t>
      </w:r>
    </w:p>
    <w:bookmarkEnd w:id="297"/>
    <w:bookmarkStart w:id="299"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298">
        <w:r>
          <w:rPr>
            <w:rStyle w:val="Hyperlink"/>
          </w:rPr>
          <w:t xml:space="preserve">https://doi.org/10.1007/BF01908075</w:t>
        </w:r>
      </w:hyperlink>
      <w:r>
        <w:t xml:space="preserve">.</w:t>
      </w:r>
    </w:p>
    <w:bookmarkEnd w:id="299"/>
    <w:bookmarkStart w:id="301" w:name="ref-Gao_Bien_Witten_2022"/>
    <w:p>
      <w:pPr>
        <w:pStyle w:val="Bibliography"/>
      </w:pPr>
      <w:r>
        <w:t xml:space="preserve">[20]</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00">
        <w:r>
          <w:rPr>
            <w:rStyle w:val="Hyperlink"/>
          </w:rPr>
          <w:t xml:space="preserve">https://doi.org/10.1080/01621459.2022.2116331</w:t>
        </w:r>
      </w:hyperlink>
      <w:r>
        <w:t xml:space="preserve">.</w:t>
      </w:r>
    </w:p>
    <w:bookmarkEnd w:id="301"/>
    <w:bookmarkStart w:id="303" w:name="ref-Neufeld_2024"/>
    <w:p>
      <w:pPr>
        <w:pStyle w:val="Bibliography"/>
      </w:pPr>
      <w:r>
        <w:t xml:space="preserve">[21]</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02">
        <w:r>
          <w:rPr>
            <w:rStyle w:val="Hyperlink"/>
          </w:rPr>
          <w:t xml:space="preserve">https://doi.org/10.1093/biostatistics/kxac047</w:t>
        </w:r>
      </w:hyperlink>
      <w:r>
        <w:t xml:space="preserve">.</w:t>
      </w:r>
    </w:p>
    <w:bookmarkEnd w:id="303"/>
    <w:bookmarkStart w:id="305" w:name="ref-Brown_1975"/>
    <w:p>
      <w:pPr>
        <w:pStyle w:val="Bibliography"/>
      </w:pPr>
      <w:r>
        <w:t xml:space="preserve">[22]</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04">
        <w:r>
          <w:rPr>
            <w:rStyle w:val="Hyperlink"/>
          </w:rPr>
          <w:t xml:space="preserve">https://doi.org/10.2307/2529826</w:t>
        </w:r>
      </w:hyperlink>
      <w:r>
        <w:t xml:space="preserve">.</w:t>
      </w:r>
    </w:p>
    <w:bookmarkEnd w:id="305"/>
    <w:bookmarkStart w:id="307" w:name="ref-Poole_2016"/>
    <w:p>
      <w:pPr>
        <w:pStyle w:val="Bibliography"/>
      </w:pPr>
      <w:r>
        <w:t xml:space="preserve">[23]</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06">
        <w:r>
          <w:rPr>
            <w:rStyle w:val="Hyperlink"/>
          </w:rPr>
          <w:t xml:space="preserve">https://doi.org/10.1093/bioinformatics/btw438</w:t>
        </w:r>
      </w:hyperlink>
      <w:r>
        <w:t xml:space="preserve">.</w:t>
      </w:r>
    </w:p>
    <w:bookmarkEnd w:id="307"/>
    <w:bookmarkStart w:id="309" w:name="ref-Chao_Jost_2012"/>
    <w:p>
      <w:pPr>
        <w:pStyle w:val="Bibliography"/>
      </w:pPr>
      <w:r>
        <w:t xml:space="preserve">[24]</w:t>
      </w:r>
      <w:r>
        <w:t xml:space="preserve"> </w:t>
      </w:r>
      <w:r>
        <w:t xml:space="preserve">	</w:t>
      </w:r>
      <w:r>
        <w:t xml:space="preserve">Chao A, Jost L. Coverage-based rarefaction and extrapolation: Standardizing samples by completeness rather than size. Ecology 2012;93:2533–47.</w:t>
      </w:r>
      <w:r>
        <w:t xml:space="preserve"> </w:t>
      </w:r>
      <w:hyperlink r:id="rId308">
        <w:r>
          <w:rPr>
            <w:rStyle w:val="Hyperlink"/>
          </w:rPr>
          <w:t xml:space="preserve">https://doi.org/10.1890/11-1952.1</w:t>
        </w:r>
      </w:hyperlink>
      <w:r>
        <w:t xml:space="preserve">.</w:t>
      </w:r>
    </w:p>
    <w:bookmarkEnd w:id="309"/>
    <w:bookmarkStart w:id="311" w:name="ref-Gotelli_Colwell_2001"/>
    <w:p>
      <w:pPr>
        <w:pStyle w:val="Bibliography"/>
      </w:pPr>
      <w:r>
        <w:t xml:space="preserve">[25]</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10">
        <w:r>
          <w:rPr>
            <w:rStyle w:val="Hyperlink"/>
          </w:rPr>
          <w:t xml:space="preserve">https://doi.org/10.1046/j.1461-0248.2001.00230.x</w:t>
        </w:r>
      </w:hyperlink>
      <w:r>
        <w:t xml:space="preserve">.</w:t>
      </w:r>
    </w:p>
    <w:bookmarkEnd w:id="311"/>
    <w:bookmarkStart w:id="313" w:name="ref-Hsieh_Ma_Chao_2016"/>
    <w:p>
      <w:pPr>
        <w:pStyle w:val="Bibliography"/>
      </w:pPr>
      <w:r>
        <w:t xml:space="preserve">[26]</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12">
        <w:r>
          <w:rPr>
            <w:rStyle w:val="Hyperlink"/>
          </w:rPr>
          <w:t xml:space="preserve">https://doi.org/10.1111/2041-210X.12613</w:t>
        </w:r>
      </w:hyperlink>
      <w:r>
        <w:t xml:space="preserve">.</w:t>
      </w:r>
    </w:p>
    <w:bookmarkEnd w:id="313"/>
    <w:bookmarkStart w:id="315" w:name="ref-Venables_Ripley_2002"/>
    <w:p>
      <w:pPr>
        <w:pStyle w:val="Bibliography"/>
      </w:pPr>
      <w:r>
        <w:t xml:space="preserve">[27]</w:t>
      </w:r>
      <w:r>
        <w:t xml:space="preserve"> </w:t>
      </w:r>
      <w:r>
        <w:t xml:space="preserve">	</w:t>
      </w:r>
      <w:r>
        <w:t xml:space="preserve">Venables WN, Ripley BD. Modern applied statistics with s. Fourth. Springer; 2002.</w:t>
      </w:r>
      <w:r>
        <w:t xml:space="preserve"> </w:t>
      </w:r>
      <w:hyperlink r:id="rId314">
        <w:r>
          <w:rPr>
            <w:rStyle w:val="Hyperlink"/>
          </w:rPr>
          <w:t xml:space="preserve">https://doi.org/10.1007/978-0-387-21706-2</w:t>
        </w:r>
      </w:hyperlink>
      <w:r>
        <w:t xml:space="preserve">.</w:t>
      </w:r>
    </w:p>
    <w:bookmarkEnd w:id="315"/>
    <w:bookmarkStart w:id="317" w:name="ref-Bentz_Dutkiewicz_2026"/>
    <w:p>
      <w:pPr>
        <w:pStyle w:val="Bibliography"/>
      </w:pPr>
      <w:r>
        <w:t xml:space="preserve">[28]</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16">
        <w:r>
          <w:rPr>
            <w:rStyle w:val="Hyperlink"/>
          </w:rPr>
          <w:t xml:space="preserve">https://doi.org/10.1073/pnas.2520385123</w:t>
        </w:r>
      </w:hyperlink>
      <w:r>
        <w:t xml:space="preserve">.</w:t>
      </w:r>
    </w:p>
    <w:bookmarkEnd w:id="317"/>
    <w:bookmarkStart w:id="319" w:name="ref-Hoenig_Heisey_2001"/>
    <w:p>
      <w:pPr>
        <w:pStyle w:val="Bibliography"/>
      </w:pPr>
      <w:r>
        <w:t xml:space="preserve">[29]</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18">
        <w:r>
          <w:rPr>
            <w:rStyle w:val="Hyperlink"/>
          </w:rPr>
          <w:t xml:space="preserve">https://doi.org/10.1198/000313001300339897</w:t>
        </w:r>
      </w:hyperlink>
      <w:r>
        <w:t xml:space="preserve">.</w:t>
      </w:r>
    </w:p>
    <w:bookmarkEnd w:id="319"/>
    <w:bookmarkStart w:id="321" w:name="ref-Cohen_1992"/>
    <w:p>
      <w:pPr>
        <w:pStyle w:val="Bibliography"/>
      </w:pPr>
      <w:r>
        <w:t xml:space="preserve">[30]</w:t>
      </w:r>
      <w:r>
        <w:t xml:space="preserve"> </w:t>
      </w:r>
      <w:r>
        <w:t xml:space="preserve">	</w:t>
      </w:r>
      <w:r>
        <w:t xml:space="preserve">Cohen J. A power primer. Psychological Bulletin 1992;112:155–9.</w:t>
      </w:r>
      <w:r>
        <w:t xml:space="preserve"> </w:t>
      </w:r>
      <w:hyperlink r:id="rId320">
        <w:r>
          <w:rPr>
            <w:rStyle w:val="Hyperlink"/>
          </w:rPr>
          <w:t xml:space="preserve">https://doi.org/10.1037/0033-2909.112.1.155</w:t>
        </w:r>
      </w:hyperlink>
      <w:r>
        <w:t xml:space="preserve">.</w:t>
      </w:r>
    </w:p>
    <w:bookmarkEnd w:id="321"/>
    <w:bookmarkStart w:id="323" w:name="ref-Legendre_2015"/>
    <w:p>
      <w:pPr>
        <w:pStyle w:val="Bibliography"/>
      </w:pPr>
      <w:r>
        <w:t xml:space="preserve">[31]</w:t>
      </w:r>
      <w:r>
        <w:t xml:space="preserve"> </w:t>
      </w:r>
      <w:r>
        <w:t xml:space="preserve">	</w:t>
      </w:r>
      <w:r>
        <w:t xml:space="preserve">Legendre P, Fortin M-J, Borcard D. Should the mantel test be used in spatial analysis? Methods in Ecology and Evolution 2015;6:1239–47.</w:t>
      </w:r>
      <w:r>
        <w:t xml:space="preserve"> </w:t>
      </w:r>
      <w:hyperlink r:id="rId322">
        <w:r>
          <w:rPr>
            <w:rStyle w:val="Hyperlink"/>
          </w:rPr>
          <w:t xml:space="preserve">https://doi.org/10.1111/2041-210X.12425</w:t>
        </w:r>
      </w:hyperlink>
      <w:r>
        <w:t xml:space="preserve">.</w:t>
      </w:r>
    </w:p>
    <w:bookmarkEnd w:id="323"/>
    <w:bookmarkStart w:id="325" w:name="ref-Guillot_Rousset_2013"/>
    <w:p>
      <w:pPr>
        <w:pStyle w:val="Bibliography"/>
      </w:pPr>
      <w:r>
        <w:t xml:space="preserve">[32]</w:t>
      </w:r>
      <w:r>
        <w:t xml:space="preserve"> </w:t>
      </w:r>
      <w:r>
        <w:t xml:space="preserve">	</w:t>
      </w:r>
      <w:r>
        <w:t xml:space="preserve">Guillot G, Rousset F. Dismantling the mantel tests. Methods in Ecology and Evolution 2013;4:336–44.</w:t>
      </w:r>
      <w:r>
        <w:t xml:space="preserve"> </w:t>
      </w:r>
      <w:hyperlink r:id="rId324">
        <w:r>
          <w:rPr>
            <w:rStyle w:val="Hyperlink"/>
          </w:rPr>
          <w:t xml:space="preserve">https://doi.org/10.1111/2041-210X.12018</w:t>
        </w:r>
      </w:hyperlink>
      <w:r>
        <w:t xml:space="preserve">.</w:t>
      </w:r>
    </w:p>
    <w:bookmarkEnd w:id="325"/>
    <w:bookmarkStart w:id="327" w:name="ref-Anderson_Walsh_2013"/>
    <w:p>
      <w:pPr>
        <w:pStyle w:val="Bibliography"/>
      </w:pPr>
      <w:r>
        <w:t xml:space="preserve">[33]</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26">
        <w:r>
          <w:rPr>
            <w:rStyle w:val="Hyperlink"/>
          </w:rPr>
          <w:t xml:space="preserve">https://doi.org/10.1890/12-2010.1</w:t>
        </w:r>
      </w:hyperlink>
      <w:r>
        <w:t xml:space="preserve">.</w:t>
      </w:r>
    </w:p>
    <w:bookmarkEnd w:id="327"/>
    <w:bookmarkEnd w:id="328"/>
    <w:bookmarkEnd w:id="329"/>
    <w:bookmarkEnd w:id="330"/>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1" Target="media/rId151.png" /><Relationship Type="http://schemas.openxmlformats.org/officeDocument/2006/relationships/image" Id="rId181" Target="media/rId181.png" /><Relationship Type="http://schemas.openxmlformats.org/officeDocument/2006/relationships/image" Id="rId188" Target="media/rId188.png" /><Relationship Type="http://schemas.openxmlformats.org/officeDocument/2006/relationships/image" Id="rId140" Target="media/rId140.png" /><Relationship Type="http://schemas.openxmlformats.org/officeDocument/2006/relationships/image" Id="rId45" Target="media/rId45.png" /><Relationship Type="http://schemas.openxmlformats.org/officeDocument/2006/relationships/image" Id="rId30" Target="media/rId30.png" /><Relationship Type="http://schemas.openxmlformats.org/officeDocument/2006/relationships/image" Id="rId122" Target="media/rId122.png" /><Relationship Type="http://schemas.openxmlformats.org/officeDocument/2006/relationships/image" Id="rId56" Target="media/rId56.png" /><Relationship Type="http://schemas.openxmlformats.org/officeDocument/2006/relationships/image" Id="rId198" Target="media/rId198.png" /><Relationship Type="http://schemas.openxmlformats.org/officeDocument/2006/relationships/image" Id="rId227" Target="media/rId227.png" /><Relationship Type="http://schemas.openxmlformats.org/officeDocument/2006/relationships/image" Id="rId256" Target="media/rId256.png" /><Relationship Type="http://schemas.openxmlformats.org/officeDocument/2006/relationships/image" Id="rId215" Target="media/rId215.png" /><Relationship Type="http://schemas.openxmlformats.org/officeDocument/2006/relationships/image" Id="rId207" Target="media/rId207.png" /><Relationship Type="http://schemas.openxmlformats.org/officeDocument/2006/relationships/image" Id="rId159" Target="media/rId159.png" /><Relationship Type="http://schemas.openxmlformats.org/officeDocument/2006/relationships/image" Id="rId37" Target="media/rId37.png" /><Relationship Type="http://schemas.openxmlformats.org/officeDocument/2006/relationships/hyperlink" Id="rId275" Target="https://doi.org/10.1002/jqs.3236" TargetMode="External" /><Relationship Type="http://schemas.openxmlformats.org/officeDocument/2006/relationships/hyperlink" Id="rId314" Target="https://doi.org/10.1007/978-0-387-21706-2" TargetMode="External" /><Relationship Type="http://schemas.openxmlformats.org/officeDocument/2006/relationships/hyperlink" Id="rId278" Target="https://doi.org/10.1007/978-3-211-49294-9_4" TargetMode="External" /><Relationship Type="http://schemas.openxmlformats.org/officeDocument/2006/relationships/hyperlink" Id="rId298" Target="https://doi.org/10.1007/BF01908075" TargetMode="External" /><Relationship Type="http://schemas.openxmlformats.org/officeDocument/2006/relationships/hyperlink" Id="rId292" Target="https://doi.org/10.1007/s11258-006-9126-3" TargetMode="External" /><Relationship Type="http://schemas.openxmlformats.org/officeDocument/2006/relationships/hyperlink" Id="rId269" Target="https://doi.org/10.1007/s41982-017-0004-4" TargetMode="External" /><Relationship Type="http://schemas.openxmlformats.org/officeDocument/2006/relationships/hyperlink" Id="rId282" Target="https://doi.org/10.1007/s41982-025-00246-x" TargetMode="External" /><Relationship Type="http://schemas.openxmlformats.org/officeDocument/2006/relationships/hyperlink" Id="rId273" Target="https://doi.org/10.1016/j.jhevol.2011.06.005" TargetMode="External" /><Relationship Type="http://schemas.openxmlformats.org/officeDocument/2006/relationships/hyperlink" Id="rId267" Target="https://doi.org/10.1016/j.quascirev.2021.106995" TargetMode="External" /><Relationship Type="http://schemas.openxmlformats.org/officeDocument/2006/relationships/hyperlink" Id="rId288" Target="https://doi.org/10.1016/j.socnet.2020.11.005" TargetMode="External" /><Relationship Type="http://schemas.openxmlformats.org/officeDocument/2006/relationships/hyperlink" Id="rId294" Target="https://doi.org/10.1023/A:1023949509487" TargetMode="External" /><Relationship Type="http://schemas.openxmlformats.org/officeDocument/2006/relationships/hyperlink" Id="rId320" Target="https://doi.org/10.1037/0033-2909.112.1.155" TargetMode="External" /><Relationship Type="http://schemas.openxmlformats.org/officeDocument/2006/relationships/hyperlink" Id="rId280" Target="https://doi.org/10.1038/nature03585" TargetMode="External" /><Relationship Type="http://schemas.openxmlformats.org/officeDocument/2006/relationships/hyperlink" Id="rId310" Target="https://doi.org/10.1046/j.1461-0248.2001.00230.x" TargetMode="External" /><Relationship Type="http://schemas.openxmlformats.org/officeDocument/2006/relationships/hyperlink" Id="rId316" Target="https://doi.org/10.1073/pnas.2520385123" TargetMode="External" /><Relationship Type="http://schemas.openxmlformats.org/officeDocument/2006/relationships/hyperlink" Id="rId300" Target="https://doi.org/10.1080/01621459.2022.2116331" TargetMode="External" /><Relationship Type="http://schemas.openxmlformats.org/officeDocument/2006/relationships/hyperlink" Id="rId284" Target="https://doi.org/10.1088/1742-5468/2008/10/P10008" TargetMode="External" /><Relationship Type="http://schemas.openxmlformats.org/officeDocument/2006/relationships/hyperlink" Id="rId306" Target="https://doi.org/10.1093/bioinformatics/btw438" TargetMode="External" /><Relationship Type="http://schemas.openxmlformats.org/officeDocument/2006/relationships/hyperlink" Id="rId302" Target="https://doi.org/10.1093/biostatistics/kxac047" TargetMode="External" /><Relationship Type="http://schemas.openxmlformats.org/officeDocument/2006/relationships/hyperlink" Id="rId286" Target="https://doi.org/10.1103/PhysRevE.69.026113" TargetMode="External" /><Relationship Type="http://schemas.openxmlformats.org/officeDocument/2006/relationships/hyperlink" Id="rId324" Target="https://doi.org/10.1111/2041-210X.12018" TargetMode="External" /><Relationship Type="http://schemas.openxmlformats.org/officeDocument/2006/relationships/hyperlink" Id="rId322" Target="https://doi.org/10.1111/2041-210X.12425" TargetMode="External" /><Relationship Type="http://schemas.openxmlformats.org/officeDocument/2006/relationships/hyperlink" Id="rId312" Target="https://doi.org/10.1111/2041-210X.12613" TargetMode="External" /><Relationship Type="http://schemas.openxmlformats.org/officeDocument/2006/relationships/hyperlink" Id="rId318" Target="https://doi.org/10.1198/000313001300339897" TargetMode="External" /><Relationship Type="http://schemas.openxmlformats.org/officeDocument/2006/relationships/hyperlink" Id="rId290" Target="https://doi.org/10.1198/108571102320" TargetMode="External" /><Relationship Type="http://schemas.openxmlformats.org/officeDocument/2006/relationships/hyperlink" Id="rId263" Target="https://doi.org/10.18637/jss.v022.i07" TargetMode="External" /><Relationship Type="http://schemas.openxmlformats.org/officeDocument/2006/relationships/hyperlink" Id="rId265" Target="https://doi.org/10.1890/0012-9615(1999)069[0001:DBRDAO]2.0.CO;2" TargetMode="External" /><Relationship Type="http://schemas.openxmlformats.org/officeDocument/2006/relationships/hyperlink" Id="rId308" Target="https://doi.org/10.1890/11-1952.1" TargetMode="External" /><Relationship Type="http://schemas.openxmlformats.org/officeDocument/2006/relationships/hyperlink" Id="rId326" Target="https://doi.org/10.1890/12-2010.1" TargetMode="External" /><Relationship Type="http://schemas.openxmlformats.org/officeDocument/2006/relationships/hyperlink" Id="rId304" Target="https://doi.org/10.2307/2529826" TargetMode="External" /><Relationship Type="http://schemas.openxmlformats.org/officeDocument/2006/relationships/hyperlink" Id="rId271" Target="https://doi.org/10.30861/9781841718309" TargetMode="External" /><Relationship Type="http://schemas.openxmlformats.org/officeDocument/2006/relationships/hyperlink" Id="rId296"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275" Target="https://doi.org/10.1002/jqs.3236" TargetMode="External" /><Relationship Type="http://schemas.openxmlformats.org/officeDocument/2006/relationships/hyperlink" Id="rId314" Target="https://doi.org/10.1007/978-0-387-21706-2" TargetMode="External" /><Relationship Type="http://schemas.openxmlformats.org/officeDocument/2006/relationships/hyperlink" Id="rId278" Target="https://doi.org/10.1007/978-3-211-49294-9_4" TargetMode="External" /><Relationship Type="http://schemas.openxmlformats.org/officeDocument/2006/relationships/hyperlink" Id="rId298" Target="https://doi.org/10.1007/BF01908075" TargetMode="External" /><Relationship Type="http://schemas.openxmlformats.org/officeDocument/2006/relationships/hyperlink" Id="rId292" Target="https://doi.org/10.1007/s11258-006-9126-3" TargetMode="External" /><Relationship Type="http://schemas.openxmlformats.org/officeDocument/2006/relationships/hyperlink" Id="rId269" Target="https://doi.org/10.1007/s41982-017-0004-4" TargetMode="External" /><Relationship Type="http://schemas.openxmlformats.org/officeDocument/2006/relationships/hyperlink" Id="rId282" Target="https://doi.org/10.1007/s41982-025-00246-x" TargetMode="External" /><Relationship Type="http://schemas.openxmlformats.org/officeDocument/2006/relationships/hyperlink" Id="rId273" Target="https://doi.org/10.1016/j.jhevol.2011.06.005" TargetMode="External" /><Relationship Type="http://schemas.openxmlformats.org/officeDocument/2006/relationships/hyperlink" Id="rId267" Target="https://doi.org/10.1016/j.quascirev.2021.106995" TargetMode="External" /><Relationship Type="http://schemas.openxmlformats.org/officeDocument/2006/relationships/hyperlink" Id="rId288" Target="https://doi.org/10.1016/j.socnet.2020.11.005" TargetMode="External" /><Relationship Type="http://schemas.openxmlformats.org/officeDocument/2006/relationships/hyperlink" Id="rId294" Target="https://doi.org/10.1023/A:1023949509487" TargetMode="External" /><Relationship Type="http://schemas.openxmlformats.org/officeDocument/2006/relationships/hyperlink" Id="rId320" Target="https://doi.org/10.1037/0033-2909.112.1.155" TargetMode="External" /><Relationship Type="http://schemas.openxmlformats.org/officeDocument/2006/relationships/hyperlink" Id="rId280" Target="https://doi.org/10.1038/nature03585" TargetMode="External" /><Relationship Type="http://schemas.openxmlformats.org/officeDocument/2006/relationships/hyperlink" Id="rId310" Target="https://doi.org/10.1046/j.1461-0248.2001.00230.x" TargetMode="External" /><Relationship Type="http://schemas.openxmlformats.org/officeDocument/2006/relationships/hyperlink" Id="rId316" Target="https://doi.org/10.1073/pnas.2520385123" TargetMode="External" /><Relationship Type="http://schemas.openxmlformats.org/officeDocument/2006/relationships/hyperlink" Id="rId300" Target="https://doi.org/10.1080/01621459.2022.2116331" TargetMode="External" /><Relationship Type="http://schemas.openxmlformats.org/officeDocument/2006/relationships/hyperlink" Id="rId284" Target="https://doi.org/10.1088/1742-5468/2008/10/P10008" TargetMode="External" /><Relationship Type="http://schemas.openxmlformats.org/officeDocument/2006/relationships/hyperlink" Id="rId306" Target="https://doi.org/10.1093/bioinformatics/btw438" TargetMode="External" /><Relationship Type="http://schemas.openxmlformats.org/officeDocument/2006/relationships/hyperlink" Id="rId302" Target="https://doi.org/10.1093/biostatistics/kxac047" TargetMode="External" /><Relationship Type="http://schemas.openxmlformats.org/officeDocument/2006/relationships/hyperlink" Id="rId286" Target="https://doi.org/10.1103/PhysRevE.69.026113" TargetMode="External" /><Relationship Type="http://schemas.openxmlformats.org/officeDocument/2006/relationships/hyperlink" Id="rId324" Target="https://doi.org/10.1111/2041-210X.12018" TargetMode="External" /><Relationship Type="http://schemas.openxmlformats.org/officeDocument/2006/relationships/hyperlink" Id="rId322" Target="https://doi.org/10.1111/2041-210X.12425" TargetMode="External" /><Relationship Type="http://schemas.openxmlformats.org/officeDocument/2006/relationships/hyperlink" Id="rId312" Target="https://doi.org/10.1111/2041-210X.12613" TargetMode="External" /><Relationship Type="http://schemas.openxmlformats.org/officeDocument/2006/relationships/hyperlink" Id="rId318" Target="https://doi.org/10.1198/000313001300339897" TargetMode="External" /><Relationship Type="http://schemas.openxmlformats.org/officeDocument/2006/relationships/hyperlink" Id="rId290" Target="https://doi.org/10.1198/108571102320" TargetMode="External" /><Relationship Type="http://schemas.openxmlformats.org/officeDocument/2006/relationships/hyperlink" Id="rId263" Target="https://doi.org/10.18637/jss.v022.i07" TargetMode="External" /><Relationship Type="http://schemas.openxmlformats.org/officeDocument/2006/relationships/hyperlink" Id="rId265" Target="https://doi.org/10.1890/0012-9615(1999)069[0001:DBRDAO]2.0.CO;2" TargetMode="External" /><Relationship Type="http://schemas.openxmlformats.org/officeDocument/2006/relationships/hyperlink" Id="rId308" Target="https://doi.org/10.1890/11-1952.1" TargetMode="External" /><Relationship Type="http://schemas.openxmlformats.org/officeDocument/2006/relationships/hyperlink" Id="rId326" Target="https://doi.org/10.1890/12-2010.1" TargetMode="External" /><Relationship Type="http://schemas.openxmlformats.org/officeDocument/2006/relationships/hyperlink" Id="rId304" Target="https://doi.org/10.2307/2529826" TargetMode="External" /><Relationship Type="http://schemas.openxmlformats.org/officeDocument/2006/relationships/hyperlink" Id="rId271" Target="https://doi.org/10.30861/9781841718309" TargetMode="External" /><Relationship Type="http://schemas.openxmlformats.org/officeDocument/2006/relationships/hyperlink" Id="rId296"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2026-09-06T06:22:17Z</dcterms:created>
  <dcterms:modified xsi:type="dcterms:W3CDTF">2026-09-06T06:22:17Z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5,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