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do</w:t>
      </w:r>
      <w:r>
        <w:t xml:space="preserve"> </w:t>
      </w:r>
      <w:r>
        <w:t xml:space="preserve">not</w:t>
      </w:r>
      <w:r>
        <w:t xml:space="preserve"> </w:t>
      </w:r>
      <w:r>
        <w:t xml:space="preserve">reveal</w:t>
      </w:r>
      <w:r>
        <w:t xml:space="preserve"> </w:t>
      </w:r>
      <w:r>
        <w:t xml:space="preserve">geographically</w:t>
      </w:r>
      <w:r>
        <w:t xml:space="preserve"> </w:t>
      </w:r>
      <w:r>
        <w:t xml:space="preserve">distinct</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5,</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hypothesize a two-group structure of restricted versus broad geometric-sign repertoires. Stochastic block modelling recovers the restricted/broad split as its two largest blocks in Aur-P1, while selecting a single block in Aur-P2; but the richness gap between the groups is not distinguishable from a group difference once the saturating richness–effort relationship is modelled. The early phase has a larger site network, but permutation tests indicate that the phases do not differ significantly in edge density, modularity, mean betweenness, or component count. Size-normalized mean degree ratios are equivalent across phases, confirming the observed connectivity differences track network size rather than intrinsic community structure. The late phase (Aur-P2; 9 sites) shows a weaker, less resolved structure.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This sample of geometric signs does not show the geographically distinct clusters found in personal ornaments; their function (e.g. notation, calendrical, identity) remains unresolved.</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group dynamics in the Aurignacian period, providing insights into our understanding how early groups of</w:t>
      </w:r>
      <w:r>
        <w:t xml:space="preserve"> </w:t>
      </w:r>
      <w:r>
        <w:rPr>
          <w:iCs/>
          <w:i/>
        </w:rPr>
        <w:t xml:space="preserve">Homo sapiens</w:t>
      </w:r>
      <w:r>
        <w:t xml:space="preserve"> </w:t>
      </w:r>
      <w:r>
        <w:t xml:space="preserve">interacted with each other and their environments. We present the first systematic application of seriation and network analysis to Aurignacian mobile-object geometric signs, complemented by robust sensitivity and validation analyses.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but nominally statistically significant correlation (R = 0.062, p = 0.008).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S5.12):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and sign type distribution (R = 0.151, p = 0.082), validating our decision to use presence/absence data.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This reveals no candidate is significant, so the null Mantel does not identify any specific alternative process. A Mantel correlogram likewise shows no significant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w:t>
      </w:r>
      <w:r>
        <w:t xml:space="preserve">S5.11).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It detects a weak linear geographic trend in Aur-P1 (R² = 0.156, adjusted R² = 0.057, p = 0.038) but no signal in Aur-P2 (R² = 0.191, adjusted R² = -0.078, p = 0.85). The Aur-P1 trend explains only about six percent of the adjusted variation, so it qualifies rather than overturns the Mantel null: at most a faint geographic gradient is distinguishable,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c>
                <w:tcPr/>
                <w:p>
                  <w:pPr>
                    <w:pStyle w:val="Compact"/>
                    <w:jc w:val="left"/>
                    <w:jc w:val="center"/>
                  </w:pPr>
                  <w:r>
                    <w:t xml:space="preserve">Mantel 95% CI</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c>
                <w:tcPr/>
                <w:p>
                  <w:pPr>
                    <w:pStyle w:val="Compact"/>
                    <w:jc w:val="left"/>
                    <w:jc w:val="center"/>
                  </w:pPr>
                  <w:r>
                    <w:t xml:space="preserve">[-0.022, 0.086]</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c>
                <w:tcPr/>
                <w:p>
                  <w:pPr>
                    <w:pStyle w:val="Compact"/>
                    <w:jc w:val="left"/>
                    <w:jc w:val="center"/>
                  </w:pPr>
                  <w:r>
                    <w:t xml:space="preserve">[-0.355, -0.231]</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 same procedure as S1 S5.11).</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w:t>
      </w:r>
      <w:r>
        <w:t xml:space="preserve"> </w:t>
      </w:r>
      <w:r>
        <w:t xml:space="preserve">“</w:t>
      </w:r>
      <w:r>
        <w:t xml:space="preserve">Sensitivity Analyses</w:t>
      </w:r>
      <w:r>
        <w:t xml:space="preserve">”</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explore the robustness of the two-group hypothesis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which is a signal that both groups are internally coherent and sharply separated. The strength of this signal is much lower for Aur-P2, where the pattern is 0.49 within the restricted block and 0.92 within the broader block, against 0.4 across the blocks. The stochastic block model analysis, which tests whether the proposed groups emerge as latent network communities without being supplied to the model in advance, partly supports the two-group hypothesis in Aur-P1: all three emission models (Bernoulli K = 3, Gaussian K = 4, Poisson K = 3) recover the restricted/broad split as their two largest blocks; Bernoulli and Gaussian additionally isolate Labeko Koba, Les Cottés, and Trou al’Wesse as a small third block, while under Poisson the same two broad sites pair off and Grotte du Renne joins the large mixed block (S1</w:t>
      </w:r>
      <w:r>
        <w:t xml:space="preserve"> </w:t>
      </w:r>
      <w:r>
        <w:t xml:space="preserve">“</w:t>
      </w:r>
      <w:r>
        <w:t xml:space="preserve">Sensitivity Analyses</w:t>
      </w:r>
      <w:r>
        <w:t xml:space="preserve">”</w:t>
      </w:r>
      <w:r>
        <w:t xml:space="preserve">). In Aur-P2 the Bernoulli and Poisson models select a single block and only the Gaussian model selects two, by 0.90 ICL points. We therefore retain the restricted/broad division as a dominant axis of sign type composition variation (rich vs. poor sign repertoires) with a stable small-block refinement in Aur-P1, rather than an exact two-group partition, and treat the Aur-P2 grouping as provisional. Network analysis allows us to evaluate how these sites may have been connected along this axis.</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 randomization,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The Aur-P1–Aur-P2 contrast is therefore primarily one of network scale rather than a statistically distinguishable community structure. Object-within-site bootstrap stability bands likewise overlap between phases (S1),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unsually large sign assemblage; (3) excluding figurines concentrated at Vogelherd (S1</w:t>
      </w:r>
      <w:r>
        <w:t xml:space="preserve"> </w:t>
      </w:r>
      <w:r>
        <w:t xml:space="preserve">“</w:t>
      </w:r>
      <w:r>
        <w:t xml:space="preserve">Sensitivity Analyses</w:t>
      </w:r>
      <w:r>
        <w:t xml:space="preserve">”</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perhaps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 Partitions Around Medoids on geodesic distances between sites finds two groups as a parsimonious grouping for Aur-P1 only (S1</w:t>
      </w:r>
      <w:r>
        <w:t xml:space="preserve"> </w:t>
      </w:r>
      <w:r>
        <w:t xml:space="preserve">“</w:t>
      </w:r>
      <w:r>
        <w:t xml:space="preserve">Sensitivity Analyses</w:t>
      </w:r>
      <w:r>
        <w:t xml:space="preserve">”</w:t>
      </w:r>
      <w:r>
        <w:t xml:space="preserve">). These two groups are roughly West versus Central Europe, separating the Dordogne bloc tradition from the Swabian ivory tradition, and likely reflective research effort history rather than past cultural groups.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1900"/>
              <w:gridCol w:w="1372"/>
              <w:gridCol w:w="1267"/>
              <w:gridCol w:w="1267"/>
              <w:gridCol w:w="2112"/>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c>
                <w:tcPr/>
                <w:p>
                  <w:pPr>
                    <w:pStyle w:val="Compact"/>
                    <w:jc w:val="left"/>
                    <w:jc w:val="center"/>
                  </w:pPr>
                  <w:r>
                    <w:t xml:space="preserve">PerMANOVA R2 95% CI</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c>
                <w:tcPr/>
                <w:p>
                  <w:pPr>
                    <w:pStyle w:val="Compact"/>
                    <w:jc w:val="left"/>
                    <w:jc w:val="center"/>
                  </w:pPr>
                  <w:r>
                    <w:t xml:space="preserve">[0.145, 0.206]</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c>
                <w:tcPr/>
                <w:p>
                  <w:pPr>
                    <w:pStyle w:val="Compact"/>
                    <w:jc w:val="left"/>
                    <w:jc w:val="center"/>
                  </w:pPr>
                  <w:r>
                    <w:t xml:space="preserve">[0.132, 0.229]</w:t>
                  </w:r>
                </w:p>
              </w:tc>
            </w:tr>
          </w:tbl>
          <w:p>
            <w:pPr>
              <w:jc w:val="center"/>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Betadisper did not detect a significant difference in within-group dispersion in either phase; this does not establish equal dispersions, so the PerMANOVA results should be interpreted cautiously. Complementary analyses provide mixed evidence (see our S1</w:t>
      </w:r>
      <w:r>
        <w:t xml:space="preserve"> </w:t>
      </w:r>
      <w:r>
        <w:t xml:space="preserve">“</w:t>
      </w:r>
      <w:r>
        <w:t xml:space="preserve">Sensitivity Analyses</w:t>
      </w:r>
      <w:r>
        <w:t xml:space="preserve">”</w:t>
      </w:r>
      <w:r>
        <w:t xml:space="preserve">). Object-half holdout shows that a richness-based contrast can be recovered from disjoint objects, but the contrast is weaker when Jaccard’s nestedness component is removed using Simpson turnover. Leave-one-out classification indicates that the labels vary smoothly across the Jaccard composition space rather than independently confirming a discrete partition, and the fixed-fixed Curveball test does not show that the optimised split exceeds richness-preserving expectations.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a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unusally high number of signs, does not change the gradient observation.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Communities differ mainly in the frequency of the most widespread sign types, with no type exclusive to one community, which favours graded repertoires over discrete provinces (S1).</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indicating the Aur-P1–Aur-P2 contrast is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Sampling effort is a major qualification on this social structure interpretation: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Among the subset of sites that attain comparable coverage, broad-range sites remain richer, and a negative-binomial model with an estimated, rather than fixed, richness–effort exponent is consistent with a residual group difference at equal object count; however, this estimate is imprecise because the sample is small and group membership is strongly collinear with object count (S1). At the phase level, the Jaccard separation is not greater than expected under a fixed-margin null preserving site richness and sign-type frequencies, and no separation remains on Simpson turnover, which removes the nestedness component of Jaccard (S1 S10.1).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[63]</w:t>
      </w:r>
      <w:r>
        <w:t xml:space="preserve">;</w:t>
      </w:r>
      <w:r>
        <w:t xml:space="preserve"> </w:t>
      </w:r>
      <w:r>
        <w:t xml:space="preserve">[64]</w:t>
      </w:r>
      <w:r>
        <w:t xml:space="preserve">;</w:t>
      </w:r>
      <w:r>
        <w:t xml:space="preserve"> </w:t>
      </w:r>
      <w:r>
        <w:t xml:space="preserve">[49]</w:t>
      </w:r>
      <w:r>
        <w:t xml:space="preserve">;</w:t>
      </w:r>
      <w:r>
        <w:t xml:space="preserve"> </w:t>
      </w:r>
      <w:r>
        <w:t xml:space="preserve">[65]</w:t>
      </w:r>
      <w:r>
        <w:t xml:space="preserve">;</w:t>
      </w:r>
      <w:r>
        <w:t xml:space="preserve"> </w:t>
      </w:r>
      <w:r>
        <w:t xml:space="preserve">[50]</w:t>
      </w:r>
      <w:r>
        <w:t xml:space="preserve">. Non-utilitarian mobility establishes regional social networks which facilitate the spread of information and the survival of hunter-gatherers in uncertain environments</w:t>
      </w:r>
      <w:r>
        <w:t xml:space="preserve"> </w:t>
      </w:r>
      <w:r>
        <w:t xml:space="preserve">[66]</w:t>
      </w:r>
      <w:r>
        <w:t xml:space="preserve">;</w:t>
      </w:r>
      <w:r>
        <w:t xml:space="preserve"> </w:t>
      </w:r>
      <w:r>
        <w:t xml:space="preserve">[67]</w:t>
      </w:r>
      <w:r>
        <w:t xml:space="preserve">;</w:t>
      </w:r>
      <w:r>
        <w:t xml:space="preserve"> </w:t>
      </w:r>
      <w:r>
        <w:t xml:space="preserve">[68]</w:t>
      </w:r>
      <w:r>
        <w:t xml:space="preserve">;</w:t>
      </w:r>
      <w:r>
        <w:t xml:space="preserve"> </w:t>
      </w:r>
      <w:r>
        <w:t xml:space="preserve">[69]</w:t>
      </w:r>
      <w:r>
        <w:t xml:space="preserve">;</w:t>
      </w:r>
      <w:r>
        <w:t xml:space="preserve"> </w:t>
      </w:r>
      <w:r>
        <w:t xml:space="preserve">[70]</w:t>
      </w:r>
      <w:r>
        <w:t xml:space="preserve">. The exchange and production of decorative items, such as objects with geometric signs, has been associated with non-utilitarian mobility and recognized as an indicator of social contact</w:t>
      </w:r>
      <w:r>
        <w:t xml:space="preserve"> </w:t>
      </w:r>
      <w:r>
        <w:t xml:space="preserve">[66]</w:t>
      </w:r>
      <w:r>
        <w:t xml:space="preserve">;</w:t>
      </w:r>
      <w:r>
        <w:t xml:space="preserve"> </w:t>
      </w:r>
      <w:r>
        <w:t xml:space="preserve">[71]</w:t>
      </w:r>
      <w:r>
        <w:t xml:space="preserve">;</w:t>
      </w:r>
      <w:r>
        <w:t xml:space="preserve"> </w:t>
      </w:r>
      <w:r>
        <w:t xml:space="preserve">[72]</w:t>
      </w:r>
      <w:r>
        <w:t xml:space="preserve">;</w:t>
      </w:r>
      <w:r>
        <w:t xml:space="preserve"> </w:t>
      </w:r>
      <w:r>
        <w:t xml:space="preserve">[73]</w:t>
      </w:r>
      <w:r>
        <w:t xml:space="preserve">;</w:t>
      </w:r>
      <w:r>
        <w:t xml:space="preserve"> </w:t>
      </w:r>
      <w:r>
        <w:t xml:space="preserve">[74]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(as a possible indicator of aggregation) showed a weak, non-significant trends with network degree after Benjamini‑Hochberg correction (ρ = -0.35, p = 0.095). However, because this trend is not significant, it is not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broad-restricted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differ significantly in size-adjusted network statistics and that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(Partioning Around Medoids on geodesic distances, k=2 to 5, with Jaccard dissimilarity and PerMANOVA) found no significant differences across geographic groups (S1).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The lack of significant geographic structure in either phase contradicts simple isolation-by-distance models</w:t>
      </w:r>
      <w:r>
        <w:t xml:space="preserve"> </w:t>
      </w:r>
      <w:r>
        <w:t xml:space="preserve">[99,103]</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[104]</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[105]</w:t>
      </w:r>
      <w:r>
        <w:t xml:space="preserve">’s proposal that sign sequences having protocuneiform-like information density, suggesting notational function, or</w:t>
      </w:r>
      <w:r>
        <w:t xml:space="preserve"> </w:t>
      </w:r>
      <w:r>
        <w:t xml:space="preserve">[106]</w:t>
      </w:r>
      <w:r>
        <w:t xml:space="preserve">’s claim that some sign recording seasonal prey information. However, these hypotheses are contested:</w:t>
      </w:r>
      <w:r>
        <w:t xml:space="preserve"> </w:t>
      </w:r>
      <w:r>
        <w:t xml:space="preserve">[107]</w:t>
      </w:r>
      <w:r>
        <w:t xml:space="preserve"> </w:t>
      </w:r>
      <w:r>
        <w:t xml:space="preserve">note methodological issues in Bentz &amp; Dutkiewicz;</w:t>
      </w:r>
      <w:r>
        <w:t xml:space="preserve"> </w:t>
      </w:r>
      <w:r>
        <w:t xml:space="preserve">[108]</w:t>
      </w:r>
      <w:r>
        <w:t xml:space="preserve"> </w:t>
      </w:r>
      <w:r>
        <w:t xml:space="preserve">and</w:t>
      </w:r>
      <w:r>
        <w:t xml:space="preserve"> </w:t>
      </w:r>
      <w:r>
        <w:t xml:space="preserve">[109]</w:t>
      </w:r>
      <w:r>
        <w:t xml:space="preserve"> </w:t>
      </w:r>
      <w:r>
        <w:t xml:space="preserve">argue the lunar calendar hypothesis is untestable, circular, and selectively uses data;</w:t>
      </w:r>
      <w:r>
        <w:t xml:space="preserve"> </w:t>
      </w:r>
      <w:r>
        <w:t xml:space="preserve">[110]</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[3,77,111–114]</w:t>
      </w:r>
      <w:r>
        <w:t xml:space="preserve"> </w:t>
      </w:r>
      <w:r>
        <w:t xml:space="preserve">has used material culture analysis to reconstruct Upper Palaeolithic social networks, which have been argued to be a driver of cultural and evolutionary change</w:t>
      </w:r>
      <w:r>
        <w:t xml:space="preserve"> </w:t>
      </w:r>
      <w:r>
        <w:t xml:space="preserve">[2,70,115–119]</w:t>
      </w:r>
      <w:r>
        <w:t xml:space="preserve">. Our results show that the current sample of geometric signs does not support any significant change over the Aurignacian.</w:t>
      </w:r>
    </w:p>
    <w:p>
      <w:pPr>
        <w:pStyle w:val="BodyText"/>
      </w:pPr>
      <w:r>
        <w:t xml:space="preserve">A restricted/broad repertoire axis is visually evident in seriation and supported by bootstrap co-clustering (Aur-P1: within-block 0.75/0.97 vs. across-block 0.2; Aur-P2: 0.49/0.92 vs. 0.4). A negative-binomial regression with an estimated richness–effort exponent finds the group contrast persists at equal object count (rate ratio 2.31, p = 0.003). Stochastic block models recover the two-group partition as their two largest blocks in Aur-P1 under all three emission models (Bernoulli K = 3, Gaussian K = 4, Poisson K = 3; S1 §S9.3), with Labeko Koba, Les Cottés, and Trou al’Wesse forming a stable third block under Bernoulli and Gaussian models (under Poisson the same two broad sites pair off while Grotte du Renne joins the large mixed block), while in Aur-P2 the Bernoulli and Poisson models select a single block. Cross-validation (leave-one-out, object-half holdout, gradient PerMANOVA) recovers the axis, yet the maximally-selected split test under a fixed-fixed (Curveball) null is not significant in either phase (Aur-P1 p = 0.106; Aur-P2 p = 0.984).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However, bootstrap confidence intervals (S1) show the tests are underpowered, so these are null results reflecting limited power, not evidence of geographic irrelevance. Geometric signs do not exhibit the geographically distinct clusters reported for personal ornaments</w:t>
      </w:r>
      <w:r>
        <w:t xml:space="preserve"> </w:t>
      </w:r>
      <w:r>
        <w:t xml:space="preserve">[3,6]</w:t>
      </w:r>
      <w:r>
        <w:t xml:space="preserve">; whether they encode different identity dimensions (notation, calendrical recording, information storage) remains speculative and untested</w:t>
      </w:r>
      <w:r>
        <w:t xml:space="preserve"> </w:t>
      </w:r>
      <w:r>
        <w:t xml:space="preserve">[105–110]</w:t>
      </w:r>
      <w:r>
        <w:t xml:space="preserve">. Our findings are consistent with the conclusions of</w:t>
      </w:r>
      <w:r>
        <w:t xml:space="preserve"> </w:t>
      </w:r>
      <w:r>
        <w:t xml:space="preserve">[95]</w:t>
      </w:r>
      <w:r>
        <w:t xml:space="preserve"> </w:t>
      </w:r>
      <w:r>
        <w:t xml:space="preserve">that cultural identity by-descent with modification is a likely explanation for the distribution of Aurignacian ornaments.</w:t>
      </w:r>
    </w:p>
    <w:p>
      <w:pPr>
        <w:pStyle w:val="BodyText"/>
      </w:pPr>
      <w:r>
        <w:t xml:space="preserve">Our study has four limitations. First is the ambiguity of some of the sign types. While</w:t>
      </w:r>
      <w:r>
        <w:t xml:space="preserve"> </w:t>
      </w:r>
      <w:r>
        <w:t xml:space="preserve">[120]</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[121]</w:t>
      </w:r>
      <w:r>
        <w:t xml:space="preserve">, and additionally, greater quantities of included sign types serve to establish stronger connections</w:t>
      </w:r>
      <w:r>
        <w:t xml:space="preserve"> </w:t>
      </w:r>
      <w:r>
        <w:t xml:space="preserve">[122]</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[105]</w:t>
      </w:r>
      <w:r>
        <w:t xml:space="preserve">.</w:t>
      </w:r>
    </w:p>
    <w:p>
      <w:pPr>
        <w:pStyle w:val="BodyText"/>
      </w:pPr>
      <w:r>
        <w:t xml:space="preserve">A second limitation concerns the effects of time-averaging on our network reconstructions.</w:t>
      </w:r>
      <w:r>
        <w:t xml:space="preserve"> </w:t>
      </w:r>
      <w:r>
        <w:t xml:space="preserve">[123]</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[124,125]</w:t>
      </w:r>
      <w:r>
        <w:t xml:space="preserve">, La Ferrassie’s Aurignacian begins with the Early Aurignacian directly above the Châtelperronian</w:t>
      </w:r>
      <w:r>
        <w:t xml:space="preserve"> </w:t>
      </w:r>
      <w:r>
        <w:t xml:space="preserve">[126]</w:t>
      </w:r>
      <w:r>
        <w:t xml:space="preserve">, and Mladeč’s massive-base bone points and ~31 ka ¹⁴C BP (~35–36 ka cal BP) dates indicate an Evolved (Aur-P2) attribution</w:t>
      </w:r>
      <w:r>
        <w:t xml:space="preserve"> </w:t>
      </w:r>
      <w:r>
        <w:t xml:space="preserve">[127]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[128]</w:t>
      </w:r>
      <w:r>
        <w:t xml:space="preserve">. After exclusions, Aur-P2 rests on only 9 sites and 63 objects, so its two-group structure and network statistics have limited power. To manage this limitation we tested the sensitivity of our assignments to reverting to purely date-based criteria in S1</w:t>
      </w:r>
      <w:r>
        <w:t xml:space="preserve"> </w:t>
      </w:r>
      <w:r>
        <w:t xml:space="preserve">“</w:t>
      </w:r>
      <w:r>
        <w:t xml:space="preserve">Sensitivity Analyses</w:t>
      </w:r>
      <w:r>
        <w:t xml:space="preserve">”</w:t>
      </w:r>
      <w:r>
        <w:t xml:space="preserve"> </w:t>
      </w:r>
      <w:r>
        <w:t xml:space="preserve">and find that the main structures are generally robust. Date parsing itself removes assemblages whose reported dates lack uncertainties, including a large assemblage that would otherwise fall late, so the small Aur-P2 sample partly reflects dating-quality filtering rather than only archaeology (S1). Alternative calibrations move a few boundary sites between phases without changing the phase ordering (S1).</w:t>
      </w:r>
    </w:p>
    <w:p>
      <w:pPr>
        <w:pStyle w:val="BodyText"/>
      </w:pPr>
      <w:r>
        <w:t xml:space="preserve">Fourth, the restricted/broad gradient may not be independent from sampling intensity. Object-level resampling shows that only the best-sampled sites retain stable group assignments when compared at a common object count. A negative-binomial regression with an estimated richness–effort exponent finds the group contrast persists at equal object count (rate ratio 2.31, p = 0.003; S1 S9.4); the offset specification that found no effect fixed the exponent at 1, which the data reject. The raw richness gap is therefore not distinguishable from a genuine group difference, and for sites represented by only a few objects the restricted/broad membership remains provisional. The division should accordingly be read as a descriptive axis of variation whose separation from sampling effort is not demonstrated for small-object sites.</w:t>
      </w:r>
    </w:p>
    <w:bookmarkEnd w:id="61"/>
    <w:bookmarkStart w:id="305" w:name="references"/>
    <w:p>
      <w:pPr>
        <w:pStyle w:val="Heading1"/>
      </w:pPr>
      <w:r>
        <w:t xml:space="preserve">References</w:t>
      </w:r>
    </w:p>
    <w:bookmarkStart w:id="304"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w:t>
      </w:r>
      <w:r>
        <w:t xml:space="preserve"> </w:t>
      </w:r>
      <w:hyperlink r:id="rId112">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https://doi.org/10.1890/0012-9615(1999)069[0001:DBRDAO]2.0.CO;2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w:t>
      </w:r>
      <w:r>
        <w:t xml:space="preserve"> </w:t>
      </w:r>
      <w:hyperlink r:id="rId134">
        <w:r>
          <w:rPr>
            <w:rStyle w:val="Hyperlink"/>
          </w:rPr>
          <w:t xml:space="preserve">Statnet: Software tools for the statistical analysis of network data</w:t>
        </w:r>
      </w:hyperlink>
      <w:r>
        <w:t xml:space="preserve"> </w:t>
      </w:r>
      <w:r>
        <w:t xml:space="preserve">2019.</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8"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88"/>
    <w:bookmarkStart w:id="190"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89">
        <w:r>
          <w:rPr>
            <w:rStyle w:val="Hyperlink"/>
          </w:rPr>
          <w:t xml:space="preserve">https://doi.org/10.2307/j.ctvdmwwz4.7</w:t>
        </w:r>
      </w:hyperlink>
      <w:r>
        <w:t xml:space="preserve">.</w:t>
      </w:r>
    </w:p>
    <w:bookmarkEnd w:id="190"/>
    <w:bookmarkStart w:id="192"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1">
        <w:r>
          <w:rPr>
            <w:rStyle w:val="Hyperlink"/>
          </w:rPr>
          <w:t xml:space="preserve">https://doi.org/10.2307/j.ctvdmwwz4.10</w:t>
        </w:r>
      </w:hyperlink>
      <w:r>
        <w:t xml:space="preserve">.</w:t>
      </w:r>
    </w:p>
    <w:bookmarkEnd w:id="192"/>
    <w:bookmarkStart w:id="194"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3">
        <w:r>
          <w:rPr>
            <w:rStyle w:val="Hyperlink"/>
          </w:rPr>
          <w:t xml:space="preserve">https://doi.org/10.1098/rstb.2020.0318</w:t>
        </w:r>
      </w:hyperlink>
      <w:r>
        <w:t xml:space="preserve">.</w:t>
      </w:r>
    </w:p>
    <w:bookmarkEnd w:id="194"/>
    <w:bookmarkStart w:id="196"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5">
        <w:r>
          <w:rPr>
            <w:rStyle w:val="Hyperlink"/>
          </w:rPr>
          <w:t xml:space="preserve">https://doi.org/10.1111/tops.12762</w:t>
        </w:r>
      </w:hyperlink>
      <w:r>
        <w:t xml:space="preserve">.</w:t>
      </w:r>
    </w:p>
    <w:bookmarkEnd w:id="196"/>
    <w:bookmarkStart w:id="198"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7">
        <w:r>
          <w:rPr>
            <w:rStyle w:val="Hyperlink"/>
          </w:rPr>
          <w:t xml:space="preserve">https://doi.org/10.3213/2191-5784-10243</w:t>
        </w:r>
      </w:hyperlink>
      <w:r>
        <w:t xml:space="preserve">.</w:t>
      </w:r>
    </w:p>
    <w:bookmarkEnd w:id="198"/>
    <w:bookmarkStart w:id="200" w:name="ref-Newlander_2012"/>
    <w:p>
      <w:pPr>
        <w:pStyle w:val="Bibliography"/>
      </w:pPr>
      <w:r>
        <w:t xml:space="preserve">[73]</w:t>
      </w:r>
      <w:r>
        <w:t xml:space="preserve"> </w:t>
      </w:r>
      <w:r>
        <w:t xml:space="preserve">	</w:t>
      </w:r>
      <w:r>
        <w:t xml:space="preserve">Newlander KS.</w:t>
      </w:r>
      <w:r>
        <w:t xml:space="preserve"> </w:t>
      </w:r>
      <w:hyperlink r:id="rId199">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0"/>
    <w:bookmarkStart w:id="202"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1">
        <w:r>
          <w:rPr>
            <w:rStyle w:val="Hyperlink"/>
          </w:rPr>
          <w:t xml:space="preserve">https://doi.org/10.1371/journal.pone.0265329</w:t>
        </w:r>
      </w:hyperlink>
      <w:r>
        <w:t xml:space="preserve">.</w:t>
      </w:r>
    </w:p>
    <w:bookmarkEnd w:id="202"/>
    <w:bookmarkStart w:id="204"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3">
        <w:r>
          <w:rPr>
            <w:rStyle w:val="Hyperlink"/>
          </w:rPr>
          <w:t xml:space="preserve">https://doi.org/10.1086/202540</w:t>
        </w:r>
      </w:hyperlink>
      <w:r>
        <w:t xml:space="preserve">.</w:t>
      </w:r>
    </w:p>
    <w:bookmarkEnd w:id="204"/>
    <w:bookmarkStart w:id="206"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5">
        <w:r>
          <w:rPr>
            <w:rStyle w:val="Hyperlink"/>
          </w:rPr>
          <w:t xml:space="preserve">https://doi.org/10.1086/701523</w:t>
        </w:r>
      </w:hyperlink>
      <w:r>
        <w:t xml:space="preserve">.</w:t>
      </w:r>
    </w:p>
    <w:bookmarkEnd w:id="206"/>
    <w:bookmarkStart w:id="208"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7">
        <w:r>
          <w:rPr>
            <w:rStyle w:val="Hyperlink"/>
          </w:rPr>
          <w:t xml:space="preserve">https://doi.org/10.1111/j.1468-0092.1982.tb00313.x</w:t>
        </w:r>
      </w:hyperlink>
      <w:r>
        <w:t xml:space="preserve">.</w:t>
      </w:r>
    </w:p>
    <w:bookmarkEnd w:id="208"/>
    <w:bookmarkStart w:id="210"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9">
        <w:r>
          <w:rPr>
            <w:rStyle w:val="Hyperlink"/>
          </w:rPr>
          <w:t xml:space="preserve">https://doi.org/10.1016/j.jaa.2013.05.005</w:t>
        </w:r>
      </w:hyperlink>
      <w:r>
        <w:t xml:space="preserve">.</w:t>
      </w:r>
    </w:p>
    <w:bookmarkEnd w:id="210"/>
    <w:bookmarkStart w:id="212"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1">
        <w:r>
          <w:rPr>
            <w:rStyle w:val="Hyperlink"/>
          </w:rPr>
          <w:t xml:space="preserve">https://doi.org/10.4000/palethnologie.4945</w:t>
        </w:r>
      </w:hyperlink>
      <w:r>
        <w:t xml:space="preserve">.</w:t>
      </w:r>
    </w:p>
    <w:bookmarkEnd w:id="212"/>
    <w:bookmarkStart w:id="214"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3">
        <w:r>
          <w:rPr>
            <w:rStyle w:val="Hyperlink"/>
          </w:rPr>
          <w:t xml:space="preserve">https://doi.org/10.1086/202802</w:t>
        </w:r>
      </w:hyperlink>
      <w:r>
        <w:t xml:space="preserve">.</w:t>
      </w:r>
    </w:p>
    <w:bookmarkEnd w:id="214"/>
    <w:bookmarkStart w:id="215"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5"/>
    <w:bookmarkStart w:id="217"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6">
        <w:r>
          <w:rPr>
            <w:rStyle w:val="Hyperlink"/>
          </w:rPr>
          <w:t xml:space="preserve">https://doi.org/10.1146/annurev.an.23.100194.002411</w:t>
        </w:r>
      </w:hyperlink>
      <w:r>
        <w:t xml:space="preserve">.</w:t>
      </w:r>
    </w:p>
    <w:bookmarkEnd w:id="217"/>
    <w:bookmarkStart w:id="219"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8">
        <w:r>
          <w:rPr>
            <w:rStyle w:val="Hyperlink"/>
          </w:rPr>
          <w:t xml:space="preserve">https://doi.org/10.5281/zenodo.15397990</w:t>
        </w:r>
      </w:hyperlink>
      <w:r>
        <w:t xml:space="preserve">.</w:t>
      </w:r>
    </w:p>
    <w:bookmarkEnd w:id="219"/>
    <w:bookmarkStart w:id="221"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0">
        <w:r>
          <w:rPr>
            <w:rStyle w:val="Hyperlink"/>
          </w:rPr>
          <w:t xml:space="preserve">https://doi.org/10.2307/280511</w:t>
        </w:r>
      </w:hyperlink>
      <w:r>
        <w:t xml:space="preserve">.</w:t>
      </w:r>
    </w:p>
    <w:bookmarkEnd w:id="221"/>
    <w:bookmarkStart w:id="223"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2">
        <w:r>
          <w:rPr>
            <w:rStyle w:val="Hyperlink"/>
          </w:rPr>
          <w:t xml:space="preserve">https://doi.org/10.1038/s41467-024-51349-y</w:t>
        </w:r>
      </w:hyperlink>
      <w:r>
        <w:t xml:space="preserve">.</w:t>
      </w:r>
    </w:p>
    <w:bookmarkEnd w:id="223"/>
    <w:bookmarkStart w:id="225"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24">
        <w:r>
          <w:rPr>
            <w:rStyle w:val="Hyperlink"/>
          </w:rPr>
          <w:t xml:space="preserve">https://doi.org/10.1080/03122417.1992.11681454</w:t>
        </w:r>
      </w:hyperlink>
      <w:r>
        <w:t xml:space="preserve">.</w:t>
      </w:r>
    </w:p>
    <w:bookmarkEnd w:id="225"/>
    <w:bookmarkStart w:id="226"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6"/>
    <w:bookmarkStart w:id="228"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7">
        <w:r>
          <w:rPr>
            <w:rStyle w:val="Hyperlink"/>
          </w:rPr>
          <w:t xml:space="preserve">https://doi.org/10.1002/9780470773475.ch5</w:t>
        </w:r>
      </w:hyperlink>
      <w:r>
        <w:t xml:space="preserve">.</w:t>
      </w:r>
    </w:p>
    <w:bookmarkEnd w:id="228"/>
    <w:bookmarkStart w:id="230"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29">
        <w:r>
          <w:rPr>
            <w:rStyle w:val="Hyperlink"/>
          </w:rPr>
          <w:t xml:space="preserve">https://doi.org/10.1016/B978-0-12-564750-2.50020-2</w:t>
        </w:r>
      </w:hyperlink>
      <w:r>
        <w:t xml:space="preserve">.</w:t>
      </w:r>
    </w:p>
    <w:bookmarkEnd w:id="230"/>
    <w:bookmarkStart w:id="232"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1">
        <w:r>
          <w:rPr>
            <w:rStyle w:val="Hyperlink"/>
          </w:rPr>
          <w:t xml:space="preserve">https://doi.org/10.1080/00438243.1994.9980272</w:t>
        </w:r>
      </w:hyperlink>
      <w:r>
        <w:t xml:space="preserve">.</w:t>
      </w:r>
    </w:p>
    <w:bookmarkEnd w:id="232"/>
    <w:bookmarkStart w:id="234"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3">
        <w:r>
          <w:rPr>
            <w:rStyle w:val="Hyperlink"/>
          </w:rPr>
          <w:t xml:space="preserve">https://doi.org/10.1002/9781118253892.ch6</w:t>
        </w:r>
      </w:hyperlink>
      <w:r>
        <w:t xml:space="preserve">.</w:t>
      </w:r>
    </w:p>
    <w:bookmarkEnd w:id="234"/>
    <w:bookmarkStart w:id="236"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5">
        <w:r>
          <w:rPr>
            <w:rStyle w:val="Hyperlink"/>
          </w:rPr>
          <w:t xml:space="preserve">https://doi.org/10.2307/40035267</w:t>
        </w:r>
      </w:hyperlink>
      <w:r>
        <w:t xml:space="preserve">.</w:t>
      </w:r>
    </w:p>
    <w:bookmarkEnd w:id="236"/>
    <w:bookmarkStart w:id="238"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7">
        <w:r>
          <w:rPr>
            <w:rStyle w:val="Hyperlink"/>
          </w:rPr>
          <w:t xml:space="preserve">https://doi.org/10.1016/0278-4165(84)90002-3</w:t>
        </w:r>
      </w:hyperlink>
      <w:r>
        <w:t xml:space="preserve">.</w:t>
      </w:r>
    </w:p>
    <w:bookmarkEnd w:id="238"/>
    <w:bookmarkStart w:id="240"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39">
        <w:r>
          <w:rPr>
            <w:rStyle w:val="Hyperlink"/>
          </w:rPr>
          <w:t xml:space="preserve">https://doi.org/10.1080/03122417.1992.11681450</w:t>
        </w:r>
      </w:hyperlink>
      <w:r>
        <w:t xml:space="preserve">.</w:t>
      </w:r>
    </w:p>
    <w:bookmarkEnd w:id="240"/>
    <w:bookmarkStart w:id="242"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1">
        <w:r>
          <w:rPr>
            <w:rStyle w:val="Hyperlink"/>
          </w:rPr>
          <w:t xml:space="preserve">https://doi.org/10.1007/978-4-431-55363-2_8</w:t>
        </w:r>
      </w:hyperlink>
      <w:r>
        <w:t xml:space="preserve">.</w:t>
      </w:r>
    </w:p>
    <w:bookmarkEnd w:id="242"/>
    <w:bookmarkStart w:id="243"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3"/>
    <w:bookmarkStart w:id="244"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4"/>
    <w:bookmarkStart w:id="245"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5"/>
    <w:bookmarkStart w:id="247"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6">
        <w:r>
          <w:rPr>
            <w:rStyle w:val="Hyperlink"/>
          </w:rPr>
          <w:t xml:space="preserve">https://doi.org/10.2307/4128416</w:t>
        </w:r>
      </w:hyperlink>
      <w:r>
        <w:t xml:space="preserve">.</w:t>
      </w:r>
    </w:p>
    <w:bookmarkEnd w:id="247"/>
    <w:bookmarkStart w:id="249"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8">
        <w:r>
          <w:rPr>
            <w:rStyle w:val="Hyperlink"/>
          </w:rPr>
          <w:t xml:space="preserve">https://doi.org/10.1126/sciadv.aax5913</w:t>
        </w:r>
      </w:hyperlink>
      <w:r>
        <w:t xml:space="preserve">.</w:t>
      </w:r>
    </w:p>
    <w:bookmarkEnd w:id="249"/>
    <w:bookmarkStart w:id="251"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0">
        <w:r>
          <w:rPr>
            <w:rStyle w:val="Hyperlink"/>
          </w:rPr>
          <w:t xml:space="preserve">https://doi.org/10.1111/brv.12599</w:t>
        </w:r>
      </w:hyperlink>
      <w:r>
        <w:t xml:space="preserve">.</w:t>
      </w:r>
    </w:p>
    <w:bookmarkEnd w:id="251"/>
    <w:bookmarkStart w:id="253"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2">
        <w:r>
          <w:rPr>
            <w:rStyle w:val="Hyperlink"/>
          </w:rPr>
          <w:t xml:space="preserve">https://doi.org/10.1093/oxfordhb/9780198854265.013.34</w:t>
        </w:r>
      </w:hyperlink>
      <w:r>
        <w:t xml:space="preserve">.</w:t>
      </w:r>
    </w:p>
    <w:bookmarkEnd w:id="253"/>
    <w:bookmarkStart w:id="255" w:name="ref-Eerkens_Lipo_2005"/>
    <w:p>
      <w:pPr>
        <w:pStyle w:val="Bibliography"/>
      </w:pPr>
      <w:r>
        <w:t xml:space="preserve">[103]</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4">
        <w:r>
          <w:rPr>
            <w:rStyle w:val="Hyperlink"/>
          </w:rPr>
          <w:t xml:space="preserve">https://doi.org/10.1016/j.jaa.2005.08.001</w:t>
        </w:r>
      </w:hyperlink>
      <w:r>
        <w:t xml:space="preserve">.</w:t>
      </w:r>
    </w:p>
    <w:bookmarkEnd w:id="255"/>
    <w:bookmarkStart w:id="257" w:name="ref-Intxaurbe_2026"/>
    <w:p>
      <w:pPr>
        <w:pStyle w:val="Bibliography"/>
      </w:pPr>
      <w:r>
        <w:t xml:space="preserve">[104]</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56">
        <w:r>
          <w:rPr>
            <w:rStyle w:val="Hyperlink"/>
          </w:rPr>
          <w:t xml:space="preserve">https://doi.org/10.1007/s10816-026-09796-y</w:t>
        </w:r>
      </w:hyperlink>
      <w:r>
        <w:t xml:space="preserve">.</w:t>
      </w:r>
    </w:p>
    <w:bookmarkEnd w:id="257"/>
    <w:bookmarkStart w:id="259" w:name="ref-Bentz_Dutkiewicz_2026"/>
    <w:p>
      <w:pPr>
        <w:pStyle w:val="Bibliography"/>
      </w:pPr>
      <w:r>
        <w:t xml:space="preserve">[105]</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58">
        <w:r>
          <w:rPr>
            <w:rStyle w:val="Hyperlink"/>
          </w:rPr>
          <w:t xml:space="preserve">https://doi.org/10.1073/pnas.2520385123</w:t>
        </w:r>
      </w:hyperlink>
      <w:r>
        <w:t xml:space="preserve">.</w:t>
      </w:r>
    </w:p>
    <w:bookmarkEnd w:id="259"/>
    <w:bookmarkStart w:id="261" w:name="ref-Bacon_2023"/>
    <w:p>
      <w:pPr>
        <w:pStyle w:val="Bibliography"/>
      </w:pPr>
      <w:r>
        <w:t xml:space="preserve">[106]</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0">
        <w:r>
          <w:rPr>
            <w:rStyle w:val="Hyperlink"/>
          </w:rPr>
          <w:t xml:space="preserve">https://doi.org/10.1017/S0959774322000415</w:t>
        </w:r>
      </w:hyperlink>
      <w:r>
        <w:t xml:space="preserve">.</w:t>
      </w:r>
    </w:p>
    <w:bookmarkEnd w:id="261"/>
    <w:bookmarkStart w:id="263" w:name="Xa4990169aeb885a690070ab4fd90972c31994f8"/>
    <w:p>
      <w:pPr>
        <w:pStyle w:val="Bibliography"/>
      </w:pPr>
      <w:r>
        <w:t xml:space="preserve">[107]</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2">
        <w:r>
          <w:rPr>
            <w:rStyle w:val="Hyperlink"/>
          </w:rPr>
          <w:t xml:space="preserve">https://doi.org/10.2139/ssrn.7053279</w:t>
        </w:r>
      </w:hyperlink>
      <w:r>
        <w:t xml:space="preserve">.</w:t>
      </w:r>
    </w:p>
    <w:bookmarkEnd w:id="263"/>
    <w:bookmarkStart w:id="265" w:name="X8ea620419c64d551554c48b7075c9934881930b"/>
    <w:p>
      <w:pPr>
        <w:pStyle w:val="Bibliography"/>
      </w:pPr>
      <w:r>
        <w:t xml:space="preserve">[108]</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4">
        <w:r>
          <w:rPr>
            <w:rStyle w:val="Hyperlink"/>
          </w:rPr>
          <w:t xml:space="preserve">https://doi.org/10.1007/s41982-023-00158-8</w:t>
        </w:r>
      </w:hyperlink>
      <w:r>
        <w:t xml:space="preserve">.</w:t>
      </w:r>
    </w:p>
    <w:bookmarkEnd w:id="265"/>
    <w:bookmarkStart w:id="267" w:name="ref-Magli_2024"/>
    <w:p>
      <w:pPr>
        <w:pStyle w:val="Bibliography"/>
      </w:pPr>
      <w:r>
        <w:t xml:space="preserve">[109]</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6">
        <w:r>
          <w:rPr>
            <w:rStyle w:val="Hyperlink"/>
          </w:rPr>
          <w:t xml:space="preserve">https://doi.org/10.1080/1751696X.2024.2441115</w:t>
        </w:r>
      </w:hyperlink>
      <w:r>
        <w:t xml:space="preserve">.</w:t>
      </w:r>
    </w:p>
    <w:bookmarkEnd w:id="267"/>
    <w:bookmarkStart w:id="269" w:name="ref-Nowell_2024_evidence"/>
    <w:p>
      <w:pPr>
        <w:pStyle w:val="Bibliography"/>
      </w:pPr>
      <w:r>
        <w:t xml:space="preserve">[110]</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68">
        <w:r>
          <w:rPr>
            <w:rStyle w:val="Hyperlink"/>
          </w:rPr>
          <w:t xml:space="preserve">https://doi.org/10.1017/S0959774324000155</w:t>
        </w:r>
      </w:hyperlink>
      <w:r>
        <w:t xml:space="preserve">.</w:t>
      </w:r>
    </w:p>
    <w:bookmarkEnd w:id="269"/>
    <w:bookmarkStart w:id="271" w:name="ref-Horiuchi_Takakura_2019"/>
    <w:p>
      <w:pPr>
        <w:pStyle w:val="Bibliography"/>
      </w:pPr>
      <w:r>
        <w:t xml:space="preserve">[111]</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0">
        <w:r>
          <w:rPr>
            <w:rStyle w:val="Hyperlink"/>
          </w:rPr>
          <w:t xml:space="preserve">https://doi.org/10.1007/978-981-13-8980-1_12</w:t>
        </w:r>
      </w:hyperlink>
      <w:r>
        <w:t xml:space="preserve">.</w:t>
      </w:r>
    </w:p>
    <w:bookmarkEnd w:id="271"/>
    <w:bookmarkStart w:id="272" w:name="ref-Rogers_2018"/>
    <w:p>
      <w:pPr>
        <w:pStyle w:val="Bibliography"/>
      </w:pPr>
      <w:r>
        <w:t xml:space="preserve">[112]</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2"/>
    <w:bookmarkStart w:id="274" w:name="X94f875be1b7e5d23641daff5d53857bec24e739"/>
    <w:p>
      <w:pPr>
        <w:pStyle w:val="Bibliography"/>
      </w:pPr>
      <w:r>
        <w:t xml:space="preserve">[113]</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3">
        <w:r>
          <w:rPr>
            <w:rStyle w:val="Hyperlink"/>
          </w:rPr>
          <w:t xml:space="preserve">https://doi.org/10.1016/j.jasrep.2021.103118</w:t>
        </w:r>
      </w:hyperlink>
      <w:r>
        <w:t xml:space="preserve">.</w:t>
      </w:r>
    </w:p>
    <w:bookmarkEnd w:id="274"/>
    <w:bookmarkStart w:id="276" w:name="ref-Gamble_1982"/>
    <w:p>
      <w:pPr>
        <w:pStyle w:val="Bibliography"/>
      </w:pPr>
      <w:r>
        <w:t xml:space="preserve">[114]</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5">
        <w:r>
          <w:rPr>
            <w:rStyle w:val="Hyperlink"/>
          </w:rPr>
          <w:t xml:space="preserve">https://doi.org/10.2307/2802103</w:t>
        </w:r>
      </w:hyperlink>
      <w:r>
        <w:t xml:space="preserve">.</w:t>
      </w:r>
    </w:p>
    <w:bookmarkEnd w:id="276"/>
    <w:bookmarkStart w:id="278" w:name="Xba346573845225b1b1d5ef358e2fea0d893a789"/>
    <w:p>
      <w:pPr>
        <w:pStyle w:val="Bibliography"/>
      </w:pPr>
      <w:r>
        <w:t xml:space="preserve">[115]</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7">
        <w:r>
          <w:rPr>
            <w:rStyle w:val="Hyperlink"/>
          </w:rPr>
          <w:t xml:space="preserve">https://doi.org/10.1016/j.quascirev.2018.12.011</w:t>
        </w:r>
      </w:hyperlink>
      <w:r>
        <w:t xml:space="preserve">.</w:t>
      </w:r>
    </w:p>
    <w:bookmarkEnd w:id="278"/>
    <w:bookmarkStart w:id="280" w:name="ref-Creanza_Kolodny_Feldman_2017"/>
    <w:p>
      <w:pPr>
        <w:pStyle w:val="Bibliography"/>
      </w:pPr>
      <w:r>
        <w:t xml:space="preserve">[116]</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79">
        <w:r>
          <w:rPr>
            <w:rStyle w:val="Hyperlink"/>
          </w:rPr>
          <w:t xml:space="preserve">https://doi.org/10.1098/rsif.2017.0171</w:t>
        </w:r>
      </w:hyperlink>
      <w:r>
        <w:t xml:space="preserve">.</w:t>
      </w:r>
    </w:p>
    <w:bookmarkEnd w:id="280"/>
    <w:bookmarkStart w:id="282" w:name="ref-Cullen_1996"/>
    <w:p>
      <w:pPr>
        <w:pStyle w:val="Bibliography"/>
      </w:pPr>
      <w:r>
        <w:t xml:space="preserve">[117]</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1">
        <w:r>
          <w:rPr>
            <w:rStyle w:val="Hyperlink"/>
          </w:rPr>
          <w:t xml:space="preserve">https://doi.org/10.1007/978-1-4757-9945-3_4</w:t>
        </w:r>
      </w:hyperlink>
      <w:r>
        <w:t xml:space="preserve">.</w:t>
      </w:r>
    </w:p>
    <w:bookmarkEnd w:id="282"/>
    <w:bookmarkStart w:id="284" w:name="ref-Hill_Wood_Baggio_Hurtado_Boyd_2014"/>
    <w:p>
      <w:pPr>
        <w:pStyle w:val="Bibliography"/>
      </w:pPr>
      <w:r>
        <w:t xml:space="preserve">[118]</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3">
        <w:r>
          <w:rPr>
            <w:rStyle w:val="Hyperlink"/>
          </w:rPr>
          <w:t xml:space="preserve">https://doi.org/10.1371/journal.pone.0102806</w:t>
        </w:r>
      </w:hyperlink>
      <w:r>
        <w:t xml:space="preserve">.</w:t>
      </w:r>
    </w:p>
    <w:bookmarkEnd w:id="284"/>
    <w:bookmarkStart w:id="286" w:name="ref-Derex_Boyd_2016"/>
    <w:p>
      <w:pPr>
        <w:pStyle w:val="Bibliography"/>
      </w:pPr>
      <w:r>
        <w:t xml:space="preserve">[119]</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5">
        <w:r>
          <w:rPr>
            <w:rStyle w:val="Hyperlink"/>
          </w:rPr>
          <w:t xml:space="preserve">https://doi.org/10.1073/pnas.1518798113</w:t>
        </w:r>
      </w:hyperlink>
      <w:r>
        <w:t xml:space="preserve">.</w:t>
      </w:r>
    </w:p>
    <w:bookmarkEnd w:id="286"/>
    <w:bookmarkStart w:id="287" w:name="ref-Von_Petzinger_2009"/>
    <w:p>
      <w:pPr>
        <w:pStyle w:val="Bibliography"/>
      </w:pPr>
      <w:r>
        <w:t xml:space="preserve">[120]</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87"/>
    <w:bookmarkStart w:id="289" w:name="ref-Herskind2023"/>
    <w:p>
      <w:pPr>
        <w:pStyle w:val="Bibliography"/>
      </w:pPr>
      <w:r>
        <w:t xml:space="preserve">[121]</w:t>
      </w:r>
      <w:r>
        <w:t xml:space="preserve"> </w:t>
      </w:r>
      <w:r>
        <w:t xml:space="preserve">	</w:t>
      </w:r>
      <w:r>
        <w:t xml:space="preserve">Herskind LLP. A case for idle graffiti: Challenging the semiotic resurgence within prehistoric art research. Hunter Gatherer Research 2023;9:59–93.</w:t>
      </w:r>
      <w:r>
        <w:t xml:space="preserve"> </w:t>
      </w:r>
      <w:hyperlink r:id="rId288">
        <w:r>
          <w:rPr>
            <w:rStyle w:val="Hyperlink"/>
          </w:rPr>
          <w:t xml:space="preserve">https://doi.org/10.3828/hgr.2023.12</w:t>
        </w:r>
      </w:hyperlink>
      <w:r>
        <w:t xml:space="preserve">.</w:t>
      </w:r>
    </w:p>
    <w:bookmarkEnd w:id="289"/>
    <w:bookmarkStart w:id="291" w:name="ref-Gravel-Miguel_Coward_2023"/>
    <w:p>
      <w:pPr>
        <w:pStyle w:val="Bibliography"/>
      </w:pPr>
      <w:r>
        <w:t xml:space="preserve">[122]</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0">
        <w:r>
          <w:rPr>
            <w:rStyle w:val="Hyperlink"/>
          </w:rPr>
          <w:t xml:space="preserve">https://doi.org/10.1093/oxfordhb/9780198854265.013.31</w:t>
        </w:r>
      </w:hyperlink>
      <w:r>
        <w:t xml:space="preserve">.</w:t>
      </w:r>
    </w:p>
    <w:bookmarkEnd w:id="291"/>
    <w:bookmarkStart w:id="293" w:name="X42e36537dda68556aeacf852410efd6ac3bb1ca"/>
    <w:p>
      <w:pPr>
        <w:pStyle w:val="Bibliography"/>
      </w:pPr>
      <w:r>
        <w:t xml:space="preserve">[123]</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2">
        <w:r>
          <w:rPr>
            <w:rStyle w:val="Hyperlink"/>
          </w:rPr>
          <w:t xml:space="preserve">https://doi.org/10.1007/s10816-023-09608-7</w:t>
        </w:r>
      </w:hyperlink>
      <w:r>
        <w:t xml:space="preserve">.</w:t>
      </w:r>
    </w:p>
    <w:bookmarkEnd w:id="293"/>
    <w:bookmarkStart w:id="295" w:name="ref-Chiotti_2005"/>
    <w:p>
      <w:pPr>
        <w:pStyle w:val="Bibliography"/>
      </w:pPr>
      <w:r>
        <w:t xml:space="preserve">[124]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4">
        <w:r>
          <w:rPr>
            <w:rStyle w:val="Hyperlink"/>
          </w:rPr>
          <w:t xml:space="preserve">https://doi.org/10.30861/9781841718309</w:t>
        </w:r>
      </w:hyperlink>
      <w:r>
        <w:t xml:space="preserve">.</w:t>
      </w:r>
    </w:p>
    <w:bookmarkEnd w:id="295"/>
    <w:bookmarkStart w:id="297" w:name="ref-Higham_Abri_Pataud_2011"/>
    <w:p>
      <w:pPr>
        <w:pStyle w:val="Bibliography"/>
      </w:pPr>
      <w:r>
        <w:t xml:space="preserve">[125]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6">
        <w:r>
          <w:rPr>
            <w:rStyle w:val="Hyperlink"/>
          </w:rPr>
          <w:t xml:space="preserve">https://doi.org/10.1016/j.jhevol.2011.06.005</w:t>
        </w:r>
      </w:hyperlink>
      <w:r>
        <w:t xml:space="preserve">.</w:t>
      </w:r>
    </w:p>
    <w:bookmarkEnd w:id="297"/>
    <w:bookmarkStart w:id="299" w:name="ref-Talamo_La_Ferrassie_2020"/>
    <w:p>
      <w:pPr>
        <w:pStyle w:val="Bibliography"/>
      </w:pPr>
      <w:r>
        <w:t xml:space="preserve">[126]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298">
        <w:r>
          <w:rPr>
            <w:rStyle w:val="Hyperlink"/>
          </w:rPr>
          <w:t xml:space="preserve">https://doi.org/10.1002/jqs.3236</w:t>
        </w:r>
      </w:hyperlink>
      <w:r>
        <w:t xml:space="preserve">.</w:t>
      </w:r>
    </w:p>
    <w:bookmarkEnd w:id="299"/>
    <w:bookmarkStart w:id="301" w:name="ref-Wild_et_al_2005"/>
    <w:p>
      <w:pPr>
        <w:pStyle w:val="Bibliography"/>
      </w:pPr>
      <w:r>
        <w:t xml:space="preserve">[127]</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0">
        <w:r>
          <w:rPr>
            <w:rStyle w:val="Hyperlink"/>
          </w:rPr>
          <w:t xml:space="preserve">https://doi.org/10.1038/nature03585</w:t>
        </w:r>
      </w:hyperlink>
      <w:r>
        <w:t xml:space="preserve">.</w:t>
      </w:r>
    </w:p>
    <w:bookmarkEnd w:id="301"/>
    <w:bookmarkStart w:id="303" w:name="ref-Schurch_Conard_2026_reassess"/>
    <w:p>
      <w:pPr>
        <w:pStyle w:val="Bibliography"/>
      </w:pPr>
      <w:r>
        <w:t xml:space="preserve">[128]</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2">
        <w:r>
          <w:rPr>
            <w:rStyle w:val="Hyperlink"/>
          </w:rPr>
          <w:t xml:space="preserve">https://doi.org/10.1007/s41982-025-00246-x</w:t>
        </w:r>
      </w:hyperlink>
      <w:r>
        <w:t xml:space="preserve">.</w:t>
      </w:r>
    </w:p>
    <w:bookmarkEnd w:id="303"/>
    <w:bookmarkEnd w:id="304"/>
    <w:bookmarkEnd w:id="305"/>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298"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1"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0"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2" Target="https://doi.org/10.1007/s10816-023-09608-7" TargetMode="External" /><Relationship Type="http://schemas.openxmlformats.org/officeDocument/2006/relationships/hyperlink" Id="rId256"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64" Target="https://doi.org/10.1007/s41982-023-00158-8" TargetMode="External" /><Relationship Type="http://schemas.openxmlformats.org/officeDocument/2006/relationships/hyperlink" Id="rId302"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4"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3"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6"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7"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0" Target="https://doi.org/10.1017/S0959774322000415" TargetMode="External" /><Relationship Type="http://schemas.openxmlformats.org/officeDocument/2006/relationships/hyperlink" Id="rId268"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0"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5" Target="https://doi.org/10.1073/pnas.1518798113" TargetMode="External" /><Relationship Type="http://schemas.openxmlformats.org/officeDocument/2006/relationships/hyperlink" Id="rId258"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6"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0"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79"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3"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2"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5"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4"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88"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298"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1"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0"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2" Target="https://doi.org/10.1007/s10816-023-09608-7" TargetMode="External" /><Relationship Type="http://schemas.openxmlformats.org/officeDocument/2006/relationships/hyperlink" Id="rId256"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64" Target="https://doi.org/10.1007/s41982-023-00158-8" TargetMode="External" /><Relationship Type="http://schemas.openxmlformats.org/officeDocument/2006/relationships/hyperlink" Id="rId302"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4"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3"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6"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7"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0" Target="https://doi.org/10.1017/S0959774322000415" TargetMode="External" /><Relationship Type="http://schemas.openxmlformats.org/officeDocument/2006/relationships/hyperlink" Id="rId268"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0"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5" Target="https://doi.org/10.1073/pnas.1518798113" TargetMode="External" /><Relationship Type="http://schemas.openxmlformats.org/officeDocument/2006/relationships/hyperlink" Id="rId258"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6"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0"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79"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3"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2"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5"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4"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88"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do not reveal geographically distinct cultural groups in the Aurignacian</dc:title>
  <dc:creator>Sophie Cooper1, Aleah Rosner1, Eva Oryn1, Kenneth B. Vernon2, and Ben Marwick1,✉</dc:creator>
  <cp:keywords/>
  <dcterms:created xsi:type="dcterms:W3CDTF">2026-09-06T05:51:36Z</dcterms:created>
  <dcterms:modified xsi:type="dcterms:W3CDTF">2026-09-06T05:51:36Z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5,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