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[46]</w:t>
      </w:r>
      <w:r>
        <w:t xml:space="preserve">, and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0.3018),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marginally significant negative correlation with network degree (ρ = -0.35, p = 0.061), indicating that aggregation candidates are less connected rather than merely decoupled from network hubs. The correlation with betweenness was not significant (ρ = -0.18, p = 0.349). Object count was positively correlated with degree centrality (degree: ρ = 0.35, p = 0.063328),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[126,127]</w:t>
      </w:r>
      <w:r>
        <w:t xml:space="preserve">.</w:t>
      </w:r>
    </w:p>
    <w:bookmarkEnd w:id="61"/>
    <w:bookmarkStart w:id="281" w:name="references"/>
    <w:p>
      <w:pPr>
        <w:pStyle w:val="Heading1"/>
      </w:pPr>
      <w:r>
        <w:t xml:space="preserve">References</w:t>
      </w:r>
    </w:p>
    <w:bookmarkStart w:id="28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4">
        <w:r>
          <w:rPr>
            <w:rStyle w:val="Hyperlink"/>
          </w:rPr>
          <w:t xml:space="preserve">https://doi.org/10.1007/s41982-025-00298-3</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4"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4"/>
    <w:bookmarkStart w:id="146" w:name="ref-Finlayson_Warren_2017"/>
    <w:p>
      <w:pPr>
        <w:pStyle w:val="Bibliography"/>
      </w:pPr>
      <w:r>
        <w:t xml:space="preserve">[47]</w:t>
      </w:r>
      <w:r>
        <w:t xml:space="preserve"> </w:t>
      </w:r>
      <w:r>
        <w:t xml:space="preserve">	</w:t>
      </w:r>
      <w:r>
        <w:t xml:space="preserve">Finlayson B, Warren G.</w:t>
      </w:r>
      <w:r>
        <w:t xml:space="preserve"> </w:t>
      </w:r>
      <w:hyperlink r:id="rId145">
        <w:r>
          <w:rPr>
            <w:rStyle w:val="Hyperlink"/>
          </w:rPr>
          <w:t xml:space="preserve">The diversity of hunter-gatherer pasts: An introduction</w:t>
        </w:r>
      </w:hyperlink>
      <w:r>
        <w:t xml:space="preserve">. In: Finlayson B, Warren G, editors. The diversity of hunter gatherer pasts. 1st ed., Oxbow Books; 2017, p. 1–14.</w:t>
      </w:r>
    </w:p>
    <w:bookmarkEnd w:id="146"/>
    <w:bookmarkStart w:id="148"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7">
        <w:r>
          <w:rPr>
            <w:rStyle w:val="Hyperlink"/>
          </w:rPr>
          <w:t xml:space="preserve">https://doi.org/10.2307/3034956</w:t>
        </w:r>
      </w:hyperlink>
      <w:r>
        <w:t xml:space="preserve">.</w:t>
      </w:r>
    </w:p>
    <w:bookmarkEnd w:id="148"/>
    <w:bookmarkStart w:id="150"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9">
        <w:r>
          <w:rPr>
            <w:rStyle w:val="Hyperlink"/>
          </w:rPr>
          <w:t xml:space="preserve">https://doi.org/10.1016/B978-0-12-564750-2.50006-8</w:t>
        </w:r>
      </w:hyperlink>
      <w:r>
        <w:t xml:space="preserve">.</w:t>
      </w:r>
    </w:p>
    <w:bookmarkEnd w:id="150"/>
    <w:bookmarkStart w:id="152" w:name="ref-Lane_2017"/>
    <w:p>
      <w:pPr>
        <w:pStyle w:val="Bibliography"/>
      </w:pPr>
      <w:r>
        <w:t xml:space="preserve">[50]</w:t>
      </w:r>
      <w:r>
        <w:t xml:space="preserve"> </w:t>
      </w:r>
      <w:r>
        <w:t xml:space="preserve">	</w:t>
      </w:r>
      <w:r>
        <w:t xml:space="preserve">Lane PJ.</w:t>
      </w:r>
      <w:r>
        <w:t xml:space="preserve"> </w:t>
      </w:r>
      <w:hyperlink r:id="rId15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2"/>
    <w:bookmarkStart w:id="153"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3"/>
    <w:bookmarkStart w:id="155"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4">
        <w:r>
          <w:rPr>
            <w:rStyle w:val="Hyperlink"/>
          </w:rPr>
          <w:t xml:space="preserve">https://doi.org/10.1007/s10814-013-9068-y</w:t>
        </w:r>
      </w:hyperlink>
      <w:r>
        <w:t xml:space="preserve">.</w:t>
      </w:r>
    </w:p>
    <w:bookmarkEnd w:id="155"/>
    <w:bookmarkStart w:id="157"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6">
        <w:r>
          <w:rPr>
            <w:rStyle w:val="Hyperlink"/>
          </w:rPr>
          <w:t xml:space="preserve">https://doi.org/10.1016/j.evolhumbehav.2022.07.003</w:t>
        </w:r>
      </w:hyperlink>
      <w:r>
        <w:t xml:space="preserve">.</w:t>
      </w:r>
    </w:p>
    <w:bookmarkEnd w:id="157"/>
    <w:bookmarkStart w:id="159"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8">
        <w:r>
          <w:rPr>
            <w:rStyle w:val="Hyperlink"/>
          </w:rPr>
          <w:t xml:space="preserve">https://doi.org/10.1016/j.quaint.2012.03.054</w:t>
        </w:r>
      </w:hyperlink>
      <w:r>
        <w:t xml:space="preserve">.</w:t>
      </w:r>
    </w:p>
    <w:bookmarkEnd w:id="159"/>
    <w:bookmarkStart w:id="161"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60">
        <w:r>
          <w:rPr>
            <w:rStyle w:val="Hyperlink"/>
          </w:rPr>
          <w:t xml:space="preserve">https://doi.org/10.1017/S0079497X00006265</w:t>
        </w:r>
      </w:hyperlink>
      <w:r>
        <w:t xml:space="preserve">.</w:t>
      </w:r>
    </w:p>
    <w:bookmarkEnd w:id="161"/>
    <w:bookmarkStart w:id="163"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2">
        <w:r>
          <w:rPr>
            <w:rStyle w:val="Hyperlink"/>
          </w:rPr>
          <w:t xml:space="preserve">https://doi.org/10.2307/j.ctv24q4z2g.5</w:t>
        </w:r>
      </w:hyperlink>
      <w:r>
        <w:t xml:space="preserve">.</w:t>
      </w:r>
    </w:p>
    <w:bookmarkEnd w:id="163"/>
    <w:bookmarkStart w:id="164"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4"/>
    <w:bookmarkStart w:id="166"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5">
        <w:r>
          <w:rPr>
            <w:rStyle w:val="Hyperlink"/>
          </w:rPr>
          <w:t xml:space="preserve">https://doi.org/10.1179/sea.2010.29.1.013</w:t>
        </w:r>
      </w:hyperlink>
      <w:r>
        <w:t xml:space="preserve">.</w:t>
      </w:r>
    </w:p>
    <w:bookmarkEnd w:id="166"/>
    <w:bookmarkStart w:id="168"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7">
        <w:r>
          <w:rPr>
            <w:rStyle w:val="Hyperlink"/>
          </w:rPr>
          <w:t xml:space="preserve">https://doi.org/10.1002/ajpa.22832</w:t>
        </w:r>
      </w:hyperlink>
      <w:r>
        <w:t xml:space="preserve">.</w:t>
      </w:r>
    </w:p>
    <w:bookmarkEnd w:id="168"/>
    <w:bookmarkStart w:id="169"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9"/>
    <w:bookmarkStart w:id="171" w:name="ref-Conkey_1985"/>
    <w:p>
      <w:pPr>
        <w:pStyle w:val="Bibliography"/>
      </w:pPr>
      <w:r>
        <w:t xml:space="preserve">[61]</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0">
        <w:r>
          <w:rPr>
            <w:rStyle w:val="Hyperlink"/>
          </w:rPr>
          <w:t xml:space="preserve">https://doi.org/10.1016/B978-0-12-564750-2.50016-0</w:t>
        </w:r>
      </w:hyperlink>
      <w:r>
        <w:t xml:space="preserve">.</w:t>
      </w:r>
    </w:p>
    <w:bookmarkEnd w:id="171"/>
    <w:bookmarkStart w:id="172"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2"/>
    <w:bookmarkStart w:id="174"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3">
        <w:r>
          <w:rPr>
            <w:rStyle w:val="Hyperlink"/>
          </w:rPr>
          <w:t xml:space="preserve">https://doi.org/10.1017/CBO9780511558252.004</w:t>
        </w:r>
      </w:hyperlink>
      <w:r>
        <w:t xml:space="preserve">.</w:t>
      </w:r>
    </w:p>
    <w:bookmarkEnd w:id="174"/>
    <w:bookmarkStart w:id="176" w:name="ref-Hodder1979"/>
    <w:p>
      <w:pPr>
        <w:pStyle w:val="Bibliography"/>
      </w:pPr>
      <w:r>
        <w:t xml:space="preserve">[64]</w:t>
      </w:r>
      <w:r>
        <w:t xml:space="preserve"> </w:t>
      </w:r>
      <w:r>
        <w:t xml:space="preserve">	</w:t>
      </w:r>
      <w:r>
        <w:t xml:space="preserve">Hodder I.</w:t>
      </w:r>
      <w:r>
        <w:t xml:space="preserve"> </w:t>
      </w:r>
      <w:hyperlink r:id="rId175">
        <w:r>
          <w:rPr>
            <w:rStyle w:val="Hyperlink"/>
          </w:rPr>
          <w:t xml:space="preserve">Economic and social stress and material culture patterning</w:t>
        </w:r>
      </w:hyperlink>
      <w:r>
        <w:t xml:space="preserve">. American Antiquity 1979;44:446–54.</w:t>
      </w:r>
    </w:p>
    <w:bookmarkEnd w:id="176"/>
    <w:bookmarkStart w:id="178" w:name="ref-Hodder1977"/>
    <w:p>
      <w:pPr>
        <w:pStyle w:val="Bibliography"/>
      </w:pPr>
      <w:r>
        <w:t xml:space="preserve">[65]</w:t>
      </w:r>
      <w:r>
        <w:t xml:space="preserve"> </w:t>
      </w:r>
      <w:r>
        <w:t xml:space="preserve">	</w:t>
      </w:r>
      <w:r>
        <w:t xml:space="preserve">Hodder I.</w:t>
      </w:r>
      <w:r>
        <w:t xml:space="preserve"> </w:t>
      </w:r>
      <w:hyperlink r:id="rId177">
        <w:r>
          <w:rPr>
            <w:rStyle w:val="Hyperlink"/>
          </w:rPr>
          <w:t xml:space="preserve">The distribution of material culture items in the baringo district, western kenya</w:t>
        </w:r>
      </w:hyperlink>
      <w:r>
        <w:t xml:space="preserve">. Man 1977;12:239–69.</w:t>
      </w:r>
    </w:p>
    <w:bookmarkEnd w:id="178"/>
    <w:bookmarkStart w:id="179"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9"/>
    <w:bookmarkStart w:id="180"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80"/>
    <w:bookmarkStart w:id="182"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1">
        <w:r>
          <w:rPr>
            <w:rStyle w:val="Hyperlink"/>
          </w:rPr>
          <w:t xml:space="preserve">https://doi.org/10.1016/j.jasrep.2024.104798</w:t>
        </w:r>
      </w:hyperlink>
      <w:r>
        <w:t xml:space="preserve">.</w:t>
      </w:r>
    </w:p>
    <w:bookmarkEnd w:id="182"/>
    <w:bookmarkStart w:id="184"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3">
        <w:r>
          <w:rPr>
            <w:rStyle w:val="Hyperlink"/>
          </w:rPr>
          <w:t xml:space="preserve">https://doi.org/10.1016/j.jaa.2005.11.004</w:t>
        </w:r>
      </w:hyperlink>
      <w:r>
        <w:t xml:space="preserve">.</w:t>
      </w:r>
    </w:p>
    <w:bookmarkEnd w:id="184"/>
    <w:bookmarkStart w:id="185"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5"/>
    <w:bookmarkStart w:id="187"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6">
        <w:r>
          <w:rPr>
            <w:rStyle w:val="Hyperlink"/>
          </w:rPr>
          <w:t xml:space="preserve">https://doi.org/10.2307/j.ctvdmwwz4.7</w:t>
        </w:r>
      </w:hyperlink>
      <w:r>
        <w:t xml:space="preserve">.</w:t>
      </w:r>
    </w:p>
    <w:bookmarkEnd w:id="187"/>
    <w:bookmarkStart w:id="189"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8">
        <w:r>
          <w:rPr>
            <w:rStyle w:val="Hyperlink"/>
          </w:rPr>
          <w:t xml:space="preserve">https://doi.org/10.2307/j.ctvdmwwz4.10</w:t>
        </w:r>
      </w:hyperlink>
      <w:r>
        <w:t xml:space="preserve">.</w:t>
      </w:r>
    </w:p>
    <w:bookmarkEnd w:id="189"/>
    <w:bookmarkStart w:id="191"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0">
        <w:r>
          <w:rPr>
            <w:rStyle w:val="Hyperlink"/>
          </w:rPr>
          <w:t xml:space="preserve">https://doi.org/10.1098/rstb.2020.0318</w:t>
        </w:r>
      </w:hyperlink>
      <w:r>
        <w:t xml:space="preserve">.</w:t>
      </w:r>
    </w:p>
    <w:bookmarkEnd w:id="191"/>
    <w:bookmarkStart w:id="193" w:name="ref-Kelly_2024"/>
    <w:p>
      <w:pPr>
        <w:pStyle w:val="Bibliography"/>
      </w:pPr>
      <w:r>
        <w:t xml:space="preserve">[74]</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2">
        <w:r>
          <w:rPr>
            <w:rStyle w:val="Hyperlink"/>
          </w:rPr>
          <w:t xml:space="preserve">https://doi.org/10.1111/tops.12762</w:t>
        </w:r>
      </w:hyperlink>
      <w:r>
        <w:t xml:space="preserve">.</w:t>
      </w:r>
    </w:p>
    <w:bookmarkEnd w:id="193"/>
    <w:bookmarkStart w:id="195"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4">
        <w:r>
          <w:rPr>
            <w:rStyle w:val="Hyperlink"/>
          </w:rPr>
          <w:t xml:space="preserve">https://doi.org/10.3213/2191-5784-10243</w:t>
        </w:r>
      </w:hyperlink>
      <w:r>
        <w:t xml:space="preserve">.</w:t>
      </w:r>
    </w:p>
    <w:bookmarkEnd w:id="195"/>
    <w:bookmarkStart w:id="197" w:name="ref-Newlander_2012"/>
    <w:p>
      <w:pPr>
        <w:pStyle w:val="Bibliography"/>
      </w:pPr>
      <w:r>
        <w:t xml:space="preserve">[76]</w:t>
      </w:r>
      <w:r>
        <w:t xml:space="preserve"> </w:t>
      </w:r>
      <w:r>
        <w:t xml:space="preserve">	</w:t>
      </w:r>
      <w:r>
        <w:t xml:space="preserve">Newlander KS.</w:t>
      </w:r>
      <w:r>
        <w:t xml:space="preserve"> </w:t>
      </w:r>
      <w:hyperlink r:id="rId196">
        <w:r>
          <w:rPr>
            <w:rStyle w:val="Hyperlink"/>
          </w:rPr>
          <w:t xml:space="preserve">Exchange, embedded procurement, and hunter-gatherer mobility: A case study from the north american great basin</w:t>
        </w:r>
      </w:hyperlink>
      <w:r>
        <w:t xml:space="preserve">. Ph.D. University of Michigan, 2012.</w:t>
      </w:r>
    </w:p>
    <w:bookmarkEnd w:id="197"/>
    <w:bookmarkStart w:id="199"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8">
        <w:r>
          <w:rPr>
            <w:rStyle w:val="Hyperlink"/>
          </w:rPr>
          <w:t xml:space="preserve">https://doi.org/10.1371/journal.pone.0265329</w:t>
        </w:r>
      </w:hyperlink>
      <w:r>
        <w:t xml:space="preserve">.</w:t>
      </w:r>
    </w:p>
    <w:bookmarkEnd w:id="199"/>
    <w:bookmarkStart w:id="201"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200">
        <w:r>
          <w:rPr>
            <w:rStyle w:val="Hyperlink"/>
          </w:rPr>
          <w:t xml:space="preserve">The identification of prehistoric hunter-gatherer aggregation sites: The case of altamira [and comments and reply]</w:t>
        </w:r>
      </w:hyperlink>
      <w:r>
        <w:t xml:space="preserve">. Current Anthropology 1980;21:609–30.</w:t>
      </w:r>
    </w:p>
    <w:bookmarkEnd w:id="201"/>
    <w:bookmarkStart w:id="203"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2">
        <w:r>
          <w:rPr>
            <w:rStyle w:val="Hyperlink"/>
          </w:rPr>
          <w:t xml:space="preserve">https://doi.org/10.1086/701523</w:t>
        </w:r>
      </w:hyperlink>
      <w:r>
        <w:t xml:space="preserve">.</w:t>
      </w:r>
    </w:p>
    <w:bookmarkEnd w:id="203"/>
    <w:bookmarkStart w:id="20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4"/>
    <w:bookmarkStart w:id="20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5">
        <w:r>
          <w:rPr>
            <w:rStyle w:val="Hyperlink"/>
          </w:rPr>
          <w:t xml:space="preserve">https://doi.org/10.1016/j.jaa.2013.05.005</w:t>
        </w:r>
      </w:hyperlink>
      <w:r>
        <w:t xml:space="preserve">.</w:t>
      </w:r>
    </w:p>
    <w:bookmarkEnd w:id="206"/>
    <w:bookmarkStart w:id="208"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7">
        <w:r>
          <w:rPr>
            <w:rStyle w:val="Hyperlink"/>
          </w:rPr>
          <w:t xml:space="preserve">https://doi.org/10.4000/palethnologie.4945</w:t>
        </w:r>
      </w:hyperlink>
      <w:r>
        <w:t xml:space="preserve">.</w:t>
      </w:r>
    </w:p>
    <w:bookmarkEnd w:id="208"/>
    <w:bookmarkStart w:id="209"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9"/>
    <w:bookmarkStart w:id="210"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0"/>
    <w:bookmarkStart w:id="212" w:name="ref-montet-white1994"/>
    <w:p>
      <w:pPr>
        <w:pStyle w:val="Bibliography"/>
      </w:pPr>
      <w:r>
        <w:t xml:space="preserve">[85]</w:t>
      </w:r>
      <w:r>
        <w:t xml:space="preserve"> </w:t>
      </w:r>
      <w:r>
        <w:t xml:space="preserve">	</w:t>
      </w:r>
      <w:r>
        <w:t xml:space="preserve">Montet-White A.</w:t>
      </w:r>
      <w:r>
        <w:t xml:space="preserve"> </w:t>
      </w:r>
      <w:hyperlink r:id="rId211">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2"/>
    <w:bookmarkStart w:id="214"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3">
        <w:r>
          <w:rPr>
            <w:rStyle w:val="Hyperlink"/>
          </w:rPr>
          <w:t xml:space="preserve">https://doi.org/10.5281/zenodo.15397990</w:t>
        </w:r>
      </w:hyperlink>
      <w:r>
        <w:t xml:space="preserve">.</w:t>
      </w:r>
    </w:p>
    <w:bookmarkEnd w:id="214"/>
    <w:bookmarkStart w:id="216"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5">
        <w:r>
          <w:rPr>
            <w:rStyle w:val="Hyperlink"/>
          </w:rPr>
          <w:t xml:space="preserve">https://doi.org/10.2307/280511</w:t>
        </w:r>
      </w:hyperlink>
      <w:r>
        <w:t xml:space="preserve">.</w:t>
      </w:r>
    </w:p>
    <w:bookmarkEnd w:id="216"/>
    <w:bookmarkStart w:id="218"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7">
        <w:r>
          <w:rPr>
            <w:rStyle w:val="Hyperlink"/>
          </w:rPr>
          <w:t xml:space="preserve">https://doi.org/10.1038/s41467-024-51349-y</w:t>
        </w:r>
      </w:hyperlink>
      <w:r>
        <w:t xml:space="preserve">.</w:t>
      </w:r>
    </w:p>
    <w:bookmarkEnd w:id="218"/>
    <w:bookmarkStart w:id="220" w:name="ref-smith1992Design"/>
    <w:p>
      <w:pPr>
        <w:pStyle w:val="Bibliography"/>
      </w:pPr>
      <w:r>
        <w:t xml:space="preserve">[89]</w:t>
      </w:r>
      <w:r>
        <w:t xml:space="preserve"> </w:t>
      </w:r>
      <w:r>
        <w:t xml:space="preserve">	</w:t>
      </w:r>
      <w:r>
        <w:t xml:space="preserve">Smith C.</w:t>
      </w:r>
      <w:r>
        <w:t xml:space="preserve"> </w:t>
      </w:r>
      <w:hyperlink r:id="rId219">
        <w:r>
          <w:rPr>
            <w:rStyle w:val="Hyperlink"/>
          </w:rPr>
          <w:t xml:space="preserve">Designed dreaming: Assessing the relationship between style, social structure and environment in aboriginal australia</w:t>
        </w:r>
      </w:hyperlink>
      <w:r>
        <w:t xml:space="preserve">. Australian Archaeology 1992:51–1.</w:t>
      </w:r>
    </w:p>
    <w:bookmarkEnd w:id="220"/>
    <w:bookmarkStart w:id="221"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1"/>
    <w:bookmarkStart w:id="222" w:name="ref-McDonald_Veth_Lilley_2006"/>
    <w:p>
      <w:pPr>
        <w:pStyle w:val="Bibliography"/>
      </w:pPr>
      <w:r>
        <w:t xml:space="preserve">[91]</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2"/>
    <w:bookmarkStart w:id="224"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3">
        <w:r>
          <w:rPr>
            <w:rStyle w:val="Hyperlink"/>
          </w:rPr>
          <w:t xml:space="preserve">https://doi.org/10.1016/B978-0-12-564750-2.50020-2</w:t>
        </w:r>
      </w:hyperlink>
      <w:r>
        <w:t xml:space="preserve">.</w:t>
      </w:r>
    </w:p>
    <w:bookmarkEnd w:id="224"/>
    <w:bookmarkStart w:id="226" w:name="ref-barton_clark_cohen1994"/>
    <w:p>
      <w:pPr>
        <w:pStyle w:val="Bibliography"/>
      </w:pPr>
      <w:r>
        <w:t xml:space="preserve">[93]</w:t>
      </w:r>
      <w:r>
        <w:t xml:space="preserve"> </w:t>
      </w:r>
      <w:r>
        <w:t xml:space="preserve">	</w:t>
      </w:r>
      <w:r>
        <w:t xml:space="preserve">Barton CM, Clark GA, Cohen AE.</w:t>
      </w:r>
      <w:r>
        <w:t xml:space="preserve"> </w:t>
      </w:r>
      <w:hyperlink r:id="rId225">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6"/>
    <w:bookmarkStart w:id="227"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7"/>
    <w:bookmarkStart w:id="228"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8"/>
    <w:bookmarkStart w:id="229"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9"/>
    <w:bookmarkStart w:id="231" w:name="ref-smith1992"/>
    <w:p>
      <w:pPr>
        <w:pStyle w:val="Bibliography"/>
      </w:pPr>
      <w:r>
        <w:t xml:space="preserve">[97]</w:t>
      </w:r>
      <w:r>
        <w:t xml:space="preserve"> </w:t>
      </w:r>
      <w:r>
        <w:t xml:space="preserve">	</w:t>
      </w:r>
      <w:r>
        <w:t xml:space="preserve">Smith C.</w:t>
      </w:r>
      <w:r>
        <w:t xml:space="preserve"> </w:t>
      </w:r>
      <w:hyperlink r:id="rId230">
        <w:r>
          <w:rPr>
            <w:rStyle w:val="Hyperlink"/>
          </w:rPr>
          <w:t xml:space="preserve">Colonising with style: Reviewing the nexus between rock art, territorially and the colonisation and occupation of sahul</w:t>
        </w:r>
      </w:hyperlink>
      <w:r>
        <w:t xml:space="preserve">. Australian Archaeology 1992:34–42.</w:t>
      </w:r>
    </w:p>
    <w:bookmarkEnd w:id="231"/>
    <w:bookmarkStart w:id="233"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2">
        <w:r>
          <w:rPr>
            <w:rStyle w:val="Hyperlink"/>
          </w:rPr>
          <w:t xml:space="preserve">https://doi.org/10.1007/978-4-431-55363-2_8</w:t>
        </w:r>
      </w:hyperlink>
      <w:r>
        <w:t xml:space="preserve">.</w:t>
      </w:r>
    </w:p>
    <w:bookmarkEnd w:id="233"/>
    <w:bookmarkStart w:id="234"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4"/>
    <w:bookmarkStart w:id="235"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5"/>
    <w:bookmarkStart w:id="236"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6"/>
    <w:bookmarkStart w:id="237"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7"/>
    <w:bookmarkStart w:id="238"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8"/>
    <w:bookmarkStart w:id="239"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9"/>
    <w:bookmarkStart w:id="240"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0"/>
    <w:bookmarkStart w:id="241"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1"/>
    <w:bookmarkStart w:id="242"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2"/>
    <w:bookmarkStart w:id="243" w:name="ref-Bacon_2023"/>
    <w:p>
      <w:pPr>
        <w:pStyle w:val="Bibliography"/>
      </w:pPr>
      <w:r>
        <w:t xml:space="preserve">[108]</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3"/>
    <w:bookmarkStart w:id="245"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4">
        <w:r>
          <w:rPr>
            <w:rStyle w:val="Hyperlink"/>
          </w:rPr>
          <w:t xml:space="preserve">https://doi.org/10.2139/ssrn.7053279</w:t>
        </w:r>
      </w:hyperlink>
      <w:r>
        <w:t xml:space="preserve">.</w:t>
      </w:r>
    </w:p>
    <w:bookmarkEnd w:id="245"/>
    <w:bookmarkStart w:id="247"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6">
        <w:r>
          <w:rPr>
            <w:rStyle w:val="Hyperlink"/>
          </w:rPr>
          <w:t xml:space="preserve">https://doi.org/10.1007/s41982-023-00158-8</w:t>
        </w:r>
      </w:hyperlink>
      <w:r>
        <w:t xml:space="preserve">.</w:t>
      </w:r>
    </w:p>
    <w:bookmarkEnd w:id="247"/>
    <w:bookmarkStart w:id="249" w:name="ref-Magli_2024"/>
    <w:p>
      <w:pPr>
        <w:pStyle w:val="Bibliography"/>
      </w:pPr>
      <w:r>
        <w:t xml:space="preserve">[111]</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8">
        <w:r>
          <w:rPr>
            <w:rStyle w:val="Hyperlink"/>
          </w:rPr>
          <w:t xml:space="preserve">https://doi.org/10.1093/mind/fzae011</w:t>
        </w:r>
      </w:hyperlink>
      <w:r>
        <w:t xml:space="preserve">.</w:t>
      </w:r>
    </w:p>
    <w:bookmarkEnd w:id="249"/>
    <w:bookmarkStart w:id="251" w:name="ref-Nowell_2024_evidence"/>
    <w:p>
      <w:pPr>
        <w:pStyle w:val="Bibliography"/>
      </w:pPr>
      <w:r>
        <w:t xml:space="preserve">[112]</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0">
        <w:r>
          <w:rPr>
            <w:rStyle w:val="Hyperlink"/>
          </w:rPr>
          <w:t xml:space="preserve">https://doi.org/10.1017/S0959774324000155</w:t>
        </w:r>
      </w:hyperlink>
      <w:r>
        <w:t xml:space="preserve">.</w:t>
      </w:r>
    </w:p>
    <w:bookmarkEnd w:id="251"/>
    <w:bookmarkStart w:id="253"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2">
        <w:r>
          <w:rPr>
            <w:rStyle w:val="Hyperlink"/>
          </w:rPr>
          <w:t xml:space="preserve">https://doi.org/10.1007/978-981-13-8980-1_12</w:t>
        </w:r>
      </w:hyperlink>
      <w:r>
        <w:t xml:space="preserve">.</w:t>
      </w:r>
    </w:p>
    <w:bookmarkEnd w:id="253"/>
    <w:bookmarkStart w:id="254" w:name="ref-Rogers_2013"/>
    <w:p>
      <w:pPr>
        <w:pStyle w:val="Bibliography"/>
      </w:pPr>
      <w:r>
        <w:t xml:space="preserve">[114]</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4"/>
    <w:bookmarkStart w:id="256"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5">
        <w:r>
          <w:rPr>
            <w:rStyle w:val="Hyperlink"/>
          </w:rPr>
          <w:t xml:space="preserve">https://doi.org/10.1016/j.jasrep.2021.103118</w:t>
        </w:r>
      </w:hyperlink>
      <w:r>
        <w:t xml:space="preserve">.</w:t>
      </w:r>
    </w:p>
    <w:bookmarkEnd w:id="256"/>
    <w:bookmarkStart w:id="258" w:name="ref-Gamble_1982"/>
    <w:p>
      <w:pPr>
        <w:pStyle w:val="Bibliography"/>
      </w:pPr>
      <w:r>
        <w:t xml:space="preserve">[116]</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7">
        <w:r>
          <w:rPr>
            <w:rStyle w:val="Hyperlink"/>
          </w:rPr>
          <w:t xml:space="preserve">https://doi.org/10.2307/2802103</w:t>
        </w:r>
      </w:hyperlink>
      <w:r>
        <w:t xml:space="preserve">.</w:t>
      </w:r>
    </w:p>
    <w:bookmarkEnd w:id="258"/>
    <w:bookmarkStart w:id="260"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9">
        <w:r>
          <w:rPr>
            <w:rStyle w:val="Hyperlink"/>
          </w:rPr>
          <w:t xml:space="preserve">https://doi.org/10.1016/j.quascirev.2018.12.011</w:t>
        </w:r>
      </w:hyperlink>
      <w:r>
        <w:t xml:space="preserve">.</w:t>
      </w:r>
    </w:p>
    <w:bookmarkEnd w:id="260"/>
    <w:bookmarkStart w:id="262"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1">
        <w:r>
          <w:rPr>
            <w:rStyle w:val="Hyperlink"/>
          </w:rPr>
          <w:t xml:space="preserve">https://doi.org/10.1098/rsif.2017.0171</w:t>
        </w:r>
      </w:hyperlink>
      <w:r>
        <w:t xml:space="preserve">.</w:t>
      </w:r>
    </w:p>
    <w:bookmarkEnd w:id="262"/>
    <w:bookmarkStart w:id="264"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3">
        <w:r>
          <w:rPr>
            <w:rStyle w:val="Hyperlink"/>
          </w:rPr>
          <w:t xml:space="preserve">https://doi.org/10.1007/978-1-4757-9945-3_4</w:t>
        </w:r>
      </w:hyperlink>
      <w:r>
        <w:t xml:space="preserve">.</w:t>
      </w:r>
    </w:p>
    <w:bookmarkEnd w:id="264"/>
    <w:bookmarkStart w:id="266"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5">
        <w:r>
          <w:rPr>
            <w:rStyle w:val="Hyperlink"/>
          </w:rPr>
          <w:t xml:space="preserve">https://doi.org/10.1371/journal.pone.0102806</w:t>
        </w:r>
      </w:hyperlink>
      <w:r>
        <w:t xml:space="preserve">.</w:t>
      </w:r>
    </w:p>
    <w:bookmarkEnd w:id="266"/>
    <w:bookmarkStart w:id="268"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7">
        <w:r>
          <w:rPr>
            <w:rStyle w:val="Hyperlink"/>
          </w:rPr>
          <w:t xml:space="preserve">https://doi.org/10.1073/pnas.1518798113</w:t>
        </w:r>
      </w:hyperlink>
      <w:r>
        <w:t xml:space="preserve">.</w:t>
      </w:r>
    </w:p>
    <w:bookmarkEnd w:id="268"/>
    <w:bookmarkStart w:id="270"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9">
        <w:r>
          <w:rPr>
            <w:rStyle w:val="Hyperlink"/>
          </w:rPr>
          <w:t xml:space="preserve">https://doi.org/10.1093/oxfordhb/9780198854265.013.31</w:t>
        </w:r>
      </w:hyperlink>
      <w:r>
        <w:t xml:space="preserve">.</w:t>
      </w:r>
    </w:p>
    <w:bookmarkEnd w:id="270"/>
    <w:bookmarkStart w:id="271" w:name="ref-Von_Petzinger_2009"/>
    <w:p>
      <w:pPr>
        <w:pStyle w:val="Bibliography"/>
      </w:pPr>
      <w:r>
        <w:t xml:space="preserve">[123]</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1"/>
    <w:bookmarkStart w:id="273"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2">
        <w:r>
          <w:rPr>
            <w:rStyle w:val="Hyperlink"/>
          </w:rPr>
          <w:t xml:space="preserve">https://doi.org/10.3828/hgr.2023.12</w:t>
        </w:r>
      </w:hyperlink>
      <w:r>
        <w:t xml:space="preserve">.</w:t>
      </w:r>
    </w:p>
    <w:bookmarkEnd w:id="273"/>
    <w:bookmarkStart w:id="275"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4">
        <w:r>
          <w:rPr>
            <w:rStyle w:val="Hyperlink"/>
          </w:rPr>
          <w:t xml:space="preserve">https://doi.org/10.1007/s10816-023-09608-7</w:t>
        </w:r>
      </w:hyperlink>
      <w:r>
        <w:t xml:space="preserve">.</w:t>
      </w:r>
    </w:p>
    <w:bookmarkEnd w:id="275"/>
    <w:bookmarkStart w:id="277"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6">
        <w:r>
          <w:rPr>
            <w:rStyle w:val="Hyperlink"/>
          </w:rPr>
          <w:t xml:space="preserve">https://doi.org/10.1007/s10816-015-9272-9</w:t>
        </w:r>
      </w:hyperlink>
      <w:r>
        <w:t xml:space="preserve">.</w:t>
      </w:r>
    </w:p>
    <w:bookmarkEnd w:id="277"/>
    <w:bookmarkStart w:id="279"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8">
        <w:r>
          <w:rPr>
            <w:rStyle w:val="Hyperlink"/>
          </w:rPr>
          <w:t xml:space="preserve">https://doi.org/10.1016/j.jas.2025.106281</w:t>
        </w:r>
      </w:hyperlink>
      <w:r>
        <w:t xml:space="preserve">.</w:t>
      </w:r>
    </w:p>
    <w:bookmarkEnd w:id="279"/>
    <w:bookmarkEnd w:id="280"/>
    <w:bookmarkEnd w:id="28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1" Target="http://www.jstor.org.offcampus.lib.washington.edu/stable/j.ctt1pk86rr.16" TargetMode="External" /><Relationship Type="http://schemas.openxmlformats.org/officeDocument/2006/relationships/hyperlink" Id="rId145" Target="http://www.jstor.org.offcampus.lib.washington.edu/stable/j.ctt1pk86rr.5" TargetMode="External" /><Relationship Type="http://schemas.openxmlformats.org/officeDocument/2006/relationships/hyperlink" Id="rId225" Target="http://www.jstor.org/stable/124852" TargetMode="External" /><Relationship Type="http://schemas.openxmlformats.org/officeDocument/2006/relationships/hyperlink" Id="rId211" Target="http://www.jstor.org/stable/2156023" TargetMode="External" /><Relationship Type="http://schemas.openxmlformats.org/officeDocument/2006/relationships/hyperlink" Id="rId200" Target="http://www.jstor.org/stable/2741828" TargetMode="External" /><Relationship Type="http://schemas.openxmlformats.org/officeDocument/2006/relationships/hyperlink" Id="rId175" Target="http://www.jstor.org/stable/279544" TargetMode="External" /><Relationship Type="http://schemas.openxmlformats.org/officeDocument/2006/relationships/hyperlink" Id="rId177" Target="http://www.jstor.org/stable/2800797" TargetMode="External" /><Relationship Type="http://schemas.openxmlformats.org/officeDocument/2006/relationships/hyperlink" Id="rId230" Target="http://www.jstor.org/stable/40287092" TargetMode="External" /><Relationship Type="http://schemas.openxmlformats.org/officeDocument/2006/relationships/hyperlink" Id="rId219"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7"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3"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2" Target="https://doi.org/10.1007/978-4-431-55363-2_8" TargetMode="External" /><Relationship Type="http://schemas.openxmlformats.org/officeDocument/2006/relationships/hyperlink" Id="rId252" Target="https://doi.org/10.1007/978-981-13-8980-1_12" TargetMode="External" /><Relationship Type="http://schemas.openxmlformats.org/officeDocument/2006/relationships/hyperlink" Id="rId154" Target="https://doi.org/10.1007/s10814-013-9068-y" TargetMode="External" /><Relationship Type="http://schemas.openxmlformats.org/officeDocument/2006/relationships/hyperlink" Id="rId276" Target="https://doi.org/10.1007/s10816-015-9272-9" TargetMode="External" /><Relationship Type="http://schemas.openxmlformats.org/officeDocument/2006/relationships/hyperlink" Id="rId274"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6" Target="https://doi.org/10.1007/s41982-023-00158-8" TargetMode="External" /><Relationship Type="http://schemas.openxmlformats.org/officeDocument/2006/relationships/hyperlink" Id="rId114" Target="https://doi.org/10.1007/s41982-025-00298-3" TargetMode="External" /><Relationship Type="http://schemas.openxmlformats.org/officeDocument/2006/relationships/hyperlink" Id="rId149" Target="https://doi.org/10.1016/B978-0-12-564750-2.50006-8" TargetMode="External" /><Relationship Type="http://schemas.openxmlformats.org/officeDocument/2006/relationships/hyperlink" Id="rId170" Target="https://doi.org/10.1016/B978-0-12-564750-2.50016-0" TargetMode="External" /><Relationship Type="http://schemas.openxmlformats.org/officeDocument/2006/relationships/hyperlink" Id="rId223"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6" Target="https://doi.org/10.1016/j.evolhumbehav.2022.07.003" TargetMode="External" /><Relationship Type="http://schemas.openxmlformats.org/officeDocument/2006/relationships/hyperlink" Id="rId183" Target="https://doi.org/10.1016/j.jaa.2005.11.004" TargetMode="External" /><Relationship Type="http://schemas.openxmlformats.org/officeDocument/2006/relationships/hyperlink" Id="rId205"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8" Target="https://doi.org/10.1016/j.jas.2025.106281" TargetMode="External" /><Relationship Type="http://schemas.openxmlformats.org/officeDocument/2006/relationships/hyperlink" Id="rId255" Target="https://doi.org/10.1016/j.jasrep.2021.103118" TargetMode="External" /><Relationship Type="http://schemas.openxmlformats.org/officeDocument/2006/relationships/hyperlink" Id="rId181"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8"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9"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3"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60" Target="https://doi.org/10.1017/S0079497X00006265" TargetMode="External" /><Relationship Type="http://schemas.openxmlformats.org/officeDocument/2006/relationships/hyperlink" Id="rId250"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7"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7" Target="https://doi.org/10.1073/pnas.1518798113" TargetMode="External" /><Relationship Type="http://schemas.openxmlformats.org/officeDocument/2006/relationships/hyperlink" Id="rId202" Target="https://doi.org/10.1086/701523" TargetMode="External" /><Relationship Type="http://schemas.openxmlformats.org/officeDocument/2006/relationships/hyperlink" Id="rId248" Target="https://doi.org/10.1093/mind/fzae011" TargetMode="External" /><Relationship Type="http://schemas.openxmlformats.org/officeDocument/2006/relationships/hyperlink" Id="rId269" Target="https://doi.org/10.1093/oxfordhb/9780198854265.013.31" TargetMode="External" /><Relationship Type="http://schemas.openxmlformats.org/officeDocument/2006/relationships/hyperlink" Id="rId261" Target="https://doi.org/10.1098/rsif.2017.0171" TargetMode="External" /><Relationship Type="http://schemas.openxmlformats.org/officeDocument/2006/relationships/hyperlink" Id="rId190"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2"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5" Target="https://doi.org/10.1179/sea.2010.29.1.013" TargetMode="External" /><Relationship Type="http://schemas.openxmlformats.org/officeDocument/2006/relationships/hyperlink" Id="rId265"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4" Target="https://doi.org/10.2139/ssrn.7053279" TargetMode="External" /><Relationship Type="http://schemas.openxmlformats.org/officeDocument/2006/relationships/hyperlink" Id="rId257" Target="https://doi.org/10.2307/2802103" TargetMode="External" /><Relationship Type="http://schemas.openxmlformats.org/officeDocument/2006/relationships/hyperlink" Id="rId215" Target="https://doi.org/10.2307/280511" TargetMode="External" /><Relationship Type="http://schemas.openxmlformats.org/officeDocument/2006/relationships/hyperlink" Id="rId147" Target="https://doi.org/10.2307/3034956" TargetMode="External" /><Relationship Type="http://schemas.openxmlformats.org/officeDocument/2006/relationships/hyperlink" Id="rId162" Target="https://doi.org/10.2307/j.ctv24q4z2g.5" TargetMode="External" /><Relationship Type="http://schemas.openxmlformats.org/officeDocument/2006/relationships/hyperlink" Id="rId188" Target="https://doi.org/10.2307/j.ctvdmwwz4.10" TargetMode="External" /><Relationship Type="http://schemas.openxmlformats.org/officeDocument/2006/relationships/hyperlink" Id="rId186" Target="https://doi.org/10.2307/j.ctvdmwwz4.7" TargetMode="External" /><Relationship Type="http://schemas.openxmlformats.org/officeDocument/2006/relationships/hyperlink" Id="rId194"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2" Target="https://doi.org/10.3828/hgr.2023.12" TargetMode="External" /><Relationship Type="http://schemas.openxmlformats.org/officeDocument/2006/relationships/hyperlink" Id="rId207"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3"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2026-08-06T08:24:30Z</dcterms:created>
  <dcterms:modified xsi:type="dcterms:W3CDTF">2026-08-06T08:24:30Z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