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4.png" ContentType="image/png"/>
  <Override PartName="/word/media/rId37.png" ContentType="image/png"/>
  <Override PartName="/word/media/rId41.png" ContentType="image/png"/>
  <Override PartName="/word/media/rId3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(Aur-P1/Aur-P2; Shao et al. 2021) that respects specialist technological attributions in site assignment. Using seriation and network analysis, we examine whether sign distribution reflects cultural grouping within each phase, and whether the sign-sharing network differs between the early and late Aurignacian. Within the early phase (Aur-P1; 20 sites) we identify a robust two-group structure of restricted versus broad geometric-sign repertoires that is stable under bootstrap resampling and largely recovered by an independent stochastic block model. The small late phase (Aur-P2; 9 sites) shows a weaker, less resolved structure. The early phase supports a larger network centred on key sites, but once network size is taken into account the late phase shows higher edge density, and formal permutation tests indicate that the phases do not differ significantly in edge density, modularity, betweenness, or component count, so the observed differences in connectivity track the larger size of the early phase rather than a statistically distinguishable community structure. Mantel tests did not detect a significant correlation between geographic distance and sign distribution in either phase, and the isolation-by-distance relationship does not differ between them, although this null result should be interpreted cautiously given the small sample sizes. These results indicate that the restricted/broad separation is a persistent organisational feature of Aurignacian symbolic culture; the absence of a significant geographic correlation is consistent with this interpretation but does not establish it, and the connectivity dynamics of the two phases should be compared net of network size rather than through a simple densest-hub narrative.</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43–30 ka BP) is often linked to the dispersal of</w:t>
      </w:r>
      <w:r>
        <w:t xml:space="preserve"> </w:t>
      </w:r>
      <w:r>
        <w:rPr>
          <w:iCs/>
          <w:i/>
        </w:rPr>
        <w:t xml:space="preserve">Homo sapiens</w:t>
      </w:r>
      <w:r>
        <w:t xml:space="preserve"> </w:t>
      </w:r>
      <w:r>
        <w:t xml:space="preserve">across Western Eurasia, and is characterized by lithic and osseus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cultural connectivity during this period. We investigated human social organization dynamics implied by the distribution and variation of geometric sign types found on mobile objects in Europe within a two-phase framework (Aur-P1/Aur-P2; Shao et al. 2021).</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suggests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BP) is largely characterized by material culture indicators such as carinated scrapers, blades and bladelets, and split-based bone and ivory tools</w:t>
      </w:r>
      <w:r>
        <w:t xml:space="preserve"> </w:t>
      </w:r>
      <w:r>
        <w:t xml:space="preserve">[12]</w:t>
      </w:r>
      <w:r>
        <w:t xml:space="preserve">. Periodization of the Aurignacian is complicated by regional variation with phases starting and ending at different times</w:t>
      </w:r>
      <w:r>
        <w:t xml:space="preserve"> </w:t>
      </w:r>
      <w:r>
        <w:t xml:space="preserve">[13,14]</w:t>
      </w:r>
      <w:r>
        <w:t xml:space="preserve">, and a lack of compositional integrity over time</w:t>
      </w:r>
      <w:r>
        <w:t xml:space="preserve"> </w:t>
      </w:r>
      <w:r>
        <w:t xml:space="preserve">[15]</w:t>
      </w:r>
      <w:r>
        <w:t xml:space="preserve">, with supposed index fossils persisting through multiple phases</w:t>
      </w:r>
      <w:r>
        <w:t xml:space="preserve"> </w:t>
      </w:r>
      <w:r>
        <w:t xml:space="preserve">[16]</w:t>
      </w:r>
      <w:r>
        <w:t xml:space="preserve">. While earlier work on the Aquitaine/Périgord sequences proposed as many as five phases</w:t>
      </w:r>
      <w:r>
        <w:t xml:space="preserve"> </w:t>
      </w:r>
      <w:r>
        <w:t xml:space="preserve">[17]</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[18]</w:t>
      </w:r>
      <w:r>
        <w:t xml:space="preserve">. For example,</w:t>
      </w:r>
      <w:r>
        <w:t xml:space="preserve"> </w:t>
      </w:r>
      <w:r>
        <w:t xml:space="preserve">[19]</w:t>
      </w:r>
      <w:r>
        <w:t xml:space="preserve"> </w:t>
      </w:r>
      <w:r>
        <w:t xml:space="preserve">divided the Aurignacian into two main phases, Aur-P1 (Proto/Early, 43–37 ka BP), and Aur-P2 (Evolved/Late, 37–32 ka BP), noting that the technological and chronological differences between the Proto and Early Aurignacian are difficult to distinguish .</w:t>
      </w:r>
      <w:r>
        <w:t xml:space="preserve"> </w:t>
      </w:r>
      <w:r>
        <w:t xml:space="preserve">[20]</w:t>
      </w:r>
      <w:r>
        <w:t xml:space="preserve"> </w:t>
      </w:r>
      <w:r>
        <w:t xml:space="preserve">used Bayesian modeling methods to estimate the timing of the transition between the Proto and Early Aurignacian, placing the Proto-Aurignacian at 41.5–39.9 ka BP, and the early Aurignacian at 39.8–37.8 ka BP. They found that the Proto-Aurignacian occurs during the Greenland Interstadials (GI) 9 and 10, periods of climatic amelioration, while the Early Aurignacian began with the Henrich Stadial, which is characterized by dry and arid conditions, and ends with GI 8.</w:t>
      </w:r>
    </w:p>
    <w:p>
      <w:pPr>
        <w:pStyle w:val="BodyText"/>
      </w:pPr>
      <w:r>
        <w:t xml:space="preserve">We adopt the two-phase framework (Aur-P1/Aur-P2) of</w:t>
      </w:r>
      <w:r>
        <w:t xml:space="preserve"> </w:t>
      </w:r>
      <w:r>
        <w:t xml:space="preserve">[19]</w:t>
      </w:r>
      <w:r>
        <w:t xml:space="preserve"> </w:t>
      </w:r>
      <w:r>
        <w:t xml:space="preserve">and</w:t>
      </w:r>
      <w:r>
        <w:t xml:space="preserve"> </w:t>
      </w:r>
      <w:r>
        <w:t xml:space="preserve">[21]</w:t>
      </w:r>
      <w:r>
        <w:t xml:space="preserve"> </w:t>
      </w:r>
      <w:r>
        <w:t xml:space="preserve">as a first-order chronological scaffold, acknowledging that phases are analytical conveniences rather than discrete cultural entities</w:t>
      </w:r>
      <w:r>
        <w:t xml:space="preserve"> </w:t>
      </w:r>
      <w:r>
        <w:t xml:space="preserve">[15,18]</w:t>
      </w:r>
      <w:r>
        <w:t xml:space="preserve">. The chronological and technological distinctness of the Proto- and Early Aurignacian is difficult to sustain</w:t>
      </w:r>
      <w:r>
        <w:t xml:space="preserve"> </w:t>
      </w:r>
      <w:r>
        <w:t xml:space="preserve">[19]</w:t>
      </w:r>
      <w:r>
        <w:t xml:space="preserve">, and some analyses suggest these represent coexisting facies rather than successive phases</w:t>
      </w:r>
      <w:r>
        <w:t xml:space="preserve"> </w:t>
      </w:r>
      <w:r>
        <w:t xml:space="preserve">[22]</w:t>
      </w:r>
      <w:r>
        <w:t xml:space="preserve">. We therefore pool the Proto and Early Aurignac into Aur-P1 (43–37 ka BP) and treat the Evolved/Late Aurignac as Aur-P2 (37–32 ka BP), following the two-phase scheme of</w:t>
      </w:r>
      <w:r>
        <w:t xml:space="preserve"> </w:t>
      </w:r>
      <w:r>
        <w:t xml:space="preserve">[21]</w:t>
      </w:r>
      <w:r>
        <w:t xml:space="preserve">. This merger is also chronologically warranted: South-west German sites whose lithic technology is assigned to the Early Aurignacian commonly overlap in calibrated age with Mediterranean assemblages attributed to the Proto-Aurignacian, so the Proto/Early boundary functions as a coeval boundary rather than a continental succession (e.g.</w:t>
      </w:r>
      <w:r>
        <w:t xml:space="preserve"> </w:t>
      </w:r>
      <w:r>
        <w:t xml:space="preserve">[23]</w:t>
      </w:r>
      <w:r>
        <w:t xml:space="preserve">;</w:t>
      </w:r>
      <w:r>
        <w:t xml:space="preserve"> </w:t>
      </w:r>
      <w:r>
        <w:t xml:space="preserve">[19]</w:t>
      </w:r>
      <w:r>
        <w:t xml:space="preserve">;</w:t>
      </w:r>
      <w:r>
        <w:t xml:space="preserve"> </w:t>
      </w:r>
      <w:r>
        <w:t xml:space="preserve">[22]</w:t>
      </w:r>
      <w:r>
        <w:t xml:space="preserve">).</w:t>
      </w:r>
    </w:p>
    <w:p>
      <w:pPr>
        <w:pStyle w:val="BodyText"/>
      </w:pPr>
      <w:r>
        <w:t xml:space="preserve">Our phase assignments follow specialist technological attributions from the published literature rather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[13,23,28]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Supplement S8, where stratigraphic mixing concerns at Vogelherd are also addressed</w:t>
      </w:r>
      <w:r>
        <w:t xml:space="preserve"> </w:t>
      </w:r>
      <w:r>
        <w:t xml:space="preserve">[31]</w:t>
      </w:r>
      <w:r>
        <w:t xml:space="preserve">. We detail the rationale and procedure for assigning archaeological sites to Aurignacian phases in our Supplementary Material item</w:t>
      </w:r>
      <w:r>
        <w:t xml:space="preserve"> </w:t>
      </w:r>
      <w:r>
        <w:t xml:space="preserve">“</w:t>
      </w:r>
      <w:r>
        <w:t xml:space="preserve">Site Phase Assignments</w:t>
      </w:r>
      <w:r>
        <w:t xml:space="preserve">”</w:t>
      </w:r>
      <w:r>
        <w:t xml:space="preserve">. We test the sensitivity of our results to this baseline by also running four-phase and boundary-shift variants (Supplementary Material item</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9"/>
              <w:gridCol w:w="161"/>
              <w:gridCol w:w="6921"/>
              <w:gridCol w:w="627"/>
            </w:tblGrid>
            <w:tr>
              <w:trPr>
                <w:tblHeader w:val="true"/>
              </w:trPr>
              <w:tc>
                <w:tcPr/>
                <w:p>
                  <w:pPr>
                    <w:pStyle w:val="Compact"/>
                    <w:jc w:val="left"/>
                    <w:jc w:val="center"/>
                  </w:pPr>
                  <w:r>
                    <w:t xml:space="preserve">Time Period Name</w:t>
                  </w:r>
                </w:p>
              </w:tc>
              <w:tc>
                <w:tcPr/>
                <w:p>
                  <w:pPr>
                    <w:pStyle w:val="Compact"/>
                    <w:jc w:val="left"/>
                    <w:jc w:val="center"/>
                  </w:pPr>
                  <w:r>
                    <w:t xml:space="preserve">Dates (k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[12,20,21,32]</w:t>
            </w:r>
          </w:p>
          <w:bookmarkEnd w:id="22"/>
        </w:tc>
      </w:tr>
    </w:tbl>
    <w:p>
      <w:pPr>
        <w:pStyle w:val="BodyText"/>
      </w:pPr>
      <w:r>
        <w:t xml:space="preserve">We hypothesize that the early and late phases, and the environmental changes across them, may correspond to differences in the dynamics of cultural groups, as represented by patterns in the distribution of geometric signs.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Supplementary Material item</w:t>
      </w:r>
      <w:r>
        <w:t xml:space="preserve"> </w:t>
      </w:r>
      <w:r>
        <w:t xml:space="preserve">“</w:t>
      </w:r>
      <w:r>
        <w:t xml:space="preserve">Site Phase Assignments</w:t>
      </w:r>
      <w:r>
        <w:t xml:space="preserve">”</w:t>
      </w:r>
      <w:r>
        <w:t xml:space="preserve">. Our sample for analysis includes 409 objects found at 28 sites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w:t>
            </w:r>
          </w:p>
          <w:bookmarkEnd w:id="27"/>
        </w:tc>
      </w:tr>
    </w:tbl>
    <w:p>
      <w:pPr>
        <w:pStyle w:val="BodyText"/>
      </w:pPr>
      <w:r>
        <w:t xml:space="preserve">Ages of the objects were determined by calibrating the uncalibrated ages provided by SignBase using the rcarbon package</w:t>
      </w:r>
      <w:r>
        <w:t xml:space="preserve"> </w:t>
      </w:r>
      <w:r>
        <w:t xml:space="preserve">[33]</w:t>
      </w:r>
      <w:r>
        <w:t xml:space="preserve">. The calibrated radiocarbon dates of the sampled data range from approximately 33 to 45 ka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Supplementary Material item</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0.012). The very small effect size (R ≈ 0.06) indicates that temporal distance explains only a small fraction of the variation in sign-type distribution, suggesting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[34]</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[35]</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[36]</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[37]</w:t>
      </w:r>
      <w:r>
        <w:t xml:space="preserve">. This relationship can be investigated using the isolation-by-distance framework, which proposes that cultural difference can be primarily explained by geographic distance</w:t>
      </w:r>
      <w:r>
        <w:t xml:space="preserve"> </w:t>
      </w:r>
      <w:r>
        <w:t xml:space="preserve">[34]</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(see our Supplementary Material item</w:t>
      </w:r>
      <w:r>
        <w:t xml:space="preserve"> </w:t>
      </w:r>
      <w:r>
        <w:t xml:space="preserve">“</w:t>
      </w:r>
      <w:r>
        <w:t xml:space="preserve">Sensitivity Analyses</w:t>
      </w:r>
      <w:r>
        <w:t xml:space="preserve">”</w:t>
      </w:r>
      <w:r>
        <w:t xml:space="preserve"> </w:t>
      </w:r>
      <w:r>
        <w:t xml:space="preserve">S5.8). Further verification these results using geodesic distances in kilometres rather than flat-coordinate Euclidean distances also shows a null result (see our Supplementary Material item</w:t>
      </w:r>
      <w:r>
        <w:t xml:space="preserve"> </w:t>
      </w:r>
      <w:r>
        <w:t xml:space="preserve">“</w:t>
      </w:r>
      <w:r>
        <w:t xml:space="preserve">Sensitivity Analyses</w:t>
      </w:r>
      <w:r>
        <w:t xml:space="preserve">”</w:t>
      </w:r>
      <w:r>
        <w:t xml:space="preserve"> </w:t>
      </w:r>
      <w:r>
        <w:t xml:space="preserve">S3).</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[38]</w:t>
      </w:r>
      <w:r>
        <w:t xml:space="preserve">. We used the Brower-Kile</w:t>
      </w:r>
      <w:r>
        <w:t xml:space="preserve"> </w:t>
      </w:r>
      <w:r>
        <w:t xml:space="preserve">[39]</w:t>
      </w:r>
      <w:r>
        <w:t xml:space="preserve"> </w:t>
      </w:r>
      <w:r>
        <w:t xml:space="preserve">seriation algorithm from the seriation package</w:t>
      </w:r>
      <w:r>
        <w:t xml:space="preserve"> </w:t>
      </w:r>
      <w:r>
        <w:t xml:space="preserve">[38]</w:t>
      </w:r>
      <w:r>
        <w:t xml:space="preserve">, in which a unidimensional sequence is generated by reordering the rows and columns to group the presences along the diagonal.</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[40]</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Supplementary Material item</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[41]</w:t>
      </w:r>
      <w:r>
        <w:t xml:space="preserve">, a force-directed graph layout for uniform edge lengths, and network analysis was performed using the vegan</w:t>
      </w:r>
      <w:r>
        <w:t xml:space="preserve"> </w:t>
      </w:r>
      <w:r>
        <w:t xml:space="preserve">[36]</w:t>
      </w:r>
      <w:r>
        <w:t xml:space="preserve">, statnet</w:t>
      </w:r>
      <w:r>
        <w:t xml:space="preserve"> </w:t>
      </w:r>
      <w:r>
        <w:t xml:space="preserve">[42]</w:t>
      </w:r>
      <w:r>
        <w:t xml:space="preserve"> </w:t>
      </w:r>
      <w:r>
        <w:t xml:space="preserve">and igraph</w:t>
      </w:r>
      <w:r>
        <w:t xml:space="preserve"> </w:t>
      </w:r>
      <w:r>
        <w:t xml:space="preserve">[43]</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[44,45]</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[36]</w:t>
      </w:r>
      <w:r>
        <w:t xml:space="preserve"> </w:t>
      </w:r>
      <w:r>
        <w:t xml:space="preserve">and igraph</w:t>
      </w:r>
      <w:r>
        <w:t xml:space="preserve"> </w:t>
      </w:r>
      <w:r>
        <w:t xml:space="preserve">[43]</w:t>
      </w:r>
      <w:r>
        <w:t xml:space="preserve"> </w:t>
      </w:r>
      <w:r>
        <w:t xml:space="preserve">packages. Because the restricted/broad group assignments were derived from visual inspection of the seriation results using the same sign data tested here, we validate these assignments against data-driven Louvain community detection and report the comparison in Supplement S5. We further test the robustness of the partition with bootstrap consensus clustering of sites and with stochastic block models, which select the number of groups model-independently and assign posterior membership probabilities to each site (see our Supplementary Material item</w:t>
      </w:r>
      <w:r>
        <w:t xml:space="preserve"> </w:t>
      </w:r>
      <w:r>
        <w:t xml:space="preserve">“</w:t>
      </w:r>
      <w:r>
        <w:t xml:space="preserve">Sensitivity Analyses</w:t>
      </w:r>
      <w:r>
        <w:t xml:space="preserve">”</w:t>
      </w:r>
      <w:r>
        <w:t xml:space="preserve"> </w:t>
      </w:r>
      <w:r>
        <w:t xml:space="preserve">S6).</w:t>
      </w:r>
    </w:p>
    <w:bookmarkEnd w:id="31"/>
    <w:bookmarkEnd w:id="32"/>
    <w:bookmarkStart w:id="52" w:name="results"/>
    <w:p>
      <w:pPr>
        <w:pStyle w:val="Heading1"/>
      </w:pPr>
      <w:r>
        <w:t xml:space="preserve">Results</w:t>
      </w:r>
    </w:p>
    <w:bookmarkStart w:id="49"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6" w:name="fig-seriation"/>
          <w:p>
            <w:pPr>
              <w:pStyle w:val="Compact"/>
              <w:jc w:val="center"/>
            </w:pPr>
            <w:r>
              <w:drawing>
                <wp:inline>
                  <wp:extent cx="5943600" cy="3657600"/>
                  <wp:effectExtent b="0" l="0" r="0" t="0"/>
                  <wp:docPr descr="" title="" id="34" name="Picture"/>
                  <a:graphic>
                    <a:graphicData uri="http://schemas.openxmlformats.org/drawingml/2006/picture">
                      <pic:pic>
                        <pic:nvPicPr>
                          <pic:cNvPr descr="../figures/seriation-plot.png" id="35" name="Picture"/>
                          <pic:cNvPicPr>
                            <a:picLocks noChangeArrowheads="1" noChangeAspect="1"/>
                          </pic:cNvPicPr>
                        </pic:nvPicPr>
                        <pic:blipFill>
                          <a:blip r:embed="rId33"/>
                          <a:stretch>
                            <a:fillRect/>
                          </a:stretch>
                        </pic:blipFill>
                        <pic:spPr bwMode="auto">
                          <a:xfrm>
                            <a:off x="0" y="0"/>
                            <a:ext cx="59436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Palaeolithic phases. Presence–absence matrices of geometric sign types reordered using Brower-Kile seriation algorithm for (A) Aur-P1 and (B) Aur-P2 phases. Rows represent sites and columns represent sign types. Blocks of co-occurring signs indicate culturally coherent groupings. Despite chronological turnover in specific sign types, two broad classes of assemblages—restricted-range and broad-range—recur across both phases, suggesting persistent structuring in symbolic signaling practices. Restricted group is in red, broader group is in blue.</w:t>
            </w:r>
          </w:p>
          <w:bookmarkEnd w:id="36"/>
        </w:tc>
      </w:tr>
    </w:tbl>
    <w:p>
      <w:pPr>
        <w:pStyle w:val="BodyText"/>
      </w:pPr>
      <w:r>
        <w:t xml:space="preserve">For each of the two phases, our seriation analysis identifies two groups.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 Bootstrap resampling of sites confirms that the Aur-P1 two-group structure is stable to sampling variation; the stochastic block model independently selects a three-block structure for Aur-P1, reproducing the manual restricted/broad split for all but one site, and a single-block structure for the small Aur-P2 sample, providing no model-based support for a two-group split there (Supplement S6.3). Per-site robustness of the restricted/broad assignment is quantified in our Supplementary Material item</w:t>
      </w:r>
      <w:r>
        <w:t xml:space="preserve"> </w:t>
      </w:r>
      <w:r>
        <w:t xml:space="preserve">“</w:t>
      </w:r>
      <w:r>
        <w:t xml:space="preserve">Sensitivity Analyses</w:t>
      </w:r>
      <w:r>
        <w:t xml:space="preserve">”</w:t>
      </w:r>
      <w:r>
        <w:t xml:space="preserve"> </w:t>
      </w:r>
      <w:r>
        <w:t xml:space="preserve">S6.</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the Aur-P1 seriation results hint at a robust two-member structure, the Aur-P2 partition rests on only 9 sites and, as the bootstrap and model-selection results show, is both smaller and weaker. Network analysis allows us to evaluate how these groups may have been socially connected.</w:t>
      </w:r>
    </w:p>
    <w:tbl>
      <w:tblPr>
        <w:tblStyle w:val="Table"/>
        <w:tblW w:type="pct" w:w="5000"/>
        <w:tblLook w:firstRow="0" w:lastRow="0" w:firstColumn="0" w:lastColumn="0" w:noHBand="0" w:noVBand="0" w:val="0000"/>
        <w:jc w:val="start"/>
        <w:tblLayout w:type="fixed"/>
      </w:tblPr>
      <w:tblGrid>
        <w:gridCol w:w="7920"/>
      </w:tblGrid>
      <w:tr>
        <w:tc>
          <w:tcPr/>
          <w:bookmarkStart w:id="40" w:name="fig-neighbor-net"/>
          <w:p>
            <w:pPr>
              <w:pStyle w:val="Compact"/>
              <w:jc w:val="center"/>
            </w:pPr>
            <w:r>
              <w:drawing>
                <wp:inline>
                  <wp:extent cx="5943600" cy="3566160"/>
                  <wp:effectExtent b="0" l="0" r="0" t="0"/>
                  <wp:docPr descr="" title="" id="38" name="Picture"/>
                  <a:graphic>
                    <a:graphicData uri="http://schemas.openxmlformats.org/drawingml/2006/picture">
                      <pic:pic>
                        <pic:nvPicPr>
                          <pic:cNvPr descr="../figures/network-plot.png" id="39" name="Picture"/>
                          <pic:cNvPicPr>
                            <a:picLocks noChangeArrowheads="1" noChangeAspect="1"/>
                          </pic:cNvPicPr>
                        </pic:nvPicPr>
                        <pic:blipFill>
                          <a:blip r:embed="rId37"/>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similarity of geometric sign presence/absence. Nodes represent sites and edges connect pairs whose Jaccard similarity is ≥0.2 (i.e., the intersection of their sign types is at least 20% of their union). Node size reflects degree centrality, and edge thickness corresponds to similarity strength. The Aur-P1 network shows the highest overall connectivity, whereas the Aur-P2 phase exhibits weaker and more fragmented connections. These networks illustrate phase-specific differences in the intensity and configuration of inter-site cultural links.</w:t>
            </w:r>
          </w:p>
          <w:bookmarkEnd w:id="40"/>
        </w:tc>
      </w:tr>
    </w:tbl>
    <w:tbl>
      <w:tblPr>
        <w:tblStyle w:val="Table"/>
        <w:tblW w:type="pct" w:w="5000"/>
        <w:tblLook w:firstRow="0" w:lastRow="0" w:firstColumn="0" w:lastColumn="0" w:noHBand="0" w:noVBand="0" w:val="0000"/>
        <w:jc w:val="start"/>
        <w:tblLayout w:type="fixed"/>
      </w:tblPr>
      <w:tblGrid>
        <w:gridCol w:w="7920"/>
      </w:tblGrid>
      <w:tr>
        <w:tc>
          <w:tcPr/>
          <w:bookmarkStart w:id="44" w:name="fig-neighbor-net-stats"/>
          <w:p>
            <w:pPr>
              <w:pStyle w:val="Compact"/>
              <w:jc w:val="center"/>
            </w:pPr>
            <w:r>
              <w:drawing>
                <wp:inline>
                  <wp:extent cx="5943600" cy="4086225"/>
                  <wp:effectExtent b="0" l="0" r="0" t="0"/>
                  <wp:docPr descr="" title="" id="42" name="Picture"/>
                  <a:graphic>
                    <a:graphicData uri="http://schemas.openxmlformats.org/drawingml/2006/picture">
                      <pic:pic>
                        <pic:nvPicPr>
                          <pic:cNvPr descr="../figures/network-stats-plot.png" id="43" name="Picture"/>
                          <pic:cNvPicPr>
                            <a:picLocks noChangeArrowheads="1" noChangeAspect="1"/>
                          </pic:cNvPicPr>
                        </pic:nvPicPr>
                        <pic:blipFill>
                          <a:blip r:embed="rId41"/>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within-phase random distribution). The horizontal brackets at the top of each panel show p-values of pairwise randomisation tests for significant differences in network statistics between phases.</w:t>
            </w:r>
          </w:p>
          <w:bookmarkEnd w:id="44"/>
        </w:tc>
      </w:tr>
    </w:tbl>
    <w:p>
      <w:pPr>
        <w:pStyle w:val="BodyText"/>
      </w:pPr>
      <w:r>
        <w:t xml:space="preserve">The results of the network analysis support the restricted-broad groupings identified in</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the seriation: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structure is again recovered, with a broad-range group (Trou Magrite, Bockstein-Törle, Hohle Fels) and a restricted-range group (Les Rois, Sirgenstein Cave, La Viña, Mladeč, Gargas, Vindija Cave). Inter-group connectivity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random distribution within each phase, and pairwise randomisation tests comparing the two phases. Within-phase, Aur-P2 edge density is significantly higher than expected under random site assignment (p &lt; 0.001), while Aur-P1 edge density does not differ from the within-phase null. Aur-P1’s modularity and betweenness are likewise significantly higher than expected (p &lt; 0.001), consistent with the restricted/broad community structure</w:t>
      </w:r>
      <w:r>
        <w:t xml:space="preserve"> </w:t>
      </w:r>
      <w:r>
        <w:t xml:space="preserve">[46]</w:t>
      </w:r>
      <w:r>
        <w:t xml:space="preserve">, whereas Aur-P2’s modularity and betweenness, and both phases’ component counts, do not differ from the null. The null-benchmarked and size-normalised (Erdős–Rényi) comparisons in our Supplementary Material item</w:t>
      </w:r>
      <w:r>
        <w:t xml:space="preserve"> </w:t>
      </w:r>
      <w:r>
        <w:t xml:space="preserve">“</w:t>
      </w:r>
      <w:r>
        <w:t xml:space="preserve">Sensitivity Analyses</w:t>
      </w:r>
      <w:r>
        <w:t xml:space="preserve">”</w:t>
      </w:r>
      <w:r>
        <w:t xml:space="preserve"> </w:t>
      </w:r>
      <w:r>
        <w:t xml:space="preserve">S5.9 evaluate this structure net of network size. Pairwise permutation tests with Benjamini–Hochberg correction show that the phases do not differ significantly in any of the tested network statistics — edge density (p = 0.4404), modularity (p = 0.3018), betweenness (p = 0.6224), or component count (p = 0.5155). The Aur-P1–Aur-P2 contrast is therefore primarily one of network scale rather than a statistically distinguishable community structure.</w:t>
      </w:r>
    </w:p>
    <w:tbl>
      <w:tblPr>
        <w:tblStyle w:val="Table"/>
        <w:tblW w:type="pct" w:w="5000"/>
        <w:tblLook w:firstRow="0" w:lastRow="0" w:firstColumn="0" w:lastColumn="0" w:noHBand="0" w:noVBand="0" w:val="0000"/>
        <w:jc w:val="start"/>
        <w:tblLayout w:type="fixed"/>
      </w:tblPr>
      <w:tblGrid>
        <w:gridCol w:w="7920"/>
      </w:tblGrid>
      <w:tr>
        <w:tc>
          <w:tcPr/>
          <w:bookmarkStart w:id="48" w:name="fig-group-map"/>
          <w:p>
            <w:pPr>
              <w:pStyle w:val="Compact"/>
              <w:jc w:val="center"/>
            </w:pPr>
            <w:r>
              <w:drawing>
                <wp:inline>
                  <wp:extent cx="5943600" cy="4754880"/>
                  <wp:effectExtent b="0" l="0" r="0" t="0"/>
                  <wp:docPr descr="" title="" id="46" name="Picture"/>
                  <a:graphic>
                    <a:graphicData uri="http://schemas.openxmlformats.org/drawingml/2006/picture">
                      <pic:pic>
                        <pic:nvPicPr>
                          <pic:cNvPr descr="paper_files/figure-docx/fig-group-map-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w:t>
            </w:r>
          </w:p>
          <w:bookmarkEnd w:id="48"/>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inter-group connectivity evident in the network analysis. In Aur-P2, the surviving sites are more widely dispersed, though this reflects the much smaller sample of this phase.</w:t>
      </w:r>
    </w:p>
    <w:bookmarkEnd w:id="49"/>
    <w:bookmarkStart w:id="51"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0"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0"/>
        </w:tc>
      </w:tr>
    </w:tbl>
    <w:p>
      <w:pPr>
        <w:pStyle w:val="BodyText"/>
      </w:pPr>
      <w:r>
        <w:t xml:space="preserve">The perMANOVA results show that group membership explains approximately 0.196 of the variance in sign composition in the Aur-P1 phase and 0.223 in the Aur-P2 phase (</w:t>
      </w:r>
      <w:hyperlink w:anchor="tbl-strength-table">
        <w:r>
          <w:rPr>
            <w:rStyle w:val="Hyperlink"/>
          </w:rPr>
          <w:t xml:space="preserve">Table 3</w:t>
        </w:r>
      </w:hyperlink>
      <w:r>
        <w:t xml:space="preserve">). While R² is stable across phases, the pseudo-F statistic differs: the Aur-P1 phase shows the greater group separation (F = 4.382) than Aur-P2 (F = 2.008). The betadisper test for homogeneity of multivariate dispersions shows that group dispersion does not differ significantly between restricted and broad groups in either phase (Aur-P1: p = 0.124, Aur-P2: p = 0.771). This confirms that the perMANOVA results reflect differences in group centroids rather than differences in dispersion.</w:t>
      </w:r>
    </w:p>
    <w:bookmarkEnd w:id="51"/>
    <w:bookmarkEnd w:id="52"/>
    <w:bookmarkStart w:id="59" w:name="discussion"/>
    <w:p>
      <w:pPr>
        <w:pStyle w:val="Heading1"/>
      </w:pPr>
      <w:r>
        <w:t xml:space="preserve">Discussion</w:t>
      </w:r>
    </w:p>
    <w:bookmarkStart w:id="57"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can be divided into two main sign-use groups, with sign type frequency and diversity serving as the major dividing factor. Group size differed between phases: in Aur-P1 the restricted-range group (9 sites) was slightly smaller than the broad-range group (11 sites), whereas in the much smaller Aur-P2 the restricted-range group (6 sites) exceeded the broad-range group (3 sites).</w:t>
      </w:r>
      <w:r>
        <w:t xml:space="preserve"> </w:t>
      </w:r>
      <w:hyperlink w:anchor="fig-neighbor-net">
        <w:r>
          <w:rPr>
            <w:rStyle w:val="Hyperlink"/>
          </w:rPr>
          <w:t xml:space="preserve">Figure 3</w:t>
        </w:r>
      </w:hyperlink>
      <w:r>
        <w:t xml:space="preserve"> </w:t>
      </w:r>
      <w:r>
        <w:t xml:space="preserve">shows that connectivity also differs between the phases. Aur-P1 produced the more edge-rich network with the higher mean degree (7.5°) and a hub structure centred on key sites, while Aur-P2 shows fewer edges and a lower mean degree (4.2°). Pairwise permutation tests indicate that the phases do not differ significantly in any of the tested network statistics (edge density, modularity, betweenness, or component count), so the Aur-P1–Aur-P2 contrast is best described as a difference in network scale rather than in overall connectedness or community structure. The perMANOVA tests confirm that the restricted- and broad-range groups are significantly separated in sign composition within Aur-P1 (R² = 0.196, p = 0.001), while the separation within Aur-P2 is not significant (R² = 0.223, p = 0.076), consistent with the smaller and weaker Aur-P2 structure reported in the Results.</w:t>
      </w:r>
    </w:p>
    <w:p>
      <w:pPr>
        <w:pStyle w:val="BodyText"/>
      </w:pPr>
      <w:r>
        <w:t xml:space="preserve">One consistent grouping dynamic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[47–54]</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[4,54–65]</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Supplementary Material item</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(our Supplementary Material item</w:t>
      </w:r>
      <w:r>
        <w:t xml:space="preserve"> </w:t>
      </w:r>
      <w:r>
        <w:t xml:space="preserve">“</w:t>
      </w:r>
      <w:r>
        <w:t xml:space="preserve">Sensitivity Analyses</w:t>
      </w:r>
      <w:r>
        <w:t xml:space="preserve">”</w:t>
      </w:r>
      <w:r>
        <w:t xml:space="preserve"> </w:t>
      </w:r>
      <w:r>
        <w:t xml:space="preserve">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w:t>
      </w:r>
      <w:r>
        <w:t xml:space="preserve"> </w:t>
      </w:r>
      <w:r>
        <w:t xml:space="preserve">[66]</w:t>
      </w:r>
      <w:r>
        <w:t xml:space="preserve">;</w:t>
      </w:r>
      <w:r>
        <w:t xml:space="preserve"> </w:t>
      </w:r>
      <w:r>
        <w:t xml:space="preserve">[67]</w:t>
      </w:r>
      <w:r>
        <w:t xml:space="preserve">;</w:t>
      </w:r>
      <w:r>
        <w:t xml:space="preserve"> </w:t>
      </w:r>
      <w:r>
        <w:t xml:space="preserve">[52]</w:t>
      </w:r>
      <w:r>
        <w:t xml:space="preserve">;</w:t>
      </w:r>
      <w:r>
        <w:t xml:space="preserve"> </w:t>
      </w:r>
      <w:r>
        <w:t xml:space="preserve">[68]</w:t>
      </w:r>
      <w:r>
        <w:t xml:space="preserve">;</w:t>
      </w:r>
      <w:r>
        <w:t xml:space="preserve"> </w:t>
      </w:r>
      <w:r>
        <w:t xml:space="preserve">[53]</w:t>
      </w:r>
      <w:r>
        <w:t xml:space="preserve">. Non-utilitarian mobility establishes regional social networks which facilitate the spread of information and the survival of hunter-gatherers in uncertain environments</w:t>
      </w:r>
      <w:r>
        <w:t xml:space="preserve"> </w:t>
      </w:r>
      <w:r>
        <w:t xml:space="preserve">[69]</w:t>
      </w:r>
      <w:r>
        <w:t xml:space="preserve">;</w:t>
      </w:r>
      <w:r>
        <w:t xml:space="preserve"> </w:t>
      </w:r>
      <w:r>
        <w:t xml:space="preserve">[70]</w:t>
      </w:r>
      <w:r>
        <w:t xml:space="preserve">;</w:t>
      </w:r>
      <w:r>
        <w:t xml:space="preserve"> </w:t>
      </w:r>
      <w:r>
        <w:t xml:space="preserve">[71]</w:t>
      </w:r>
      <w:r>
        <w:t xml:space="preserve">;</w:t>
      </w:r>
      <w:r>
        <w:t xml:space="preserve"> </w:t>
      </w:r>
      <w:r>
        <w:t xml:space="preserve">[72]</w:t>
      </w:r>
      <w:r>
        <w:t xml:space="preserve">;</w:t>
      </w:r>
      <w:r>
        <w:t xml:space="preserve"> </w:t>
      </w:r>
      <w:r>
        <w:t xml:space="preserve">[73]</w:t>
      </w:r>
      <w:r>
        <w:t xml:space="preserve">. The exchange and production of decorative items, such as objects with geometric signs, has been associated with non-utilitarian mobility and recognized as an indicator of social contact</w:t>
      </w:r>
      <w:r>
        <w:t xml:space="preserve"> </w:t>
      </w:r>
      <w:r>
        <w:t xml:space="preserve">[69]</w:t>
      </w:r>
      <w:r>
        <w:t xml:space="preserve">;</w:t>
      </w:r>
      <w:r>
        <w:t xml:space="preserve"> </w:t>
      </w:r>
      <w:r>
        <w:t xml:space="preserve">[74]</w:t>
      </w:r>
      <w:r>
        <w:t xml:space="preserve">;</w:t>
      </w:r>
      <w:r>
        <w:t xml:space="preserve"> </w:t>
      </w:r>
      <w:r>
        <w:t xml:space="preserve">[75]</w:t>
      </w:r>
      <w:r>
        <w:t xml:space="preserve">;</w:t>
      </w:r>
      <w:r>
        <w:t xml:space="preserve"> </w:t>
      </w:r>
      <w:r>
        <w:t xml:space="preserve">[76]</w:t>
      </w:r>
      <w:r>
        <w:t xml:space="preserve">;</w:t>
      </w:r>
      <w:r>
        <w:t xml:space="preserve"> </w:t>
      </w:r>
      <w:r>
        <w:t xml:space="preserve">[77]</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[78]</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[78]</w:t>
      </w:r>
      <w:r>
        <w:t xml:space="preserve">, including, in some cases, decorative objects</w:t>
      </w:r>
      <w:r>
        <w:t xml:space="preserve"> </w:t>
      </w:r>
      <w:r>
        <w:t xml:space="preserve">[74]</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[2,79–85]</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[86,87]</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 Supporting this distinction, diversity excess (as an indicator of aggregation candidates) showed a marginally significant negative correlation with network degree (ρ = -0.35, p = 0.061), indicating that aggregation candidates are less connected rather than merely decoupled from network hubs. The correlation with betweenness was not significant (ρ = -0.24, p = 0.205). Object count was positively correlated with degree centrality (degree: ρ = 0.35, p = 0.063328), indicating that hubs tend to be among the better-sampled sites. The elevated diversity identifying aggregation candidates differed significantly between the restricted and broad-range groups (Wilcoxon W = 59, p = 0.044), so this metric does track the restricted/broad grouping.</w:t>
      </w:r>
    </w:p>
    <w:tbl>
      <w:tblPr>
        <w:tblStyle w:val="Table"/>
        <w:tblW w:type="pct" w:w="5000"/>
        <w:tblLook w:firstRow="0" w:lastRow="0" w:firstColumn="0" w:lastColumn="0" w:noHBand="0" w:noVBand="0" w:val="0000"/>
        <w:jc w:val="start"/>
        <w:tblLayout w:type="fixed"/>
      </w:tblPr>
      <w:tblGrid>
        <w:gridCol w:w="7920"/>
      </w:tblGrid>
      <w:tr>
        <w:tc>
          <w:tcPr/>
          <w:bookmarkStart w:id="56" w:name="fig-div-plot"/>
          <w:p>
            <w:pPr>
              <w:pStyle w:val="Compact"/>
              <w:jc w:val="center"/>
            </w:pPr>
            <w:r>
              <w:drawing>
                <wp:inline>
                  <wp:extent cx="3669832" cy="7339665"/>
                  <wp:effectExtent b="0" l="0" r="0" t="0"/>
                  <wp:docPr descr="" title="" id="54" name="Picture"/>
                  <a:graphic>
                    <a:graphicData uri="http://schemas.openxmlformats.org/drawingml/2006/picture">
                      <pic:pic>
                        <pic:nvPicPr>
                          <pic:cNvPr descr="../figures/diversity-plot.png" id="55" name="Picture"/>
                          <pic:cNvPicPr>
                            <a:picLocks noChangeArrowheads="1" noChangeAspect="1"/>
                          </pic:cNvPicPr>
                        </pic:nvPicPr>
                        <pic:blipFill>
                          <a:blip r:embed="rId53"/>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Sites with elevated sign diversity, compared with randomised expectations. Observed geometric sign diversity at each site compared with expectations derived from randomised assemblages controlling for sample size. The blue expectation curve is the mean diversity index per sample size. The red lines enclose a band that is the 95% confidence interval. Sites above the blue expectation curve are candidate aggregation sites, reflecting unusually diverse sign repertoires relative to regional norms; however, elevated diversity may also reflect sample size, recovery history, research intensity, preservation or site function rather than aggregation.</w:t>
            </w:r>
          </w:p>
          <w:bookmarkEnd w:id="56"/>
        </w:tc>
      </w:tr>
    </w:tbl>
    <w:bookmarkEnd w:id="57"/>
    <w:bookmarkStart w:id="58"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early Aurignacian (Aur-P1), which combines the Proto and Early Aurignacian material culture, was characterised by denser inter-site connectivity than the late Aurignacian (Aur-P2). Aur-P1’s network has the higher mean degree (7.5) with a hub structure centred on key sites, whereas Aur-P2 shows fewer sites and edges and a lower mean degree (4.2). Despite this strong connectivity,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w:t>
      </w:r>
    </w:p>
    <w:p>
      <w:pPr>
        <w:pStyle w:val="BodyText"/>
      </w:pPr>
      <w:r>
        <w:t xml:space="preserve">These results are consistent with previous work on the environmental and population change during these phases. From 45–43.25 ka BP, the population density in Europe was extremely low, due to the unfavorable environmental conditions of Greenland Stadial 12 (44 ka BP) and the slow westward expansion of early modern humans</w:t>
      </w:r>
      <w:r>
        <w:t xml:space="preserve"> </w:t>
      </w:r>
      <w:r>
        <w:t xml:space="preserve">[88]</w:t>
      </w:r>
      <w:r>
        <w:t xml:space="preserve">. This was followed by rapid expansion from 43.25–41 ka BP, with the maximum extent of early Aurignacian (Aur-P1) settlement being reached around 41 ka BP (</w:t>
      </w:r>
      <w:r>
        <w:t xml:space="preserve">[19]</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[89–97]</w:t>
      </w:r>
      <w:r>
        <w:t xml:space="preserve">. Quantitative demographic reconstructions suggest that western and central European Aurignacian populations numbered approximately 1500 individuals</w:t>
      </w:r>
      <w:r>
        <w:t xml:space="preserve"> </w:t>
      </w:r>
      <w:r>
        <w:t xml:space="preserve">[19]</w:t>
      </w:r>
      <w:r>
        <w:t xml:space="preserve">, a relatively small number that may partly explain why our networks remain small and sparsely connected across both phases.</w:t>
      </w:r>
      <w:r>
        <w:t xml:space="preserve"> </w:t>
      </w:r>
      <w:r>
        <w:t xml:space="preserve">[19]</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 hubs are located — notably the Dordogne (La Ferrassie) in Aur-P1. This Core/Extended framework is consistent with our finding that the Aur-P1 network’s higher mean degree suggests aggregation-related congregation rather than demonstrates it, while the lower-connectivity periphery may represent Extended Areas visited periodically. In Aur-P2 the reduced sample and weaker community structure are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 xml:space="preserve">Our results partially align with</w:t>
      </w:r>
      <w:r>
        <w:t xml:space="preserve"> </w:t>
      </w:r>
      <w:r>
        <w:t xml:space="preserve">[20]</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in the two-phase comparison: mean degree is higher in Aur-P1 (7.5°) than Aur-P2 (4.2°), and edge count drops from 75 in Aur-P1 to 19 in Aur-P2. However, after accounting for network size, Aur-P2 actually shows a higher edge density, and neither phase shows a significant geographic signal (Aur-P1 Mantel R = 0.046, Aur-P2 Mantel R = -0.299), suggesting that sign sharing was not primarily driven by expansion into new, spatially structured niches. Similarly,</w:t>
      </w:r>
      <w:r>
        <w:t xml:space="preserve"> </w:t>
      </w:r>
      <w:r>
        <w:t xml:space="preserve">[21]</w:t>
      </w:r>
      <w:r>
        <w:t xml:space="preserve"> </w:t>
      </w:r>
      <w:r>
        <w:t xml:space="preserve">developed a human-existence probability model for the Aurignacian, finding an expanded, more dispersed settlement area for the Evolved/Late Aurignacian, and</w:t>
      </w:r>
      <w:r>
        <w:t xml:space="preserve"> </w:t>
      </w:r>
      <w:r>
        <w:t xml:space="preserve">[88]</w:t>
      </w:r>
      <w:r>
        <w:t xml:space="preserve"> </w:t>
      </w:r>
      <w:r>
        <w:t xml:space="preserve">also identifies increased expansion marking the beginning of the Evolved Aurignacian. In our data Aur-P2’s wider spatial spread was not accompanied by stronger sign-type sharing, consistent with weaker inter-site connectivity relative to network size.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cultural groups: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w:t>
      </w:r>
      <w:r>
        <w:t xml:space="preserve"> </w:t>
      </w:r>
      <w:hyperlink w:anchor="fig-group-map">
        <w:r>
          <w:rPr>
            <w:rStyle w:val="Hyperlink"/>
          </w:rPr>
          <w:t xml:space="preserve">Figure 5</w:t>
        </w:r>
      </w:hyperlink>
      <w:r>
        <w:t xml:space="preserve"> </w:t>
      </w:r>
      <w:r>
        <w:t xml:space="preserve">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[98]</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[98]</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[99–101]</w:t>
      </w:r>
      <w:r>
        <w:t xml:space="preserve">. Smaller populations are predicted to experience greater drift and reduced capacity to maintain complex cultural repertoires</w:t>
      </w:r>
      <w:r>
        <w:t xml:space="preserve"> </w:t>
      </w:r>
      <w:r>
        <w:t xml:space="preserve">[102]</w:t>
      </w:r>
      <w:r>
        <w:t xml:space="preserve">, which is consistent with our observation that the sign-type pool is larger in the Aur-P1 phase (26 types) than in the Aur-P2 phase (15 types). Network structure also shapes cultural information flow: highly connected networks with hub structures facilitate rapid transmission and reduce drift</w:t>
      </w:r>
      <w:r>
        <w:t xml:space="preserve"> </w:t>
      </w:r>
      <w:r>
        <w:t xml:space="preserve">[103,104]</w:t>
      </w:r>
      <w:r>
        <w:t xml:space="preserve">, while more clustered networks promote localised conformist transmission and differentiation within subgroups</w:t>
      </w:r>
      <w:r>
        <w:t xml:space="preserve"> </w:t>
      </w:r>
      <w:r>
        <w:t xml:space="preserve">[105]</w:t>
      </w:r>
      <w:r>
        <w:t xml:space="preserve">. Our Aur-P1 network, with the higher mean degree (7.5°) and hub structure centred on key sites, would be expected to show efficient sign-type transmission — consistent with the wide geographic spread of common signs. Aur-P2 shows higher relative edge density but a lower mean degree (4.2°) and no significant geographic signal (Mantel R = -0.299, p = 0.933), suggesting more localised interactions. The reduced connectivity in Aur-P2 relative to Aur-P1 may reflect population consolidation and more localised social structures. However, the lack of significant geographic structure in either phase contradicts simple isolation-by-distance models</w:t>
      </w:r>
      <w:r>
        <w:t xml:space="preserve"> </w:t>
      </w:r>
      <w:r>
        <w:t xml:space="preserve">[102,106]</w:t>
      </w:r>
      <w:r>
        <w:t xml:space="preserve">,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suggests different material classes encode different identity dimensions: ornaments may signal ethnic affiliation, while geometric signs may serve other functions — speculatively ritual notation, calendrical recording, or information storage — not geographically structured. The decorated ivory pendant from Stajnia Cave</w:t>
      </w:r>
      <w:r>
        <w:t xml:space="preserve"> </w:t>
      </w:r>
      <w:r>
        <w:t xml:space="preserve">[11]</w:t>
      </w:r>
      <w:r>
        <w:t xml:space="preserve"> </w:t>
      </w:r>
      <w:r>
        <w:t xml:space="preserve">exemplifies the rich personal ornament tradition that contrasts with our geometric sign patterns. This aligns with work by</w:t>
      </w:r>
      <w:r>
        <w:t xml:space="preserve"> </w:t>
      </w:r>
      <w:r>
        <w:t xml:space="preserve">[107]</w:t>
      </w:r>
      <w:r>
        <w:t xml:space="preserve"> </w:t>
      </w:r>
      <w:r>
        <w:t xml:space="preserve">(sign sequences having protocuneiform-like information density, suggesting notational function) and</w:t>
      </w:r>
      <w:r>
        <w:t xml:space="preserve"> </w:t>
      </w:r>
      <w:r>
        <w:t xml:space="preserve">[108]</w:t>
      </w:r>
      <w:r>
        <w:t xml:space="preserve"> </w:t>
      </w:r>
      <w:r>
        <w:t xml:space="preserve">(some signs recording seasonal prey information). However, both hypotheses are contested:</w:t>
      </w:r>
      <w:r>
        <w:t xml:space="preserve"> </w:t>
      </w:r>
      <w:r>
        <w:t xml:space="preserve">[109]</w:t>
      </w:r>
      <w:r>
        <w:t xml:space="preserve"> </w:t>
      </w:r>
      <w:r>
        <w:t xml:space="preserve">note methodological issues in Bentz &amp; Dutkiewicz;</w:t>
      </w:r>
      <w:r>
        <w:t xml:space="preserve"> </w:t>
      </w:r>
      <w:r>
        <w:t xml:space="preserve">[110]</w:t>
      </w:r>
      <w:r>
        <w:t xml:space="preserve"> </w:t>
      </w:r>
      <w:r>
        <w:t xml:space="preserve">and</w:t>
      </w:r>
      <w:r>
        <w:t xml:space="preserve"> </w:t>
      </w:r>
      <w:r>
        <w:t xml:space="preserve">[111]</w:t>
      </w:r>
      <w:r>
        <w:t xml:space="preserve"> </w:t>
      </w:r>
      <w:r>
        <w:t xml:space="preserve">argue the lunar calendar hypothesis is untestable, circular, and selectively uses data;</w:t>
      </w:r>
      <w:r>
        <w:t xml:space="preserve"> </w:t>
      </w:r>
      <w:r>
        <w:t xml:space="preserve">[112]</w:t>
      </w:r>
      <w:r>
        <w:t xml:space="preserve"> </w:t>
      </w:r>
      <w:r>
        <w:t xml:space="preserve">finds multiple theoretical weaknesses. Our results neither confirm nor rule out these hypotheses, and sign-type ambiguity remains a limitation.</w:t>
      </w:r>
    </w:p>
    <w:bookmarkEnd w:id="58"/>
    <w:bookmarkEnd w:id="59"/>
    <w:bookmarkStart w:id="60" w:name="conclusion"/>
    <w:p>
      <w:pPr>
        <w:pStyle w:val="Heading1"/>
      </w:pPr>
      <w:r>
        <w:t xml:space="preserve">Conclusion</w:t>
      </w:r>
    </w:p>
    <w:p>
      <w:pPr>
        <w:pStyle w:val="FirstParagraph"/>
      </w:pPr>
      <w:r>
        <w:t xml:space="preserve">This study adds to our knowledge of social networks within the Aurignacian period, as our results document structured patterns of social exchange and connection. Previous work</w:t>
      </w:r>
      <w:r>
        <w:t xml:space="preserve"> </w:t>
      </w:r>
      <w:r>
        <w:t xml:space="preserve">[3,80,113–116]</w:t>
      </w:r>
      <w:r>
        <w:t xml:space="preserve"> </w:t>
      </w:r>
      <w:r>
        <w:t xml:space="preserve">has used material culture analysis to reconstruct Upper Palaeolithic social networks, which have been argued to be a driver of cultural and evolutionary change</w:t>
      </w:r>
      <w:r>
        <w:t xml:space="preserve"> </w:t>
      </w:r>
      <w:r>
        <w:t xml:space="preserve">[2,73,117–121]</w:t>
      </w:r>
      <w:r>
        <w:t xml:space="preserve">. Within a two-phase (Aur-P1/Aur-P2) framework grounded in specialist technological attributions, we find a robust restricted/broad two-group structure in geometric-sign use in the early phase (Aur-P1) that survives bootstrap resampling and independent model-based validation, and that is not explained by geographic distance. The two phases do not differ significantly in any tested network statistic (edge density, modularity,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w:t>
      </w:r>
      <w:r>
        <w:t xml:space="preserve"> </w:t>
      </w:r>
      <w:r>
        <w:t xml:space="preserve">[122]</w:t>
      </w:r>
      <w:r>
        <w:t xml:space="preserve"> </w:t>
      </w:r>
      <w:r>
        <w:t xml:space="preserve">by working with two internally coherent phases. Additionally, by comparing the phases rather than assuming a single trajectory, we are able to see social networks as fluid and dynamic, rather than static and bounded</w:t>
      </w:r>
      <w:r>
        <w:t xml:space="preserve"> </w:t>
      </w:r>
      <w:r>
        <w:t xml:space="preserve">[79]</w:t>
      </w:r>
      <w:r>
        <w:t xml:space="preserve">. Our results do not support the conclusions drawn in</w:t>
      </w:r>
      <w:r>
        <w:t xml:space="preserve"> </w:t>
      </w:r>
      <w:r>
        <w:t xml:space="preserve">[6]</w:t>
      </w:r>
      <w:r>
        <w:t xml:space="preserve">, where Aurignacian artwork is found to be a symbolic marker of structured ethnic identity, but are supported by</w:t>
      </w:r>
      <w:r>
        <w:t xml:space="preserve"> </w:t>
      </w:r>
      <w:r>
        <w:t xml:space="preserve">[98]</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Aurignacian ornaments.</w:t>
      </w:r>
    </w:p>
    <w:p>
      <w:pPr>
        <w:pStyle w:val="BodyText"/>
      </w:pPr>
      <w:r>
        <w:t xml:space="preserve">One limitation is the potential ambiguity that arises with some of the sign types. While</w:t>
      </w:r>
      <w:r>
        <w:t xml:space="preserve"> </w:t>
      </w:r>
      <w:r>
        <w:t xml:space="preserve">[123]</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[124]</w:t>
      </w:r>
      <w:r>
        <w:t xml:space="preserve">, and additionally, greater quantities of included sign types serve to establish stronger connections</w:t>
      </w:r>
      <w:r>
        <w:t xml:space="preserve"> </w:t>
      </w:r>
      <w:r>
        <w:t xml:space="preserve">[122]</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[107]</w:t>
      </w:r>
      <w:r>
        <w:t xml:space="preserve">.</w:t>
      </w:r>
    </w:p>
    <w:p>
      <w:pPr>
        <w:pStyle w:val="BodyText"/>
      </w:pPr>
      <w:r>
        <w:t xml:space="preserve">A further limitation concerns the effects of time-averaging on our network reconstructions.</w:t>
      </w:r>
      <w:r>
        <w:t xml:space="preserve"> </w:t>
      </w:r>
      <w:r>
        <w:t xml:space="preserve">[125]</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[68]</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inferred social organisation patterns discussed above.</w:t>
      </w:r>
    </w:p>
    <w:p>
      <w:pPr>
        <w:pStyle w:val="BodyText"/>
      </w:pPr>
      <w:r>
        <w:t xml:space="preserve">A further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BP dates indicate an Evolved (Aur-P2) attribution</w:t>
      </w:r>
      <w:r>
        <w:t xml:space="preserve"> </w:t>
      </w:r>
      <w:r>
        <w:t xml:space="preserve">[27]</w:t>
      </w:r>
      <w:r>
        <w:t xml:space="preserve">. Additionally, Vogelherd Cave’s stratigraphy is severely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must be read with explicit power caveats, and any claim about it is made conditional on that small sample. We test the sensitivity of our assignments to reverting to purely date-based criteria in Supplement S8. The Proto/Early merger reflects this documented chronological overlap and further avoids treating the poorly-sampled Proto as a distinct analytic phase.</w:t>
      </w:r>
    </w:p>
    <w:bookmarkEnd w:id="60"/>
    <w:bookmarkStart w:id="61"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http://doi.org/XXX/XXX.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supplement-sensitivity.qmd</w:t>
      </w:r>
      <w:r>
        <w:t xml:space="preserve">, and</w:t>
      </w:r>
      <w:r>
        <w:t xml:space="preserve"> </w:t>
      </w:r>
      <w:r>
        <w:rPr>
          <w:rStyle w:val="VerbatimChar"/>
        </w:rPr>
        <w:t xml:space="preserve">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[126,127]</w:t>
      </w:r>
      <w:r>
        <w:t xml:space="preserve">.</w:t>
      </w:r>
    </w:p>
    <w:bookmarkEnd w:id="61"/>
    <w:bookmarkStart w:id="281" w:name="references"/>
    <w:p>
      <w:pPr>
        <w:pStyle w:val="Heading1"/>
      </w:pPr>
      <w:r>
        <w:t xml:space="preserve">References</w:t>
      </w:r>
    </w:p>
    <w:bookmarkStart w:id="280"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2025;20:1–24.</w:t>
      </w:r>
      <w:r>
        <w:t xml:space="preserve"> </w:t>
      </w:r>
      <w:hyperlink r:id="rId64">
        <w:r>
          <w:rPr>
            <w:rStyle w:val="Hyperlink"/>
          </w:rPr>
          <w:t xml:space="preserve">https://doi.org/10.1371/journal.pone.0323148</w:t>
        </w:r>
      </w:hyperlink>
      <w:r>
        <w:t xml:space="preserve">.</w:t>
      </w:r>
    </w:p>
    <w:bookmarkEnd w:id="65"/>
    <w:bookmarkStart w:id="66"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p>
    <w:bookmarkEnd w:id="66"/>
    <w:bookmarkStart w:id="68"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 cantabrian quadrilateral signs. Quaternary International 2018;491:99–109.</w:t>
      </w:r>
      <w:r>
        <w:t xml:space="preserve"> </w:t>
      </w:r>
      <w:hyperlink r:id="rId67">
        <w:r>
          <w:rPr>
            <w:rStyle w:val="Hyperlink"/>
          </w:rPr>
          <w:t xml:space="preserve">https://doi.org/10.1016/j.quaint.2017.01.039</w:t>
        </w:r>
      </w:hyperlink>
      <w:r>
        <w:t xml:space="preserve">.</w:t>
      </w:r>
    </w:p>
    <w:bookmarkEnd w:id="68"/>
    <w:bookmarkStart w:id="70"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69">
        <w:r>
          <w:rPr>
            <w:rStyle w:val="Hyperlink"/>
          </w:rPr>
          <w:t xml:space="preserve">https://doi.org/10.1177/0392192107076870</w:t>
        </w:r>
      </w:hyperlink>
      <w:r>
        <w:t xml:space="preserve">.</w:t>
      </w:r>
    </w:p>
    <w:bookmarkEnd w:id="70"/>
    <w:bookmarkStart w:id="72"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1">
        <w:r>
          <w:rPr>
            <w:rStyle w:val="Hyperlink"/>
          </w:rPr>
          <w:t xml:space="preserve">https://doi.org/10.1016/j.jas.2005.11.017</w:t>
        </w:r>
      </w:hyperlink>
      <w:r>
        <w:t xml:space="preserve">.</w:t>
      </w:r>
    </w:p>
    <w:bookmarkEnd w:id="72"/>
    <w:bookmarkStart w:id="74"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3">
        <w:r>
          <w:rPr>
            <w:rStyle w:val="Hyperlink"/>
          </w:rPr>
          <w:t xml:space="preserve">https://doi.org/10.1016/j.quaint.2017.12.017</w:t>
        </w:r>
      </w:hyperlink>
      <w:r>
        <w:t xml:space="preserve">.</w:t>
      </w:r>
    </w:p>
    <w:bookmarkEnd w:id="74"/>
    <w:bookmarkStart w:id="76"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5">
        <w:r>
          <w:rPr>
            <w:rStyle w:val="Hyperlink"/>
          </w:rPr>
          <w:t xml:space="preserve">https://doi.org/10.1016/j.jas.2015.05.003</w:t>
        </w:r>
      </w:hyperlink>
      <w:r>
        <w:t xml:space="preserve">.</w:t>
      </w:r>
    </w:p>
    <w:bookmarkEnd w:id="76"/>
    <w:bookmarkStart w:id="78"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7">
        <w:r>
          <w:rPr>
            <w:rStyle w:val="Hyperlink"/>
          </w:rPr>
          <w:t xml:space="preserve">https://doi.org/10.1016/j.jas.2012.02.003</w:t>
        </w:r>
      </w:hyperlink>
      <w:r>
        <w:t xml:space="preserve">.</w:t>
      </w:r>
    </w:p>
    <w:bookmarkEnd w:id="78"/>
    <w:bookmarkStart w:id="80"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79">
        <w:r>
          <w:rPr>
            <w:rStyle w:val="Hyperlink"/>
          </w:rPr>
          <w:t xml:space="preserve">https://doi.org/10.1038/s41597-020-00704-x</w:t>
        </w:r>
      </w:hyperlink>
      <w:r>
        <w:t xml:space="preserve">.</w:t>
      </w:r>
    </w:p>
    <w:bookmarkEnd w:id="80"/>
    <w:bookmarkStart w:id="82" w:name="ref-Talamo_2022"/>
    <w:p>
      <w:pPr>
        <w:pStyle w:val="Bibliography"/>
      </w:pPr>
      <w:r>
        <w:t xml:space="preserve">[11]</w:t>
      </w:r>
      <w:r>
        <w:t xml:space="preserve"> </w:t>
      </w:r>
      <w:r>
        <w:t xml:space="preserve">	</w:t>
      </w:r>
      <w:r>
        <w:t xml:space="preserve">Talamo S, Jacobs Z, Conard NJ, Grote K, Grimaldi S, Kirchner L, et al. A 41,500 year-old decorated ivory pendant from stajnia cave (poland). Scientific Reports 2022;12:2031.</w:t>
      </w:r>
      <w:r>
        <w:t xml:space="preserve"> </w:t>
      </w:r>
      <w:hyperlink r:id="rId81">
        <w:r>
          <w:rPr>
            <w:rStyle w:val="Hyperlink"/>
          </w:rPr>
          <w:t xml:space="preserve">https://doi.org/10.1038/s41598-021-01221-6</w:t>
        </w:r>
      </w:hyperlink>
      <w:r>
        <w:t xml:space="preserve">.</w:t>
      </w:r>
    </w:p>
    <w:bookmarkEnd w:id="82"/>
    <w:bookmarkStart w:id="84" w:name="ref-Chu_Richter_2020"/>
    <w:p>
      <w:pPr>
        <w:pStyle w:val="Bibliography"/>
      </w:pPr>
      <w:r>
        <w:t xml:space="preserve">[12]</w:t>
      </w:r>
      <w:r>
        <w:t xml:space="preserve"> </w:t>
      </w:r>
      <w:r>
        <w:t xml:space="preserve">	</w:t>
      </w:r>
      <w:r>
        <w:t xml:space="preserve">Chu W, Richter J.</w:t>
      </w:r>
      <w:r>
        <w:t xml:space="preserve"> </w:t>
      </w:r>
      <w:r>
        <w:t xml:space="preserve">Aurignacian</w:t>
      </w:r>
      <w:r>
        <w:t xml:space="preserve"> </w:t>
      </w:r>
      <w:r>
        <w:t xml:space="preserve">cultural unit. Encyclopedia of global archaeology, Cham: Springer International Publishing; 2020, p. 1–10.</w:t>
      </w:r>
      <w:r>
        <w:t xml:space="preserve"> </w:t>
      </w:r>
      <w:hyperlink r:id="rId83">
        <w:r>
          <w:rPr>
            <w:rStyle w:val="Hyperlink"/>
          </w:rPr>
          <w:t xml:space="preserve">https://doi.org/10.1007/978-3-319-51726-1_3441-1</w:t>
        </w:r>
      </w:hyperlink>
      <w:r>
        <w:t xml:space="preserve">.</w:t>
      </w:r>
    </w:p>
    <w:bookmarkEnd w:id="84"/>
    <w:bookmarkStart w:id="86" w:name="ref-Dinnis_et_al_2019"/>
    <w:p>
      <w:pPr>
        <w:pStyle w:val="Bibliography"/>
      </w:pPr>
      <w:r>
        <w:t xml:space="preserve">[13]</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5">
        <w:r>
          <w:rPr>
            <w:rStyle w:val="Hyperlink"/>
          </w:rPr>
          <w:t xml:space="preserve">https://doi.org/10.1017/ppr.2019.5</w:t>
        </w:r>
      </w:hyperlink>
      <w:r>
        <w:t xml:space="preserve">.</w:t>
      </w:r>
    </w:p>
    <w:bookmarkEnd w:id="86"/>
    <w:bookmarkStart w:id="87" w:name="ref-falcucci2020breaking"/>
    <w:p>
      <w:pPr>
        <w:pStyle w:val="Bibliography"/>
      </w:pPr>
      <w:r>
        <w:t xml:space="preserve">[14]</w:t>
      </w:r>
      <w:r>
        <w:t xml:space="preserve"> </w:t>
      </w:r>
      <w:r>
        <w:t xml:space="preserve">	</w:t>
      </w:r>
      <w:r>
        <w:t xml:space="preserve">Falcucci A, Conard NJ, Peresani M, et al.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p>
    <w:bookmarkEnd w:id="87"/>
    <w:bookmarkStart w:id="88" w:name="ref-clark200917"/>
    <w:p>
      <w:pPr>
        <w:pStyle w:val="Bibliography"/>
      </w:pPr>
      <w:r>
        <w:t xml:space="preserve">[15]</w:t>
      </w:r>
      <w:r>
        <w:t xml:space="preserve"> </w:t>
      </w:r>
      <w:r>
        <w:t xml:space="preserve">	</w:t>
      </w:r>
      <w:r>
        <w:t xml:space="preserve">Clark GA, Riel-Salvatore J. What’s in a name? Observations on the compositional integrity of the</w:t>
      </w:r>
      <w:r>
        <w:t xml:space="preserve"> </w:t>
      </w:r>
      <w:r>
        <w:t xml:space="preserve">Aurignacian</w:t>
      </w:r>
      <w:r>
        <w:t xml:space="preserve">. The</w:t>
      </w:r>
      <w:r>
        <w:t xml:space="preserve"> </w:t>
      </w:r>
      <w:r>
        <w:t xml:space="preserve">Mediterranean</w:t>
      </w:r>
      <w:r>
        <w:t xml:space="preserve"> </w:t>
      </w:r>
      <w:r>
        <w:t xml:space="preserve">from 50 000 to 25 000 BP, vol. 323, Oxbow Books; 2009.</w:t>
      </w:r>
    </w:p>
    <w:bookmarkEnd w:id="88"/>
    <w:bookmarkStart w:id="89" w:name="ref-zilhao2024data"/>
    <w:p>
      <w:pPr>
        <w:pStyle w:val="Bibliography"/>
      </w:pPr>
      <w:r>
        <w:t xml:space="preserve">[16]</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p>
    <w:bookmarkEnd w:id="89"/>
    <w:bookmarkStart w:id="90" w:name="ref-bordes2006news"/>
    <w:p>
      <w:pPr>
        <w:pStyle w:val="Bibliography"/>
      </w:pPr>
      <w:r>
        <w:t xml:space="preserve">[17]</w:t>
      </w:r>
      <w:r>
        <w:t xml:space="preserve"> </w:t>
      </w:r>
      <w:r>
        <w:t xml:space="preserve">	</w:t>
      </w:r>
      <w:r>
        <w:t xml:space="preserve">Bordes J-G. News from the west: A reevaluation of the classical</w:t>
      </w:r>
      <w:r>
        <w:t xml:space="preserve"> </w:t>
      </w:r>
      <w:r>
        <w:t xml:space="preserve">Aurignacian</w:t>
      </w:r>
      <w:r>
        <w:t xml:space="preserve"> </w:t>
      </w:r>
      <w:r>
        <w:t xml:space="preserve">sequence of the p</w:t>
      </w:r>
      <w:r>
        <w:t xml:space="preserve">é</w:t>
      </w:r>
      <w:r>
        <w:t xml:space="preserve">rigord. Towards a Definition of the Aurignacian 2006;45:147–71.</w:t>
      </w:r>
    </w:p>
    <w:bookmarkEnd w:id="90"/>
    <w:bookmarkStart w:id="91" w:name="ref-canessa2026unpacking"/>
    <w:p>
      <w:pPr>
        <w:pStyle w:val="Bibliography"/>
      </w:pPr>
      <w:r>
        <w:t xml:space="preserve">[18]</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p>
    <w:bookmarkEnd w:id="91"/>
    <w:bookmarkStart w:id="93" w:name="ref-Schmidt_Zimmermann_2019"/>
    <w:p>
      <w:pPr>
        <w:pStyle w:val="Bibliography"/>
      </w:pPr>
      <w:r>
        <w:t xml:space="preserve">[19]</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2">
        <w:r>
          <w:rPr>
            <w:rStyle w:val="Hyperlink"/>
          </w:rPr>
          <w:t xml:space="preserve">https://doi.org/10.1371/journal.pone.0211562</w:t>
        </w:r>
      </w:hyperlink>
      <w:r>
        <w:t xml:space="preserve">.</w:t>
      </w:r>
    </w:p>
    <w:bookmarkEnd w:id="93"/>
    <w:bookmarkStart w:id="95" w:name="ref-Banks_dErrico_Zilhao_2013"/>
    <w:p>
      <w:pPr>
        <w:pStyle w:val="Bibliography"/>
      </w:pPr>
      <w:r>
        <w:t xml:space="preserve">[20]</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 https://doi.org/</w:t>
      </w:r>
      <w:hyperlink r:id="rId94">
        <w:r>
          <w:rPr>
            <w:rStyle w:val="Hyperlink"/>
          </w:rPr>
          <w:t xml:space="preserve">https://doi.org/10.1016/j.jhevol.2012.10.001</w:t>
        </w:r>
      </w:hyperlink>
      <w:r>
        <w:t xml:space="preserve">.</w:t>
      </w:r>
    </w:p>
    <w:bookmarkEnd w:id="95"/>
    <w:bookmarkStart w:id="97" w:name="X68cdd7ba62fc5dd3e1e9b497937717305f7b9a0"/>
    <w:p>
      <w:pPr>
        <w:pStyle w:val="Bibliography"/>
      </w:pPr>
      <w:r>
        <w:t xml:space="preserve">[21]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 https://doi.org/</w:t>
      </w:r>
      <w:hyperlink r:id="rId96">
        <w:r>
          <w:rPr>
            <w:rStyle w:val="Hyperlink"/>
          </w:rPr>
          <w:t xml:space="preserve">https://doi.org/10.1016/j.quascirev.2021.106995</w:t>
        </w:r>
      </w:hyperlink>
      <w:r>
        <w:t xml:space="preserve">.</w:t>
      </w:r>
    </w:p>
    <w:bookmarkEnd w:id="97"/>
    <w:bookmarkStart w:id="99"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98">
        <w:r>
          <w:rPr>
            <w:rStyle w:val="Hyperlink"/>
          </w:rPr>
          <w:t xml:space="preserve">https://doi.org/10.1371/journal.pone.0189241</w:t>
        </w:r>
      </w:hyperlink>
      <w:r>
        <w:t xml:space="preserve">.</w:t>
      </w:r>
    </w:p>
    <w:bookmarkEnd w:id="99"/>
    <w:bookmarkStart w:id="101"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2019;65:7–30.</w:t>
      </w:r>
      <w:r>
        <w:t xml:space="preserve"> </w:t>
      </w:r>
      <w:hyperlink r:id="rId100">
        <w:r>
          <w:rPr>
            <w:rStyle w:val="Hyperlink"/>
          </w:rPr>
          <w:t xml:space="preserve">https://doi.org/10.7485/QU65_2</w:t>
        </w:r>
      </w:hyperlink>
      <w:r>
        <w:t xml:space="preserve">.</w:t>
      </w:r>
    </w:p>
    <w:bookmarkEnd w:id="101"/>
    <w:bookmarkStart w:id="102"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 Oxford: Archaeopress; 2005.</w:t>
      </w:r>
    </w:p>
    <w:bookmarkEnd w:id="102"/>
    <w:bookmarkStart w:id="104" w:name="ref-Higham_Abri_Pataud_2011"/>
    <w:p>
      <w:pPr>
        <w:pStyle w:val="Bibliography"/>
      </w:pPr>
      <w:r>
        <w:t xml:space="preserve">[25]</w:t>
      </w:r>
      <w:r>
        <w:t xml:space="preserve"> </w:t>
      </w:r>
      <w:r>
        <w:t xml:space="preserve">	</w:t>
      </w:r>
      <w:r>
        <w:t xml:space="preserve">Higham TFG, Jacobi RM, Julien C, Ramsey CB, Studenik C, Trinkaus E. The earliest evidence for anatomically modern humans in northwestern</w:t>
      </w:r>
      <w:r>
        <w:t xml:space="preserve"> </w:t>
      </w:r>
      <w:r>
        <w:t xml:space="preserve">Europe</w:t>
      </w:r>
      <w:r>
        <w:t xml:space="preserve">. Journal of Human Evolution 2011;61:549–63.</w:t>
      </w:r>
      <w:r>
        <w:t xml:space="preserve"> </w:t>
      </w:r>
      <w:hyperlink r:id="rId103">
        <w:r>
          <w:rPr>
            <w:rStyle w:val="Hyperlink"/>
          </w:rPr>
          <w:t xml:space="preserve">https://doi.org/10.1016/j.jhevol.2011.06.001</w:t>
        </w:r>
      </w:hyperlink>
      <w:r>
        <w:t xml:space="preserve">.</w:t>
      </w:r>
    </w:p>
    <w:bookmarkEnd w:id="104"/>
    <w:bookmarkStart w:id="106" w:name="ref-Talamo_La_Ferrassie_2020"/>
    <w:p>
      <w:pPr>
        <w:pStyle w:val="Bibliography"/>
      </w:pPr>
      <w:r>
        <w:t xml:space="preserve">[26]</w:t>
      </w:r>
      <w:r>
        <w:t xml:space="preserve"> </w:t>
      </w:r>
      <w:r>
        <w:t xml:space="preserve">	</w:t>
      </w:r>
      <w:r>
        <w:t xml:space="preserve">Talamo S, Kels S, Roussel M, Schmidt P, competition M, Bocherens H. Direct radiocarbon dating and taphonomy of the</w:t>
      </w:r>
      <w:r>
        <w:t xml:space="preserve"> </w:t>
      </w:r>
      <w:r>
        <w:t xml:space="preserve">Aurignacian</w:t>
      </w:r>
      <w:r>
        <w:t xml:space="preserve"> </w:t>
      </w:r>
      <w:r>
        <w:t xml:space="preserve">sequence of</w:t>
      </w:r>
      <w:r>
        <w:t xml:space="preserve"> </w:t>
      </w:r>
      <w:r>
        <w:t xml:space="preserve">La Ferrassie</w:t>
      </w:r>
      <w:r>
        <w:t xml:space="preserve"> </w:t>
      </w:r>
      <w:r>
        <w:t xml:space="preserve">(</w:t>
      </w:r>
      <w:r>
        <w:t xml:space="preserve">France</w:t>
      </w:r>
      <w:r>
        <w:t xml:space="preserve">). Journal of Quaternary Science 2020;35:958–69.</w:t>
      </w:r>
      <w:r>
        <w:t xml:space="preserve"> </w:t>
      </w:r>
      <w:hyperlink r:id="rId105">
        <w:r>
          <w:rPr>
            <w:rStyle w:val="Hyperlink"/>
          </w:rPr>
          <w:t xml:space="preserve">https://doi.org/10.1002/jqs.3223</w:t>
        </w:r>
      </w:hyperlink>
      <w:r>
        <w:t xml:space="preserve">.</w:t>
      </w:r>
    </w:p>
    <w:bookmarkEnd w:id="106"/>
    <w:bookmarkStart w:id="108" w:name="ref-Oliva_2006"/>
    <w:p>
      <w:pPr>
        <w:pStyle w:val="Bibliography"/>
      </w:pPr>
      <w:r>
        <w:t xml:space="preserve">[27]</w:t>
      </w:r>
      <w:r>
        <w:t xml:space="preserve"> </w:t>
      </w:r>
      <w:r>
        <w:t xml:space="preserve">	</w:t>
      </w:r>
      <w:r>
        <w:t xml:space="preserve">Oliva M. The</w:t>
      </w:r>
      <w:r>
        <w:t xml:space="preserve"> </w:t>
      </w:r>
      <w:r>
        <w:t xml:space="preserve">Upper Paleolithic</w:t>
      </w:r>
      <w:r>
        <w:t xml:space="preserve"> </w:t>
      </w:r>
      <w:r>
        <w:t xml:space="preserve">finds from the</w:t>
      </w:r>
      <w:r>
        <w:t xml:space="preserve"> </w:t>
      </w:r>
      <w:r>
        <w:t xml:space="preserve">Mladeč Cave</w:t>
      </w:r>
      <w:r>
        <w:t xml:space="preserve">. In: Teschler-Nicola M, editor. Early modern humans at the</w:t>
      </w:r>
      <w:r>
        <w:t xml:space="preserve"> </w:t>
      </w:r>
      <w:r>
        <w:t xml:space="preserve">Moravian Gate</w:t>
      </w:r>
      <w:r>
        <w:t xml:space="preserve">: The</w:t>
      </w:r>
      <w:r>
        <w:t xml:space="preserve"> </w:t>
      </w:r>
      <w:r>
        <w:t xml:space="preserve">Mladeč Caves</w:t>
      </w:r>
      <w:r>
        <w:t xml:space="preserve"> </w:t>
      </w:r>
      <w:r>
        <w:t xml:space="preserve">and their remains, Vienna: Springer; 2006, p. 41–74.</w:t>
      </w:r>
      <w:r>
        <w:t xml:space="preserve"> </w:t>
      </w:r>
      <w:hyperlink r:id="rId107">
        <w:r>
          <w:rPr>
            <w:rStyle w:val="Hyperlink"/>
          </w:rPr>
          <w:t xml:space="preserve">https://doi.org/10.1007/3-211-38327-6_3</w:t>
        </w:r>
      </w:hyperlink>
      <w:r>
        <w:t xml:space="preserve">.</w:t>
      </w:r>
    </w:p>
    <w:bookmarkEnd w:id="108"/>
    <w:bookmarkStart w:id="110"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 AH IV 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09">
        <w:r>
          <w:rPr>
            <w:rStyle w:val="Hyperlink"/>
          </w:rPr>
          <w:t xml:space="preserve">https://doi.org/10.1371/journal.pone.0194097</w:t>
        </w:r>
      </w:hyperlink>
      <w:r>
        <w:t xml:space="preserve">.</w:t>
      </w:r>
    </w:p>
    <w:bookmarkEnd w:id="110"/>
    <w:bookmarkStart w:id="111"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1"/>
    <w:bookmarkStart w:id="113"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P@lethnology, Toulouse; 2015, p. 57–75.</w:t>
      </w:r>
      <w:r>
        <w:t xml:space="preserve"> </w:t>
      </w:r>
      <w:hyperlink r:id="rId112">
        <w:r>
          <w:rPr>
            <w:rStyle w:val="Hyperlink"/>
          </w:rPr>
          <w:t xml:space="preserve">https://doi.org/10.4000/palethnologie.736</w:t>
        </w:r>
      </w:hyperlink>
      <w:r>
        <w:t xml:space="preserve">.</w:t>
      </w:r>
    </w:p>
    <w:bookmarkEnd w:id="113"/>
    <w:bookmarkStart w:id="115" w:name="ref-Schurch_Conard_2026"/>
    <w:p>
      <w:pPr>
        <w:pStyle w:val="Bibliography"/>
      </w:pPr>
      <w:r>
        <w:t xml:space="preserve">[31]</w:t>
      </w:r>
      <w:r>
        <w:t xml:space="preserve"> </w:t>
      </w:r>
      <w:r>
        <w:t xml:space="preserve">	</w:t>
      </w:r>
      <w:r>
        <w:t xml:space="preserve">Schürch B, Conard NJ. Reassessing the cultural stratigraphy of</w:t>
      </w:r>
      <w:r>
        <w:t xml:space="preserve"> </w:t>
      </w:r>
      <w:r>
        <w:t xml:space="preserve">Vogelherd Cave</w:t>
      </w:r>
      <w:r>
        <w:t xml:space="preserve"> </w:t>
      </w:r>
      <w:r>
        <w:t xml:space="preserve">and the impact of excavation methodology on assemblage integrity. Journal of Paleolithic Archaeology 2026.</w:t>
      </w:r>
      <w:r>
        <w:t xml:space="preserve"> </w:t>
      </w:r>
      <w:hyperlink r:id="rId114">
        <w:r>
          <w:rPr>
            <w:rStyle w:val="Hyperlink"/>
          </w:rPr>
          <w:t xml:space="preserve">https://doi.org/10.1007/s41982-025-00298-3</w:t>
        </w:r>
      </w:hyperlink>
      <w:r>
        <w:t xml:space="preserve">.</w:t>
      </w:r>
    </w:p>
    <w:bookmarkEnd w:id="115"/>
    <w:bookmarkStart w:id="117"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16">
        <w:r>
          <w:rPr>
            <w:rStyle w:val="Hyperlink"/>
          </w:rPr>
          <w:t xml:space="preserve">https://doi.org/10.1016/j.quascirev.2009.11.015</w:t>
        </w:r>
      </w:hyperlink>
      <w:r>
        <w:t xml:space="preserve">.</w:t>
      </w:r>
    </w:p>
    <w:bookmarkEnd w:id="117"/>
    <w:bookmarkStart w:id="119" w:name="ref-Crema_Bevan_2021"/>
    <w:p>
      <w:pPr>
        <w:pStyle w:val="Bibliography"/>
      </w:pPr>
      <w:r>
        <w:t xml:space="preserve">[33]</w:t>
      </w:r>
      <w:r>
        <w:t xml:space="preserve"> </w:t>
      </w:r>
      <w:r>
        <w:t xml:space="preserve">	</w:t>
      </w:r>
      <w:r>
        <w:t xml:space="preserve">Crema ER, Bevan A. INFERENCE FROM LARGE SETS OF RADIOCARBON DATES: SOFTWARE AND METHODS. Radiocarbon 2021;63:23–39.</w:t>
      </w:r>
      <w:r>
        <w:t xml:space="preserve"> </w:t>
      </w:r>
      <w:hyperlink r:id="rId118">
        <w:r>
          <w:rPr>
            <w:rStyle w:val="Hyperlink"/>
          </w:rPr>
          <w:t xml:space="preserve">https://doi.org/10.1017/RDC.2020.95</w:t>
        </w:r>
      </w:hyperlink>
      <w:r>
        <w:t xml:space="preserve">.</w:t>
      </w:r>
    </w:p>
    <w:bookmarkEnd w:id="119"/>
    <w:bookmarkStart w:id="121" w:name="ref-Lycett_2019"/>
    <w:p>
      <w:pPr>
        <w:pStyle w:val="Bibliography"/>
      </w:pPr>
      <w:r>
        <w:t xml:space="preserve">[34]</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0">
        <w:r>
          <w:rPr>
            <w:rStyle w:val="Hyperlink"/>
          </w:rPr>
          <w:t xml:space="preserve">https://doi.org/10.1007/s12520-018-0742-3</w:t>
        </w:r>
      </w:hyperlink>
      <w:r>
        <w:t xml:space="preserve">.</w:t>
      </w:r>
    </w:p>
    <w:bookmarkEnd w:id="121"/>
    <w:bookmarkStart w:id="123" w:name="ref-Mantel_Smouse"/>
    <w:p>
      <w:pPr>
        <w:pStyle w:val="Bibliography"/>
      </w:pPr>
      <w:r>
        <w:t xml:space="preserve">[35]</w:t>
      </w:r>
      <w:r>
        <w:t xml:space="preserve"> </w:t>
      </w:r>
      <w:r>
        <w:t xml:space="preserve">	</w:t>
      </w:r>
      <w:r>
        <w:t xml:space="preserve">Smouse PE, Long JC. Matrix correlation analysis in anthropology and genetics. American Journal of Physical Anthropology 1992;35:187–213. https://doi.org/</w:t>
      </w:r>
      <w:hyperlink r:id="rId122">
        <w:r>
          <w:rPr>
            <w:rStyle w:val="Hyperlink"/>
          </w:rPr>
          <w:t xml:space="preserve">https://doi.org/10.1002/ajpa.1330350608</w:t>
        </w:r>
      </w:hyperlink>
      <w:r>
        <w:t xml:space="preserve">.</w:t>
      </w:r>
    </w:p>
    <w:bookmarkEnd w:id="123"/>
    <w:bookmarkStart w:id="125" w:name="ref-Vegan2001"/>
    <w:p>
      <w:pPr>
        <w:pStyle w:val="Bibliography"/>
      </w:pPr>
      <w:r>
        <w:t xml:space="preserve">[36]</w:t>
      </w:r>
      <w:r>
        <w:t xml:space="preserve"> </w:t>
      </w:r>
      <w:r>
        <w:t xml:space="preserve">	</w:t>
      </w:r>
      <w:r>
        <w:t xml:space="preserve">Oksanen J, Simpson GL, Blanchet FG, Kindt R, Legendre P, Minchin PR, et al. Vegan: Community ecology package 2001:25–31.</w:t>
      </w:r>
      <w:r>
        <w:t xml:space="preserve"> </w:t>
      </w:r>
      <w:hyperlink r:id="rId124">
        <w:r>
          <w:rPr>
            <w:rStyle w:val="Hyperlink"/>
          </w:rPr>
          <w:t xml:space="preserve">https://doi.org/10.32614/CRAN.package.vegan</w:t>
        </w:r>
      </w:hyperlink>
      <w:r>
        <w:t xml:space="preserve">.</w:t>
      </w:r>
    </w:p>
    <w:bookmarkEnd w:id="125"/>
    <w:bookmarkStart w:id="127" w:name="ref-Rigaud_dErrico_Vanhaeren_2015"/>
    <w:p>
      <w:pPr>
        <w:pStyle w:val="Bibliography"/>
      </w:pPr>
      <w:r>
        <w:t xml:space="preserve">[37]</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6">
        <w:r>
          <w:rPr>
            <w:rStyle w:val="Hyperlink"/>
          </w:rPr>
          <w:t xml:space="preserve">https://doi.org/10.1371/journal.pone.0121166</w:t>
        </w:r>
      </w:hyperlink>
      <w:r>
        <w:t xml:space="preserve">.</w:t>
      </w:r>
    </w:p>
    <w:bookmarkEnd w:id="127"/>
    <w:bookmarkStart w:id="129" w:name="ref-seriation_pckge"/>
    <w:p>
      <w:pPr>
        <w:pStyle w:val="Bibliography"/>
      </w:pPr>
      <w:r>
        <w:t xml:space="preserve">[38]</w:t>
      </w:r>
      <w:r>
        <w:t xml:space="preserve"> </w:t>
      </w:r>
      <w:r>
        <w:t xml:space="preserve">	</w:t>
      </w:r>
      <w:r>
        <w:t xml:space="preserve">Hahsler M, Hornik K, Buchta C. Getting things in order: An introduction to the r package seriation. Journal of Statistical Software 2008;25:1–34.</w:t>
      </w:r>
      <w:r>
        <w:t xml:space="preserve"> </w:t>
      </w:r>
      <w:hyperlink r:id="rId128">
        <w:r>
          <w:rPr>
            <w:rStyle w:val="Hyperlink"/>
          </w:rPr>
          <w:t xml:space="preserve">https://doi.org/10.18637/jss.v025.i03</w:t>
        </w:r>
      </w:hyperlink>
      <w:r>
        <w:t xml:space="preserve">.</w:t>
      </w:r>
    </w:p>
    <w:bookmarkEnd w:id="129"/>
    <w:bookmarkStart w:id="131" w:name="ref-Brower_Kile_1988"/>
    <w:p>
      <w:pPr>
        <w:pStyle w:val="Bibliography"/>
      </w:pPr>
      <w:r>
        <w:t xml:space="preserve">[39]</w:t>
      </w:r>
      <w:r>
        <w:t xml:space="preserve"> </w:t>
      </w:r>
      <w:r>
        <w:t xml:space="preserve">	</w:t>
      </w:r>
      <w:r>
        <w:t xml:space="preserve">Brower JC, Kile KM. Seriation of an original data matrix as applied to paleoecology. Lethaia 1988;21:79–93.</w:t>
      </w:r>
      <w:r>
        <w:t xml:space="preserve"> </w:t>
      </w:r>
      <w:hyperlink r:id="rId130">
        <w:r>
          <w:rPr>
            <w:rStyle w:val="Hyperlink"/>
          </w:rPr>
          <w:t xml:space="preserve">https://doi.org/10.1111/j.1502-3931.1988.tb01756.x</w:t>
        </w:r>
      </w:hyperlink>
      <w:r>
        <w:t xml:space="preserve">.</w:t>
      </w:r>
    </w:p>
    <w:bookmarkEnd w:id="131"/>
    <w:bookmarkStart w:id="133" w:name="ref-Mills_2017"/>
    <w:p>
      <w:pPr>
        <w:pStyle w:val="Bibliography"/>
      </w:pPr>
      <w:r>
        <w:t xml:space="preserve">[40]</w:t>
      </w:r>
      <w:r>
        <w:t xml:space="preserve"> </w:t>
      </w:r>
      <w:r>
        <w:t xml:space="preserve">	</w:t>
      </w:r>
      <w:r>
        <w:t xml:space="preserve">Mills BJ. Social network analysis in archaeology. Annual Review of Anthropology 2017;46:379–97.</w:t>
      </w:r>
      <w:r>
        <w:t xml:space="preserve"> </w:t>
      </w:r>
      <w:hyperlink r:id="rId132">
        <w:r>
          <w:rPr>
            <w:rStyle w:val="Hyperlink"/>
          </w:rPr>
          <w:t xml:space="preserve">https://doi.org/10.1146/annurev-anthro-102116-041423</w:t>
        </w:r>
      </w:hyperlink>
      <w:r>
        <w:t xml:space="preserve">.</w:t>
      </w:r>
    </w:p>
    <w:bookmarkEnd w:id="133"/>
    <w:bookmarkStart w:id="135" w:name="ref-Fruchterman_Reingold_1991"/>
    <w:p>
      <w:pPr>
        <w:pStyle w:val="Bibliography"/>
      </w:pPr>
      <w:r>
        <w:t xml:space="preserve">[41]</w:t>
      </w:r>
      <w:r>
        <w:t xml:space="preserve"> </w:t>
      </w:r>
      <w:r>
        <w:t xml:space="preserve">	</w:t>
      </w:r>
      <w:r>
        <w:t xml:space="preserve">Fruchterman TMJ, Reingold EM. Graph drawing by force-directed placement. Software: Practice and Experience 1991;21:1129–64.</w:t>
      </w:r>
      <w:r>
        <w:t xml:space="preserve"> </w:t>
      </w:r>
      <w:hyperlink r:id="rId134">
        <w:r>
          <w:rPr>
            <w:rStyle w:val="Hyperlink"/>
          </w:rPr>
          <w:t xml:space="preserve">https://doi.org/10.1002/spe.4380211102</w:t>
        </w:r>
      </w:hyperlink>
      <w:r>
        <w:t xml:space="preserve">.</w:t>
      </w:r>
    </w:p>
    <w:bookmarkEnd w:id="135"/>
    <w:bookmarkStart w:id="137" w:name="ref-statnet_package"/>
    <w:p>
      <w:pPr>
        <w:pStyle w:val="Bibliography"/>
      </w:pPr>
      <w:r>
        <w:t xml:space="preserve">[42]</w:t>
      </w:r>
      <w:r>
        <w:t xml:space="preserve"> </w:t>
      </w:r>
      <w:r>
        <w:t xml:space="preserve">	</w:t>
      </w:r>
      <w:r>
        <w:t xml:space="preserve">Pavel N. Krivitsky MSH, Hunter DR, Butts CT, Bojanowski M, Klumb C, Goodreau SM, et al.</w:t>
      </w:r>
      <w:r>
        <w:t xml:space="preserve"> </w:t>
      </w:r>
      <w:hyperlink r:id="rId136">
        <w:r>
          <w:rPr>
            <w:rStyle w:val="Hyperlink"/>
          </w:rPr>
          <w:t xml:space="preserve">Statnet: Tools for the statistical modeling of network data</w:t>
        </w:r>
      </w:hyperlink>
      <w:r>
        <w:t xml:space="preserve"> </w:t>
      </w:r>
      <w:r>
        <w:t xml:space="preserve">2003–2024.</w:t>
      </w:r>
    </w:p>
    <w:bookmarkEnd w:id="137"/>
    <w:bookmarkStart w:id="139" w:name="ref-igraph_package"/>
    <w:p>
      <w:pPr>
        <w:pStyle w:val="Bibliography"/>
      </w:pPr>
      <w:r>
        <w:t xml:space="preserve">[43]</w:t>
      </w:r>
      <w:r>
        <w:t xml:space="preserve"> </w:t>
      </w:r>
      <w:r>
        <w:t xml:space="preserve">	</w:t>
      </w:r>
      <w:r>
        <w:t xml:space="preserve">Csardi G, Nepusz T.</w:t>
      </w:r>
      <w:r>
        <w:t xml:space="preserve"> </w:t>
      </w:r>
      <w:hyperlink r:id="rId138">
        <w:r>
          <w:rPr>
            <w:rStyle w:val="Hyperlink"/>
          </w:rPr>
          <w:t xml:space="preserve">The igraph software package for complex network research</w:t>
        </w:r>
      </w:hyperlink>
      <w:r>
        <w:t xml:space="preserve">. InterJournal 2006;Complex Systems:1695.</w:t>
      </w:r>
    </w:p>
    <w:bookmarkEnd w:id="139"/>
    <w:bookmarkStart w:id="141" w:name="ref-Anderson_2017"/>
    <w:p>
      <w:pPr>
        <w:pStyle w:val="Bibliography"/>
      </w:pPr>
      <w:r>
        <w:t xml:space="preserve">[44]</w:t>
      </w:r>
      <w:r>
        <w:t xml:space="preserve"> </w:t>
      </w:r>
      <w:r>
        <w:t xml:space="preserve">	</w:t>
      </w:r>
      <w:r>
        <w:t xml:space="preserve">Anderson MJ. Permutational multivariate analysis of variance (PERMANOVA). Wiley StatsRef: Statistics reference online, John Wiley &amp; Sons, Ltd; 2017, p. 1–15.</w:t>
      </w:r>
      <w:r>
        <w:t xml:space="preserve"> </w:t>
      </w:r>
      <w:hyperlink r:id="rId140">
        <w:r>
          <w:rPr>
            <w:rStyle w:val="Hyperlink"/>
          </w:rPr>
          <w:t xml:space="preserve">https://doi.org/10.1002/9781118445112.stat07841</w:t>
        </w:r>
      </w:hyperlink>
      <w:r>
        <w:t xml:space="preserve">.</w:t>
      </w:r>
    </w:p>
    <w:bookmarkEnd w:id="141"/>
    <w:bookmarkStart w:id="143" w:name="ref-Shennan_Crema_Kerig_2015"/>
    <w:p>
      <w:pPr>
        <w:pStyle w:val="Bibliography"/>
      </w:pPr>
      <w:r>
        <w:t xml:space="preserve">[45]</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2">
        <w:r>
          <w:rPr>
            <w:rStyle w:val="Hyperlink"/>
          </w:rPr>
          <w:t xml:space="preserve">https://doi.org/10.1016/j.evolhumbehav.2014.09.006</w:t>
        </w:r>
      </w:hyperlink>
      <w:r>
        <w:t xml:space="preserve">.</w:t>
      </w:r>
    </w:p>
    <w:bookmarkEnd w:id="143"/>
    <w:bookmarkStart w:id="144" w:name="ref-newman2004finding"/>
    <w:p>
      <w:pPr>
        <w:pStyle w:val="Bibliography"/>
      </w:pPr>
      <w:r>
        <w:t xml:space="preserve">[46]</w:t>
      </w:r>
      <w:r>
        <w:t xml:space="preserve"> </w:t>
      </w:r>
      <w:r>
        <w:t xml:space="preserve">	</w:t>
      </w:r>
      <w:r>
        <w:t xml:space="preserve">Newman ME, Girvan M. Finding and evaluating community structure in networks. Physical Review E 2004;69:026113.</w:t>
      </w:r>
    </w:p>
    <w:bookmarkEnd w:id="144"/>
    <w:bookmarkStart w:id="146" w:name="ref-Finlayson_Warren_2017"/>
    <w:p>
      <w:pPr>
        <w:pStyle w:val="Bibliography"/>
      </w:pPr>
      <w:r>
        <w:t xml:space="preserve">[47]</w:t>
      </w:r>
      <w:r>
        <w:t xml:space="preserve"> </w:t>
      </w:r>
      <w:r>
        <w:t xml:space="preserve">	</w:t>
      </w:r>
      <w:r>
        <w:t xml:space="preserve">Finlayson B, Warren G.</w:t>
      </w:r>
      <w:r>
        <w:t xml:space="preserve"> </w:t>
      </w:r>
      <w:hyperlink r:id="rId145">
        <w:r>
          <w:rPr>
            <w:rStyle w:val="Hyperlink"/>
          </w:rPr>
          <w:t xml:space="preserve">The diversity of hunter-gatherer pasts: An introduction</w:t>
        </w:r>
      </w:hyperlink>
      <w:r>
        <w:t xml:space="preserve">. In: Finlayson B, Warren G, editors. The diversity of hunter gatherer pasts. 1st ed., Oxbow Books; 2017, p. 1–14.</w:t>
      </w:r>
    </w:p>
    <w:bookmarkEnd w:id="146"/>
    <w:bookmarkStart w:id="148" w:name="ref-Riches_1995"/>
    <w:p>
      <w:pPr>
        <w:pStyle w:val="Bibliography"/>
      </w:pPr>
      <w:r>
        <w:t xml:space="preserve">[48]</w:t>
      </w:r>
      <w:r>
        <w:t xml:space="preserve"> </w:t>
      </w:r>
      <w:r>
        <w:t xml:space="preserve">	</w:t>
      </w:r>
      <w:r>
        <w:t xml:space="preserve">Riches D. Hunter-gatherer structural transformations. The Journal of the Royal Anthropological Institute 1995;1:679–701.</w:t>
      </w:r>
      <w:r>
        <w:t xml:space="preserve"> </w:t>
      </w:r>
      <w:hyperlink r:id="rId147">
        <w:r>
          <w:rPr>
            <w:rStyle w:val="Hyperlink"/>
          </w:rPr>
          <w:t xml:space="preserve">https://doi.org/10.2307/3034956</w:t>
        </w:r>
      </w:hyperlink>
      <w:r>
        <w:t xml:space="preserve">.</w:t>
      </w:r>
    </w:p>
    <w:bookmarkEnd w:id="148"/>
    <w:bookmarkStart w:id="150" w:name="ref-Price_Brown_1985"/>
    <w:p>
      <w:pPr>
        <w:pStyle w:val="Bibliography"/>
      </w:pPr>
      <w:r>
        <w:t xml:space="preserve">[49]</w:t>
      </w:r>
      <w:r>
        <w:t xml:space="preserve"> </w:t>
      </w:r>
      <w:r>
        <w:t xml:space="preserve">	</w:t>
      </w:r>
      <w:r>
        <w:t xml:space="preserve">Price TD, Brown JA. Aspects of hunter–gatherer complexity. In: Price TD, Brown JA, editors. Prehistoric hunters-gatherers, Academic Press; 1985, p. 3–20. https://doi.org/</w:t>
      </w:r>
      <w:hyperlink r:id="rId149">
        <w:r>
          <w:rPr>
            <w:rStyle w:val="Hyperlink"/>
          </w:rPr>
          <w:t xml:space="preserve">https://doi.org/10.1016/B978-0-12-564750-2.50006-8</w:t>
        </w:r>
      </w:hyperlink>
      <w:r>
        <w:t xml:space="preserve">.</w:t>
      </w:r>
    </w:p>
    <w:bookmarkEnd w:id="150"/>
    <w:bookmarkStart w:id="152" w:name="ref-Lane_2017"/>
    <w:p>
      <w:pPr>
        <w:pStyle w:val="Bibliography"/>
      </w:pPr>
      <w:r>
        <w:t xml:space="preserve">[50]</w:t>
      </w:r>
      <w:r>
        <w:t xml:space="preserve"> </w:t>
      </w:r>
      <w:r>
        <w:t xml:space="preserve">	</w:t>
      </w:r>
      <w:r>
        <w:t xml:space="preserve">Lane PJ.</w:t>
      </w:r>
      <w:r>
        <w:t xml:space="preserve"> </w:t>
      </w:r>
      <w:hyperlink r:id="rId151">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2"/>
    <w:bookmarkStart w:id="153" w:name="ref-Pate_2006"/>
    <w:p>
      <w:pPr>
        <w:pStyle w:val="Bibliography"/>
      </w:pPr>
      <w:r>
        <w:t xml:space="preserve">[51]</w:t>
      </w:r>
      <w:r>
        <w:t xml:space="preserve"> </w:t>
      </w:r>
      <w:r>
        <w:t xml:space="preserve">	</w:t>
      </w:r>
      <w:r>
        <w:t xml:space="preserve">Pate F. Hunter-gatherer social complexity at roonka flat, south australia. The social archaeology of australian indigenous societies, Aboriginal Studies Press; 2006, p. 226–41.</w:t>
      </w:r>
    </w:p>
    <w:bookmarkEnd w:id="153"/>
    <w:bookmarkStart w:id="155" w:name="ref-Johnson_2014"/>
    <w:p>
      <w:pPr>
        <w:pStyle w:val="Bibliography"/>
      </w:pPr>
      <w:r>
        <w:t xml:space="preserve">[52]</w:t>
      </w:r>
      <w:r>
        <w:t xml:space="preserve"> </w:t>
      </w:r>
      <w:r>
        <w:t xml:space="preserve">	</w:t>
      </w:r>
      <w:r>
        <w:t xml:space="preserve">Johnson AL. Exploring adaptive variation among hunter-gatherers with binford’s frames of reference. Journal of Archaeological Research 2014;22:1–42.</w:t>
      </w:r>
      <w:r>
        <w:t xml:space="preserve"> </w:t>
      </w:r>
      <w:hyperlink r:id="rId154">
        <w:r>
          <w:rPr>
            <w:rStyle w:val="Hyperlink"/>
          </w:rPr>
          <w:t xml:space="preserve">https://doi.org/10.1007/s10814-013-9068-y</w:t>
        </w:r>
      </w:hyperlink>
      <w:r>
        <w:t xml:space="preserve">.</w:t>
      </w:r>
    </w:p>
    <w:bookmarkEnd w:id="155"/>
    <w:bookmarkStart w:id="157" w:name="ref-Singh_Glowacki_2022"/>
    <w:p>
      <w:pPr>
        <w:pStyle w:val="Bibliography"/>
      </w:pPr>
      <w:r>
        <w:t xml:space="preserve">[53]</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 https://doi.org/</w:t>
      </w:r>
      <w:hyperlink r:id="rId156">
        <w:r>
          <w:rPr>
            <w:rStyle w:val="Hyperlink"/>
          </w:rPr>
          <w:t xml:space="preserve">https://doi.org/10.1016/j.evolhumbehav.2022.07.003</w:t>
        </w:r>
      </w:hyperlink>
      <w:r>
        <w:t xml:space="preserve">.</w:t>
      </w:r>
    </w:p>
    <w:bookmarkEnd w:id="157"/>
    <w:bookmarkStart w:id="159" w:name="ref-Schwendler_2012"/>
    <w:p>
      <w:pPr>
        <w:pStyle w:val="Bibliography"/>
      </w:pPr>
      <w:r>
        <w:t xml:space="preserve">[54]</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 BP. Quaternary International 2012;272–273:333–53. https://doi.org/</w:t>
      </w:r>
      <w:hyperlink r:id="rId158">
        <w:r>
          <w:rPr>
            <w:rStyle w:val="Hyperlink"/>
          </w:rPr>
          <w:t xml:space="preserve">https://doi.org/10.1016/j.quaint.2012.03.054</w:t>
        </w:r>
      </w:hyperlink>
      <w:r>
        <w:t xml:space="preserve">.</w:t>
      </w:r>
    </w:p>
    <w:bookmarkEnd w:id="159"/>
    <w:bookmarkStart w:id="161" w:name="ref-Morwood_1987"/>
    <w:p>
      <w:pPr>
        <w:pStyle w:val="Bibliography"/>
      </w:pPr>
      <w:r>
        <w:t xml:space="preserve">[55]</w:t>
      </w:r>
      <w:r>
        <w:t xml:space="preserve"> </w:t>
      </w:r>
      <w:r>
        <w:t xml:space="preserve">	</w:t>
      </w:r>
      <w:r>
        <w:t xml:space="preserve">Morwood MJ. The archaeology of social complexity in south-east queensland. Proceedings of the Prehistoric Society 1987;53:337–50.</w:t>
      </w:r>
      <w:r>
        <w:t xml:space="preserve"> </w:t>
      </w:r>
      <w:hyperlink r:id="rId160">
        <w:r>
          <w:rPr>
            <w:rStyle w:val="Hyperlink"/>
          </w:rPr>
          <w:t xml:space="preserve">https://doi.org/10.1017/S0079497X00006265</w:t>
        </w:r>
      </w:hyperlink>
      <w:r>
        <w:t xml:space="preserve">.</w:t>
      </w:r>
    </w:p>
    <w:bookmarkEnd w:id="161"/>
    <w:bookmarkStart w:id="163" w:name="ref-Mattson_2021"/>
    <w:p>
      <w:pPr>
        <w:pStyle w:val="Bibliography"/>
      </w:pPr>
      <w:r>
        <w:t xml:space="preserve">[56]</w:t>
      </w:r>
      <w:r>
        <w:t xml:space="preserve"> </w:t>
      </w:r>
      <w:r>
        <w:t xml:space="preserve">	</w:t>
      </w:r>
      <w:r>
        <w:t xml:space="preserve">Mattson HV. Personal adornment and identity construction in archaeology: In: Mattson HV, editor. Personal adornment and the construction of identity, Oxbow Books; 2021, p. 1–24.</w:t>
      </w:r>
      <w:r>
        <w:t xml:space="preserve"> </w:t>
      </w:r>
      <w:hyperlink r:id="rId162">
        <w:r>
          <w:rPr>
            <w:rStyle w:val="Hyperlink"/>
          </w:rPr>
          <w:t xml:space="preserve">https://doi.org/10.2307/j.ctv24q4z2g.5</w:t>
        </w:r>
      </w:hyperlink>
      <w:r>
        <w:t xml:space="preserve">.</w:t>
      </w:r>
    </w:p>
    <w:bookmarkEnd w:id="163"/>
    <w:bookmarkStart w:id="164" w:name="ref-Larsson_2006"/>
    <w:p>
      <w:pPr>
        <w:pStyle w:val="Bibliography"/>
      </w:pPr>
      <w:r>
        <w:t xml:space="preserve">[57]</w:t>
      </w:r>
      <w:r>
        <w:t xml:space="preserve"> </w:t>
      </w:r>
      <w:r>
        <w:t xml:space="preserve">	</w:t>
      </w:r>
      <w:r>
        <w:t xml:space="preserve">Larsson L. A tooth for a tooth: Tooth ornaments from the graves at the cemeteries of zvejnieki. Back to the origin: New research in the mesolithic-</w:t>
      </w:r>
      <w:r>
        <w:t xml:space="preserve">Neolithic</w:t>
      </w:r>
      <w:r>
        <w:t xml:space="preserve"> </w:t>
      </w:r>
      <w:r>
        <w:t xml:space="preserve">zvejnieki cemetery and environment, northern latvia, vol. 52, Almqvist &amp; Wiksell International; 2006, p. 253–87.</w:t>
      </w:r>
    </w:p>
    <w:bookmarkEnd w:id="164"/>
    <w:bookmarkStart w:id="166" w:name="ref-Moore_2010"/>
    <w:p>
      <w:pPr>
        <w:pStyle w:val="Bibliography"/>
      </w:pPr>
      <w:r>
        <w:t xml:space="preserve">[58]</w:t>
      </w:r>
      <w:r>
        <w:t xml:space="preserve"> </w:t>
      </w:r>
      <w:r>
        <w:t xml:space="preserve">	</w:t>
      </w:r>
      <w:r>
        <w:t xml:space="preserve">Moore CR. A macroscopic investigation of technological style and the production of middle to late archaic fishhooks at the chiggerville, read, and baker sites, western kentucky. Southeastern Archaeology 2010;29:197–221.</w:t>
      </w:r>
      <w:r>
        <w:t xml:space="preserve"> </w:t>
      </w:r>
      <w:hyperlink r:id="rId165">
        <w:r>
          <w:rPr>
            <w:rStyle w:val="Hyperlink"/>
          </w:rPr>
          <w:t xml:space="preserve">https://doi.org/10.1179/sea.2010.29.1.013</w:t>
        </w:r>
      </w:hyperlink>
      <w:r>
        <w:t xml:space="preserve">.</w:t>
      </w:r>
    </w:p>
    <w:bookmarkEnd w:id="166"/>
    <w:bookmarkStart w:id="168" w:name="ref-Alfonso-Durrruty_Giles_Misarti2015"/>
    <w:p>
      <w:pPr>
        <w:pStyle w:val="Bibliography"/>
      </w:pPr>
      <w:r>
        <w:t xml:space="preserve">[59]</w:t>
      </w:r>
      <w:r>
        <w:t xml:space="preserve"> </w:t>
      </w:r>
      <w:r>
        <w:t xml:space="preserve">	</w:t>
      </w:r>
      <w:r>
        <w:t xml:space="preserve">Alfonso-Durrruty MP, Giles BT, Misarti N, San Roman M, Morello F. Antiquity and geographic distribution of cranial modification among the prehistoric groups of fuego-patagonia, chile. American Journal of Physical Anthropology 2015;158:607–23.</w:t>
      </w:r>
      <w:r>
        <w:t xml:space="preserve"> </w:t>
      </w:r>
      <w:hyperlink r:id="rId167">
        <w:r>
          <w:rPr>
            <w:rStyle w:val="Hyperlink"/>
          </w:rPr>
          <w:t xml:space="preserve">https://doi.org/10.1002/ajpa.22832</w:t>
        </w:r>
      </w:hyperlink>
      <w:r>
        <w:t xml:space="preserve">.</w:t>
      </w:r>
    </w:p>
    <w:bookmarkEnd w:id="168"/>
    <w:bookmarkStart w:id="169" w:name="ref-Vanhaeren_2005"/>
    <w:p>
      <w:pPr>
        <w:pStyle w:val="Bibliography"/>
      </w:pPr>
      <w:r>
        <w:t xml:space="preserve">[60]</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69"/>
    <w:bookmarkStart w:id="171" w:name="ref-Conkey_1985"/>
    <w:p>
      <w:pPr>
        <w:pStyle w:val="Bibliography"/>
      </w:pPr>
      <w:r>
        <w:t xml:space="preserve">[61]</w:t>
      </w:r>
      <w:r>
        <w:t xml:space="preserve"> </w:t>
      </w:r>
      <w:r>
        <w:t xml:space="preserve">	</w:t>
      </w:r>
      <w:r>
        <w:t xml:space="preserve">Conkey M.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 https://doi.org/</w:t>
      </w:r>
      <w:hyperlink r:id="rId170">
        <w:r>
          <w:rPr>
            <w:rStyle w:val="Hyperlink"/>
          </w:rPr>
          <w:t xml:space="preserve">https://doi.org/10.1016/B978-0-12-564750-2.50016-0</w:t>
        </w:r>
      </w:hyperlink>
      <w:r>
        <w:t xml:space="preserve">.</w:t>
      </w:r>
    </w:p>
    <w:bookmarkEnd w:id="171"/>
    <w:bookmarkStart w:id="172" w:name="ref-Conkey_1978"/>
    <w:p>
      <w:pPr>
        <w:pStyle w:val="Bibliography"/>
      </w:pPr>
      <w:r>
        <w:t xml:space="preserve">[62]</w:t>
      </w:r>
      <w:r>
        <w:t xml:space="preserve"> </w:t>
      </w:r>
      <w:r>
        <w:t xml:space="preserve">	</w:t>
      </w:r>
      <w:r>
        <w:t xml:space="preserve">Conkey M. Style and information in cultural evolution: Toward a predictive model for the</w:t>
      </w:r>
      <w:r>
        <w:t xml:space="preserve"> </w:t>
      </w:r>
      <w:r>
        <w:t xml:space="preserve">Paleolithic</w:t>
      </w:r>
      <w:r>
        <w:t xml:space="preserve">. Social archaeology: Beyond subsistence and dating, New York: Academic Press; 1978, p. 61–85.</w:t>
      </w:r>
    </w:p>
    <w:bookmarkEnd w:id="172"/>
    <w:bookmarkStart w:id="174" w:name="ref-Tilley_1982"/>
    <w:p>
      <w:pPr>
        <w:pStyle w:val="Bibliography"/>
      </w:pPr>
      <w:r>
        <w:t xml:space="preserve">[63]</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3">
        <w:r>
          <w:rPr>
            <w:rStyle w:val="Hyperlink"/>
          </w:rPr>
          <w:t xml:space="preserve">https://doi.org/10.1017/CBO9780511558252.004</w:t>
        </w:r>
      </w:hyperlink>
      <w:r>
        <w:t xml:space="preserve">.</w:t>
      </w:r>
    </w:p>
    <w:bookmarkEnd w:id="174"/>
    <w:bookmarkStart w:id="176" w:name="ref-Hodder1979"/>
    <w:p>
      <w:pPr>
        <w:pStyle w:val="Bibliography"/>
      </w:pPr>
      <w:r>
        <w:t xml:space="preserve">[64]</w:t>
      </w:r>
      <w:r>
        <w:t xml:space="preserve"> </w:t>
      </w:r>
      <w:r>
        <w:t xml:space="preserve">	</w:t>
      </w:r>
      <w:r>
        <w:t xml:space="preserve">Hodder I.</w:t>
      </w:r>
      <w:r>
        <w:t xml:space="preserve"> </w:t>
      </w:r>
      <w:hyperlink r:id="rId175">
        <w:r>
          <w:rPr>
            <w:rStyle w:val="Hyperlink"/>
          </w:rPr>
          <w:t xml:space="preserve">Economic and social stress and material culture patterning</w:t>
        </w:r>
      </w:hyperlink>
      <w:r>
        <w:t xml:space="preserve">. American Antiquity 1979;44:446–54.</w:t>
      </w:r>
    </w:p>
    <w:bookmarkEnd w:id="176"/>
    <w:bookmarkStart w:id="178" w:name="ref-Hodder1977"/>
    <w:p>
      <w:pPr>
        <w:pStyle w:val="Bibliography"/>
      </w:pPr>
      <w:r>
        <w:t xml:space="preserve">[65]</w:t>
      </w:r>
      <w:r>
        <w:t xml:space="preserve"> </w:t>
      </w:r>
      <w:r>
        <w:t xml:space="preserve">	</w:t>
      </w:r>
      <w:r>
        <w:t xml:space="preserve">Hodder I.</w:t>
      </w:r>
      <w:r>
        <w:t xml:space="preserve"> </w:t>
      </w:r>
      <w:hyperlink r:id="rId177">
        <w:r>
          <w:rPr>
            <w:rStyle w:val="Hyperlink"/>
          </w:rPr>
          <w:t xml:space="preserve">The distribution of material culture items in the baringo district, western kenya</w:t>
        </w:r>
      </w:hyperlink>
      <w:r>
        <w:t xml:space="preserve">. Man 1977;12:239–69.</w:t>
      </w:r>
    </w:p>
    <w:bookmarkEnd w:id="178"/>
    <w:bookmarkStart w:id="179" w:name="ref-Binford_1990"/>
    <w:p>
      <w:pPr>
        <w:pStyle w:val="Bibliography"/>
      </w:pPr>
      <w:r>
        <w:t xml:space="preserve">[66]</w:t>
      </w:r>
      <w:r>
        <w:t xml:space="preserve"> </w:t>
      </w:r>
      <w:r>
        <w:t xml:space="preserve">	</w:t>
      </w:r>
      <w:r>
        <w:t xml:space="preserve">Binford LR. Mobility, housing, and environment: A comparative study. Journal of Anthropological Research 1990;46:119–52.</w:t>
      </w:r>
    </w:p>
    <w:bookmarkEnd w:id="179"/>
    <w:bookmarkStart w:id="180" w:name="ref-Kelly_1983"/>
    <w:p>
      <w:pPr>
        <w:pStyle w:val="Bibliography"/>
      </w:pPr>
      <w:r>
        <w:t xml:space="preserve">[67]</w:t>
      </w:r>
      <w:r>
        <w:t xml:space="preserve"> </w:t>
      </w:r>
      <w:r>
        <w:t xml:space="preserve">	</w:t>
      </w:r>
      <w:r>
        <w:t xml:space="preserve">Kelly RL. Hunter-gatherer mobility strategies. Journal of Anthropological Research 1983;39:277–306.</w:t>
      </w:r>
    </w:p>
    <w:bookmarkEnd w:id="180"/>
    <w:bookmarkStart w:id="182" w:name="ref-Padilla-Iglesias_Bischoff_2024"/>
    <w:p>
      <w:pPr>
        <w:pStyle w:val="Bibliography"/>
      </w:pPr>
      <w:r>
        <w:t xml:space="preserve">[68]</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 https://doi.org/</w:t>
      </w:r>
      <w:hyperlink r:id="rId181">
        <w:r>
          <w:rPr>
            <w:rStyle w:val="Hyperlink"/>
          </w:rPr>
          <w:t xml:space="preserve">https://doi.org/10.1016/j.jasrep.2024.104798</w:t>
        </w:r>
      </w:hyperlink>
      <w:r>
        <w:t xml:space="preserve">.</w:t>
      </w:r>
    </w:p>
    <w:bookmarkEnd w:id="182"/>
    <w:bookmarkStart w:id="184" w:name="ref-Whallon_2006"/>
    <w:p>
      <w:pPr>
        <w:pStyle w:val="Bibliography"/>
      </w:pPr>
      <w:r>
        <w:t xml:space="preserve">[69]</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3">
        <w:r>
          <w:rPr>
            <w:rStyle w:val="Hyperlink"/>
          </w:rPr>
          <w:t xml:space="preserve">https://doi.org/10.1016/j.jaa.2005.11.004</w:t>
        </w:r>
      </w:hyperlink>
      <w:r>
        <w:t xml:space="preserve">.</w:t>
      </w:r>
    </w:p>
    <w:bookmarkEnd w:id="184"/>
    <w:bookmarkStart w:id="185" w:name="ref-Fitzhugh_Phillips_Gjesfeld_2011"/>
    <w:p>
      <w:pPr>
        <w:pStyle w:val="Bibliography"/>
      </w:pPr>
      <w:r>
        <w:t xml:space="preserve">[70]</w:t>
      </w:r>
      <w:r>
        <w:t xml:space="preserve"> </w:t>
      </w:r>
      <w:r>
        <w:t xml:space="preserve">	</w:t>
      </w:r>
      <w:r>
        <w:t xml:space="preserve">Fitzhugh B, Phillips SC, Gjesfeld E. Modeling hunter-gatherer information networks: An archaeological case study from the kuril islands. Information and its role in hunter-gatherer bands, Cotsen Institute of Archaeology Press at UCLA; 2011, p. 89–115.</w:t>
      </w:r>
    </w:p>
    <w:bookmarkEnd w:id="185"/>
    <w:bookmarkStart w:id="187" w:name="ref-Lovis_Donahue_2011"/>
    <w:p>
      <w:pPr>
        <w:pStyle w:val="Bibliography"/>
      </w:pPr>
      <w:r>
        <w:t xml:space="preserve">[71]</w:t>
      </w:r>
      <w:r>
        <w:t xml:space="preserve"> </w:t>
      </w:r>
      <w:r>
        <w:t xml:space="preserve">	</w:t>
      </w:r>
      <w:r>
        <w:t xml:space="preserve">Lovis WA, Donahue RE. Space, information and knowledge: In: WHALLON R, LOVIS WA, HITCHCOCK RK, editors. Information and its role in hunter-gatherer bands, Cotsen Institute of Archaeology Press at UCLA; 2011, p. 59–84.</w:t>
      </w:r>
      <w:r>
        <w:t xml:space="preserve"> </w:t>
      </w:r>
      <w:hyperlink r:id="rId186">
        <w:r>
          <w:rPr>
            <w:rStyle w:val="Hyperlink"/>
          </w:rPr>
          <w:t xml:space="preserve">https://doi.org/10.2307/j.ctvdmwwz4.7</w:t>
        </w:r>
      </w:hyperlink>
      <w:r>
        <w:t xml:space="preserve">.</w:t>
      </w:r>
    </w:p>
    <w:bookmarkEnd w:id="187"/>
    <w:bookmarkStart w:id="189" w:name="ref-Hitchcock_Ebert_2011"/>
    <w:p>
      <w:pPr>
        <w:pStyle w:val="Bibliography"/>
      </w:pPr>
      <w:r>
        <w:t xml:space="preserve">[72]</w:t>
      </w:r>
      <w:r>
        <w:t xml:space="preserve"> </w:t>
      </w:r>
      <w:r>
        <w:t xml:space="preserve">	</w:t>
      </w:r>
      <w:r>
        <w:t xml:space="preserve">Hitchcock RK, Ebert JI. Where is that job? Hunter-gatherer information systems in complex social environments in the eastern kalahari desert, botswana. In: WHALLON R, LOVIS WA, HITCHCOCK RK, editors. Information and its role in hunter-gatherer bands, Cotsen Institute of Archaeology Press at UCLA; 2011, p. 133–66.</w:t>
      </w:r>
      <w:r>
        <w:t xml:space="preserve"> </w:t>
      </w:r>
      <w:hyperlink r:id="rId188">
        <w:r>
          <w:rPr>
            <w:rStyle w:val="Hyperlink"/>
          </w:rPr>
          <w:t xml:space="preserve">https://doi.org/10.2307/j.ctvdmwwz4.10</w:t>
        </w:r>
      </w:hyperlink>
      <w:r>
        <w:t xml:space="preserve">.</w:t>
      </w:r>
    </w:p>
    <w:bookmarkEnd w:id="189"/>
    <w:bookmarkStart w:id="191" w:name="ref-Romano_Lozano_Fern2022"/>
    <w:p>
      <w:pPr>
        <w:pStyle w:val="Bibliography"/>
      </w:pPr>
      <w:r>
        <w:t xml:space="preserve">[73]</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 https://doi.org/</w:t>
      </w:r>
      <w:hyperlink r:id="rId190">
        <w:r>
          <w:rPr>
            <w:rStyle w:val="Hyperlink"/>
          </w:rPr>
          <w:t xml:space="preserve">https://doi.org/10.1098/rstb.2020.0318</w:t>
        </w:r>
      </w:hyperlink>
      <w:r>
        <w:t xml:space="preserve">.</w:t>
      </w:r>
    </w:p>
    <w:bookmarkEnd w:id="191"/>
    <w:bookmarkStart w:id="193" w:name="ref-Kelly_2024"/>
    <w:p>
      <w:pPr>
        <w:pStyle w:val="Bibliography"/>
      </w:pPr>
      <w:r>
        <w:t xml:space="preserve">[74]</w:t>
      </w:r>
      <w:r>
        <w:t xml:space="preserve"> </w:t>
      </w:r>
      <w:r>
        <w:t xml:space="preserve">	</w:t>
      </w:r>
      <w:r>
        <w:t xml:space="preserve">Kelly P. Comparing australian message sticks and sequentially marked objects of the</w:t>
      </w:r>
      <w:r>
        <w:t xml:space="preserve"> </w:t>
      </w:r>
      <w:r>
        <w:t xml:space="preserve">Upper Palaeolithic</w:t>
      </w:r>
      <w:r>
        <w:t xml:space="preserve">: Problems and opportunities. Topics in Cognitive Science 2024.</w:t>
      </w:r>
      <w:r>
        <w:t xml:space="preserve"> </w:t>
      </w:r>
      <w:hyperlink r:id="rId192">
        <w:r>
          <w:rPr>
            <w:rStyle w:val="Hyperlink"/>
          </w:rPr>
          <w:t xml:space="preserve">https://doi.org/10.1111/tops.12762</w:t>
        </w:r>
      </w:hyperlink>
      <w:r>
        <w:t xml:space="preserve">.</w:t>
      </w:r>
    </w:p>
    <w:bookmarkEnd w:id="193"/>
    <w:bookmarkStart w:id="195" w:name="ref-Kinahan_2013"/>
    <w:p>
      <w:pPr>
        <w:pStyle w:val="Bibliography"/>
      </w:pPr>
      <w:r>
        <w:t xml:space="preserve">[75]</w:t>
      </w:r>
      <w:r>
        <w:t xml:space="preserve"> </w:t>
      </w:r>
      <w:r>
        <w:t xml:space="preserve">	</w:t>
      </w:r>
      <w:r>
        <w:t xml:space="preserve">Kinahan J. The acquisition of ceramics by hunter-gatherers on the middle zambezi in the first and second millennium AD. Journal of African Archaeology 2013;11:197–209.</w:t>
      </w:r>
      <w:r>
        <w:t xml:space="preserve"> </w:t>
      </w:r>
      <w:hyperlink r:id="rId194">
        <w:r>
          <w:rPr>
            <w:rStyle w:val="Hyperlink"/>
          </w:rPr>
          <w:t xml:space="preserve">https://doi.org/10.3213/2191-5784-10243</w:t>
        </w:r>
      </w:hyperlink>
      <w:r>
        <w:t xml:space="preserve">.</w:t>
      </w:r>
    </w:p>
    <w:bookmarkEnd w:id="195"/>
    <w:bookmarkStart w:id="197" w:name="ref-Newlander_2012"/>
    <w:p>
      <w:pPr>
        <w:pStyle w:val="Bibliography"/>
      </w:pPr>
      <w:r>
        <w:t xml:space="preserve">[76]</w:t>
      </w:r>
      <w:r>
        <w:t xml:space="preserve"> </w:t>
      </w:r>
      <w:r>
        <w:t xml:space="preserve">	</w:t>
      </w:r>
      <w:r>
        <w:t xml:space="preserve">Newlander KS.</w:t>
      </w:r>
      <w:r>
        <w:t xml:space="preserve"> </w:t>
      </w:r>
      <w:hyperlink r:id="rId196">
        <w:r>
          <w:rPr>
            <w:rStyle w:val="Hyperlink"/>
          </w:rPr>
          <w:t xml:space="preserve">Exchange, embedded procurement, and hunter-gatherer mobility: A case study from the north american great basin</w:t>
        </w:r>
      </w:hyperlink>
      <w:r>
        <w:t xml:space="preserve">. Ph.D. University of Michigan, 2012.</w:t>
      </w:r>
    </w:p>
    <w:bookmarkEnd w:id="197"/>
    <w:bookmarkStart w:id="199" w:name="ref-Iizuka_Ferguson_Izuho_2022"/>
    <w:p>
      <w:pPr>
        <w:pStyle w:val="Bibliography"/>
      </w:pPr>
      <w:r>
        <w:t xml:space="preserve">[77]</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198">
        <w:r>
          <w:rPr>
            <w:rStyle w:val="Hyperlink"/>
          </w:rPr>
          <w:t xml:space="preserve">https://doi.org/10.1371/journal.pone.0265329</w:t>
        </w:r>
      </w:hyperlink>
      <w:r>
        <w:t xml:space="preserve">.</w:t>
      </w:r>
    </w:p>
    <w:bookmarkEnd w:id="199"/>
    <w:bookmarkStart w:id="201" w:name="ref-conkley_agg"/>
    <w:p>
      <w:pPr>
        <w:pStyle w:val="Bibliography"/>
      </w:pPr>
      <w:r>
        <w:t xml:space="preserve">[78]</w:t>
      </w:r>
      <w:r>
        <w:t xml:space="preserve"> </w:t>
      </w:r>
      <w:r>
        <w:t xml:space="preserve">	</w:t>
      </w:r>
      <w:r>
        <w:t xml:space="preserve">Conkey M, Beltran A, Beltrán A, Clark GA, Echegaray JG, Echegaray JG, et al.</w:t>
      </w:r>
      <w:r>
        <w:t xml:space="preserve"> </w:t>
      </w:r>
      <w:hyperlink r:id="rId200">
        <w:r>
          <w:rPr>
            <w:rStyle w:val="Hyperlink"/>
          </w:rPr>
          <w:t xml:space="preserve">The identification of prehistoric hunter-gatherer aggregation sites: The case of altamira [and comments and reply]</w:t>
        </w:r>
      </w:hyperlink>
      <w:r>
        <w:t xml:space="preserve">. Current Anthropology 1980;21:609–30.</w:t>
      </w:r>
    </w:p>
    <w:bookmarkEnd w:id="201"/>
    <w:bookmarkStart w:id="203" w:name="ref-Maher_Conkey_2019"/>
    <w:p>
      <w:pPr>
        <w:pStyle w:val="Bibliography"/>
      </w:pPr>
      <w:r>
        <w:t xml:space="preserve">[79]</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2">
        <w:r>
          <w:rPr>
            <w:rStyle w:val="Hyperlink"/>
          </w:rPr>
          <w:t xml:space="preserve">https://doi.org/10.1086/701523</w:t>
        </w:r>
      </w:hyperlink>
      <w:r>
        <w:t xml:space="preserve">.</w:t>
      </w:r>
    </w:p>
    <w:bookmarkEnd w:id="203"/>
    <w:bookmarkStart w:id="204" w:name="ref-bahn1982inter"/>
    <w:p>
      <w:pPr>
        <w:pStyle w:val="Bibliography"/>
      </w:pPr>
      <w:r>
        <w:t xml:space="preserve">[80]</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p>
    <w:bookmarkEnd w:id="204"/>
    <w:bookmarkStart w:id="206" w:name="ref-Bourdier_2013"/>
    <w:p>
      <w:pPr>
        <w:pStyle w:val="Bibliography"/>
      </w:pPr>
      <w:r>
        <w:t xml:space="preserve">[81]</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5">
        <w:r>
          <w:rPr>
            <w:rStyle w:val="Hyperlink"/>
          </w:rPr>
          <w:t xml:space="preserve">https://doi.org/10.1016/j.jaa.2013.05.005</w:t>
        </w:r>
      </w:hyperlink>
      <w:r>
        <w:t xml:space="preserve">.</w:t>
      </w:r>
    </w:p>
    <w:bookmarkEnd w:id="206"/>
    <w:bookmarkStart w:id="208" w:name="ref-Svoboda_2013"/>
    <w:p>
      <w:pPr>
        <w:pStyle w:val="Bibliography"/>
      </w:pPr>
      <w:r>
        <w:t xml:space="preserve">[82]</w:t>
      </w:r>
      <w:r>
        <w:t xml:space="preserve"> </w:t>
      </w:r>
      <w:r>
        <w:t xml:space="preserve">	</w:t>
      </w:r>
      <w:r>
        <w:t xml:space="preserve">Svoboda J. Art gravettien de pavlov i et VI: Comparaison d’un site d’agrégation et d’un site épisodique. Palethnologie Archéologie Et Sciences Humaines 2013.</w:t>
      </w:r>
      <w:r>
        <w:t xml:space="preserve"> </w:t>
      </w:r>
      <w:hyperlink r:id="rId207">
        <w:r>
          <w:rPr>
            <w:rStyle w:val="Hyperlink"/>
          </w:rPr>
          <w:t xml:space="preserve">https://doi.org/10.4000/palethnologie.4945</w:t>
        </w:r>
      </w:hyperlink>
      <w:r>
        <w:t xml:space="preserve">.</w:t>
      </w:r>
    </w:p>
    <w:bookmarkEnd w:id="208"/>
    <w:bookmarkStart w:id="209" w:name="ref-white1992rethinking"/>
    <w:p>
      <w:pPr>
        <w:pStyle w:val="Bibliography"/>
      </w:pPr>
      <w:r>
        <w:t xml:space="preserve">[83]</w:t>
      </w:r>
      <w:r>
        <w:t xml:space="preserve"> </w:t>
      </w:r>
      <w:r>
        <w:t xml:space="preserve">	</w:t>
      </w:r>
      <w:r>
        <w:t xml:space="preserve">White R. Rethinking the</w:t>
      </w:r>
      <w:r>
        <w:t xml:space="preserve"> </w:t>
      </w:r>
      <w:r>
        <w:t xml:space="preserve">Middle/Upper Paleolithic</w:t>
      </w:r>
      <w:r>
        <w:t xml:space="preserve"> </w:t>
      </w:r>
      <w:r>
        <w:t xml:space="preserve">transition. Current Anthropology 1992;33:85–108.</w:t>
      </w:r>
    </w:p>
    <w:bookmarkEnd w:id="209"/>
    <w:bookmarkStart w:id="210" w:name="X79d7c52b9cdbe72fc1b94e51c6ee6057d0c4a50"/>
    <w:p>
      <w:pPr>
        <w:pStyle w:val="Bibliography"/>
      </w:pPr>
      <w:r>
        <w:t xml:space="preserve">[84]</w:t>
      </w:r>
      <w:r>
        <w:t xml:space="preserve"> </w:t>
      </w:r>
      <w:r>
        <w:t xml:space="preserve">	</w:t>
      </w:r>
      <w:r>
        <w:t xml:space="preserve">Soffer O, Adovasio JM, Enloe JG, Audouze F, Zubrow EBW. The roles of perishable technologies in</w:t>
      </w:r>
      <w:r>
        <w:t xml:space="preserve"> </w:t>
      </w:r>
      <w:r>
        <w:t xml:space="preserve">Upper Paleolithic</w:t>
      </w:r>
      <w:r>
        <w:t xml:space="preserve"> </w:t>
      </w:r>
      <w:r>
        <w:t xml:space="preserve">lives. The</w:t>
      </w:r>
      <w:r>
        <w:t xml:space="preserve"> </w:t>
      </w:r>
      <w:r>
        <w:t xml:space="preserve">Magdalenian</w:t>
      </w:r>
      <w:r>
        <w:t xml:space="preserve"> </w:t>
      </w:r>
      <w:r>
        <w:t xml:space="preserve">household, SUNY Press; 2010, p. 235–44.</w:t>
      </w:r>
    </w:p>
    <w:bookmarkEnd w:id="210"/>
    <w:bookmarkStart w:id="212" w:name="ref-montet-white1994"/>
    <w:p>
      <w:pPr>
        <w:pStyle w:val="Bibliography"/>
      </w:pPr>
      <w:r>
        <w:t xml:space="preserve">[85]</w:t>
      </w:r>
      <w:r>
        <w:t xml:space="preserve"> </w:t>
      </w:r>
      <w:r>
        <w:t xml:space="preserve">	</w:t>
      </w:r>
      <w:r>
        <w:t xml:space="preserve">Montet-White A.</w:t>
      </w:r>
      <w:r>
        <w:t xml:space="preserve"> </w:t>
      </w:r>
      <w:hyperlink r:id="rId211">
        <w:r>
          <w:rPr>
            <w:rStyle w:val="Hyperlink"/>
          </w:rPr>
          <w:t xml:space="preserve">Alternative interpretations of the</w:t>
        </w:r>
        <w:r>
          <w:rPr>
            <w:rStyle w:val="Hyperlink"/>
          </w:rPr>
          <w:t xml:space="preserve"> </w:t>
        </w:r>
        <w:r>
          <w:rPr>
            <w:rStyle w:val="Hyperlink"/>
          </w:rPr>
          <w:t xml:space="preserve">Late Upper Paleolithic</w:t>
        </w:r>
        <w:r>
          <w:rPr>
            <w:rStyle w:val="Hyperlink"/>
          </w:rPr>
          <w:t xml:space="preserve"> </w:t>
        </w:r>
        <w:r>
          <w:rPr>
            <w:rStyle w:val="Hyperlink"/>
          </w:rPr>
          <w:t xml:space="preserve">in</w:t>
        </w:r>
        <w:r>
          <w:rPr>
            <w:rStyle w:val="Hyperlink"/>
          </w:rPr>
          <w:t xml:space="preserve"> </w:t>
        </w:r>
        <w:r>
          <w:rPr>
            <w:rStyle w:val="Hyperlink"/>
          </w:rPr>
          <w:t xml:space="preserve">Central Europe</w:t>
        </w:r>
      </w:hyperlink>
      <w:r>
        <w:t xml:space="preserve">. Annual Review of Anthropology 1994;23:483–508.</w:t>
      </w:r>
    </w:p>
    <w:bookmarkEnd w:id="212"/>
    <w:bookmarkStart w:id="214" w:name="ref-Frerebeau_2025"/>
    <w:p>
      <w:pPr>
        <w:pStyle w:val="Bibliography"/>
      </w:pPr>
      <w:r>
        <w:t xml:space="preserve">[86]</w:t>
      </w:r>
      <w:r>
        <w:t xml:space="preserve"> </w:t>
      </w:r>
      <w:r>
        <w:t xml:space="preserve">	</w:t>
      </w:r>
      <w:r>
        <w:t xml:space="preserve">Frerebeau N. Tabula: Analysis and visualization of archaeological count data 2025.</w:t>
      </w:r>
      <w:r>
        <w:t xml:space="preserve"> </w:t>
      </w:r>
      <w:hyperlink r:id="rId213">
        <w:r>
          <w:rPr>
            <w:rStyle w:val="Hyperlink"/>
          </w:rPr>
          <w:t xml:space="preserve">https://doi.org/10.5281/zenodo.15397990</w:t>
        </w:r>
      </w:hyperlink>
      <w:r>
        <w:t xml:space="preserve">.</w:t>
      </w:r>
    </w:p>
    <w:bookmarkEnd w:id="214"/>
    <w:bookmarkStart w:id="216" w:name="ref-Kintigh_1984"/>
    <w:p>
      <w:pPr>
        <w:pStyle w:val="Bibliography"/>
      </w:pPr>
      <w:r>
        <w:t xml:space="preserve">[87]</w:t>
      </w:r>
      <w:r>
        <w:t xml:space="preserve"> </w:t>
      </w:r>
      <w:r>
        <w:t xml:space="preserve">	</w:t>
      </w:r>
      <w:r>
        <w:t xml:space="preserve">Kintigh KW. Measuring archaeological diversity by comparison with simulated assemblages. American Antiquity 1984;49:44–54.</w:t>
      </w:r>
      <w:r>
        <w:t xml:space="preserve"> </w:t>
      </w:r>
      <w:hyperlink r:id="rId215">
        <w:r>
          <w:rPr>
            <w:rStyle w:val="Hyperlink"/>
          </w:rPr>
          <w:t xml:space="preserve">https://doi.org/10.2307/280511</w:t>
        </w:r>
      </w:hyperlink>
      <w:r>
        <w:t xml:space="preserve">.</w:t>
      </w:r>
    </w:p>
    <w:bookmarkEnd w:id="216"/>
    <w:bookmarkStart w:id="218" w:name="X8c17deb08b87fbfa26556dda630532ff62c8bd1"/>
    <w:p>
      <w:pPr>
        <w:pStyle w:val="Bibliography"/>
      </w:pPr>
      <w:r>
        <w:t xml:space="preserve">[88]</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17">
        <w:r>
          <w:rPr>
            <w:rStyle w:val="Hyperlink"/>
          </w:rPr>
          <w:t xml:space="preserve">https://doi.org/10.1038/s41467-024-51349-y</w:t>
        </w:r>
      </w:hyperlink>
      <w:r>
        <w:t xml:space="preserve">.</w:t>
      </w:r>
    </w:p>
    <w:bookmarkEnd w:id="218"/>
    <w:bookmarkStart w:id="220" w:name="ref-smith1992Design"/>
    <w:p>
      <w:pPr>
        <w:pStyle w:val="Bibliography"/>
      </w:pPr>
      <w:r>
        <w:t xml:space="preserve">[89]</w:t>
      </w:r>
      <w:r>
        <w:t xml:space="preserve"> </w:t>
      </w:r>
      <w:r>
        <w:t xml:space="preserve">	</w:t>
      </w:r>
      <w:r>
        <w:t xml:space="preserve">Smith C.</w:t>
      </w:r>
      <w:r>
        <w:t xml:space="preserve"> </w:t>
      </w:r>
      <w:hyperlink r:id="rId219">
        <w:r>
          <w:rPr>
            <w:rStyle w:val="Hyperlink"/>
          </w:rPr>
          <w:t xml:space="preserve">Designed dreaming: Assessing the relationship between style, social structure and environment in aboriginal australia</w:t>
        </w:r>
      </w:hyperlink>
      <w:r>
        <w:t xml:space="preserve">. Australian Archaeology 1992:51–1.</w:t>
      </w:r>
    </w:p>
    <w:bookmarkEnd w:id="220"/>
    <w:bookmarkStart w:id="221" w:name="ref-hays1993symbol"/>
    <w:p>
      <w:pPr>
        <w:pStyle w:val="Bibliography"/>
      </w:pPr>
      <w:r>
        <w:t xml:space="preserve">[90]</w:t>
      </w:r>
      <w:r>
        <w:t xml:space="preserve"> </w:t>
      </w:r>
      <w:r>
        <w:t xml:space="preserve">	</w:t>
      </w:r>
      <w:r>
        <w:t xml:space="preserve">Hays KA. When is a symbol archaeologically meaningful? Meaning, function, and prehistoric visual arts. Archaeological Theory: Who Sets the Agenda 1993:81–92.</w:t>
      </w:r>
    </w:p>
    <w:bookmarkEnd w:id="221"/>
    <w:bookmarkStart w:id="222" w:name="ref-McDonald_Veth_Lilley_2006"/>
    <w:p>
      <w:pPr>
        <w:pStyle w:val="Bibliography"/>
      </w:pPr>
      <w:r>
        <w:t xml:space="preserve">[91]</w:t>
      </w:r>
      <w:r>
        <w:t xml:space="preserve"> </w:t>
      </w:r>
      <w:r>
        <w:t xml:space="preserve">	</w:t>
      </w:r>
      <w:r>
        <w:t xml:space="preserve">McDonald J, Veth P, Lilley I. Rock art and social identity: A comparison of</w:t>
      </w:r>
      <w:r>
        <w:t xml:space="preserve"> </w:t>
      </w:r>
      <w:r>
        <w:t xml:space="preserve">Holocene</w:t>
      </w:r>
      <w:r>
        <w:t xml:space="preserve"> </w:t>
      </w:r>
      <w:r>
        <w:t xml:space="preserve">graphic systems in arid and fertile environments. Archaeology of oceania: Australia and the pacific islands, Malden, Mass: Blackwell Publishing; 2006, p. 96–115.</w:t>
      </w:r>
    </w:p>
    <w:bookmarkEnd w:id="222"/>
    <w:bookmarkStart w:id="224" w:name="ref-Lourandos_1985"/>
    <w:p>
      <w:pPr>
        <w:pStyle w:val="Bibliography"/>
      </w:pPr>
      <w:r>
        <w:t xml:space="preserve">[92]</w:t>
      </w:r>
      <w:r>
        <w:t xml:space="preserve"> </w:t>
      </w:r>
      <w:r>
        <w:t xml:space="preserve">	</w:t>
      </w:r>
      <w:r>
        <w:t xml:space="preserve">Lourandos H. 15 - intensification and australian prehistory. In: Price TD, Brown JA, editors. Prehistoric hunters-gatherers, Academic Press; 1985, p. 385–423. https://doi.org/</w:t>
      </w:r>
      <w:hyperlink r:id="rId223">
        <w:r>
          <w:rPr>
            <w:rStyle w:val="Hyperlink"/>
          </w:rPr>
          <w:t xml:space="preserve">https://doi.org/10.1016/B978-0-12-564750-2.50020-2</w:t>
        </w:r>
      </w:hyperlink>
      <w:r>
        <w:t xml:space="preserve">.</w:t>
      </w:r>
    </w:p>
    <w:bookmarkEnd w:id="224"/>
    <w:bookmarkStart w:id="226" w:name="ref-barton_clark_cohen1994"/>
    <w:p>
      <w:pPr>
        <w:pStyle w:val="Bibliography"/>
      </w:pPr>
      <w:r>
        <w:t xml:space="preserve">[93]</w:t>
      </w:r>
      <w:r>
        <w:t xml:space="preserve"> </w:t>
      </w:r>
      <w:r>
        <w:t xml:space="preserve">	</w:t>
      </w:r>
      <w:r>
        <w:t xml:space="preserve">Barton CM, Clark GA, Cohen AE.</w:t>
      </w:r>
      <w:r>
        <w:t xml:space="preserve"> </w:t>
      </w:r>
      <w:hyperlink r:id="rId225">
        <w:r>
          <w:rPr>
            <w:rStyle w:val="Hyperlink"/>
          </w:rPr>
          <w:t xml:space="preserve">Art as information: Explaining</w:t>
        </w:r>
        <w:r>
          <w:rPr>
            <w:rStyle w:val="Hyperlink"/>
          </w:rPr>
          <w:t xml:space="preserve"> </w:t>
        </w:r>
        <w:r>
          <w:rPr>
            <w:rStyle w:val="Hyperlink"/>
          </w:rPr>
          <w:t xml:space="preserve">Upper Palaeolithic</w:t>
        </w:r>
        <w:r>
          <w:rPr>
            <w:rStyle w:val="Hyperlink"/>
          </w:rPr>
          <w:t xml:space="preserve"> </w:t>
        </w:r>
        <w:r>
          <w:rPr>
            <w:rStyle w:val="Hyperlink"/>
          </w:rPr>
          <w:t xml:space="preserve">art in</w:t>
        </w:r>
        <w:r>
          <w:rPr>
            <w:rStyle w:val="Hyperlink"/>
          </w:rPr>
          <w:t xml:space="preserve"> </w:t>
        </w:r>
        <w:r>
          <w:rPr>
            <w:rStyle w:val="Hyperlink"/>
          </w:rPr>
          <w:t xml:space="preserve">Western Europe</w:t>
        </w:r>
      </w:hyperlink>
      <w:r>
        <w:t xml:space="preserve">. World Archaeology 1994;26:185–207.</w:t>
      </w:r>
    </w:p>
    <w:bookmarkEnd w:id="226"/>
    <w:bookmarkStart w:id="227" w:name="ref-mcdonald2012social"/>
    <w:p>
      <w:pPr>
        <w:pStyle w:val="Bibliography"/>
      </w:pPr>
      <w:r>
        <w:t xml:space="preserve">[94]</w:t>
      </w:r>
      <w:r>
        <w:t xml:space="preserve"> </w:t>
      </w:r>
      <w:r>
        <w:t xml:space="preserve">	</w:t>
      </w:r>
      <w:r>
        <w:t xml:space="preserve">McDonald J, Veth P. The social dynamics of aggregation and dispersal in the western desert. A Companion to Rock Art 2012:90–102.</w:t>
      </w:r>
    </w:p>
    <w:bookmarkEnd w:id="227"/>
    <w:bookmarkStart w:id="228" w:name="ref-bernardini2005reconsidering"/>
    <w:p>
      <w:pPr>
        <w:pStyle w:val="Bibliography"/>
      </w:pPr>
      <w:r>
        <w:t xml:space="preserve">[95]</w:t>
      </w:r>
      <w:r>
        <w:t xml:space="preserve"> </w:t>
      </w:r>
      <w:r>
        <w:t xml:space="preserve">	</w:t>
      </w:r>
      <w:r>
        <w:t xml:space="preserve">Bernardini W. Reconsidering spatial and temporal aspects of prehistoric cultural identity: A case study from the american southwest. American Antiquity 2005;70:31–54.</w:t>
      </w:r>
    </w:p>
    <w:bookmarkEnd w:id="228"/>
    <w:bookmarkStart w:id="229" w:name="ref-wiessner1984reconsidering"/>
    <w:p>
      <w:pPr>
        <w:pStyle w:val="Bibliography"/>
      </w:pPr>
      <w:r>
        <w:t xml:space="preserve">[96]</w:t>
      </w:r>
      <w:r>
        <w:t xml:space="preserve"> </w:t>
      </w:r>
      <w:r>
        <w:t xml:space="preserve">	</w:t>
      </w:r>
      <w:r>
        <w:t xml:space="preserve">Wiessner P. Reconsidering the behavioral basis for style: A case study among the kalahari san. Journal of Anthropological Archaeology 1984;3:190–234.</w:t>
      </w:r>
    </w:p>
    <w:bookmarkEnd w:id="229"/>
    <w:bookmarkStart w:id="231" w:name="ref-smith1992"/>
    <w:p>
      <w:pPr>
        <w:pStyle w:val="Bibliography"/>
      </w:pPr>
      <w:r>
        <w:t xml:space="preserve">[97]</w:t>
      </w:r>
      <w:r>
        <w:t xml:space="preserve"> </w:t>
      </w:r>
      <w:r>
        <w:t xml:space="preserve">	</w:t>
      </w:r>
      <w:r>
        <w:t xml:space="preserve">Smith C.</w:t>
      </w:r>
      <w:r>
        <w:t xml:space="preserve"> </w:t>
      </w:r>
      <w:hyperlink r:id="rId230">
        <w:r>
          <w:rPr>
            <w:rStyle w:val="Hyperlink"/>
          </w:rPr>
          <w:t xml:space="preserve">Colonising with style: Reviewing the nexus between rock art, territorially and the colonisation and occupation of sahul</w:t>
        </w:r>
      </w:hyperlink>
      <w:r>
        <w:t xml:space="preserve">. Australian Archaeology 1992:34–42.</w:t>
      </w:r>
    </w:p>
    <w:bookmarkEnd w:id="231"/>
    <w:bookmarkStart w:id="233" w:name="X4fed35d53d406ce17aea32f9d6f163fcb563519"/>
    <w:p>
      <w:pPr>
        <w:pStyle w:val="Bibliography"/>
      </w:pPr>
      <w:r>
        <w:t xml:space="preserve">[98]</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32">
        <w:r>
          <w:rPr>
            <w:rStyle w:val="Hyperlink"/>
          </w:rPr>
          <w:t xml:space="preserve">https://doi.org/10.1007/978-4-431-55363-2_8</w:t>
        </w:r>
      </w:hyperlink>
      <w:r>
        <w:t xml:space="preserve">.</w:t>
      </w:r>
    </w:p>
    <w:bookmarkEnd w:id="233"/>
    <w:bookmarkStart w:id="234" w:name="ref-Cavalli_Sforza_Feldman_1981"/>
    <w:p>
      <w:pPr>
        <w:pStyle w:val="Bibliography"/>
      </w:pPr>
      <w:r>
        <w:t xml:space="preserve">[99]</w:t>
      </w:r>
      <w:r>
        <w:t xml:space="preserve"> </w:t>
      </w:r>
      <w:r>
        <w:t xml:space="preserve">	</w:t>
      </w:r>
      <w:r>
        <w:t xml:space="preserve">Cavalli-Sforza LL, Feldman MW. Cultural transmission and evolution: A quantitative approach. Princeton University Press; 1981.</w:t>
      </w:r>
    </w:p>
    <w:bookmarkEnd w:id="234"/>
    <w:bookmarkStart w:id="235" w:name="ref-Boyd_Richerson_1985"/>
    <w:p>
      <w:pPr>
        <w:pStyle w:val="Bibliography"/>
      </w:pPr>
      <w:r>
        <w:t xml:space="preserve">[100]</w:t>
      </w:r>
      <w:r>
        <w:t xml:space="preserve"> </w:t>
      </w:r>
      <w:r>
        <w:t xml:space="preserve">	</w:t>
      </w:r>
      <w:r>
        <w:t xml:space="preserve">Boyd R, Richerson PJ. Culture and the evolutionary process. University of Chicago Press; 1985.</w:t>
      </w:r>
    </w:p>
    <w:bookmarkEnd w:id="235"/>
    <w:bookmarkStart w:id="236" w:name="ref-Richerson_Boyd_2005"/>
    <w:p>
      <w:pPr>
        <w:pStyle w:val="Bibliography"/>
      </w:pPr>
      <w:r>
        <w:t xml:space="preserve">[101]</w:t>
      </w:r>
      <w:r>
        <w:t xml:space="preserve"> </w:t>
      </w:r>
      <w:r>
        <w:t xml:space="preserve">	</w:t>
      </w:r>
      <w:r>
        <w:t xml:space="preserve">Richerson PJ, Boyd R. Not by genes alone: How culture transformed human evolution. University of Chicago Press; 2005.</w:t>
      </w:r>
    </w:p>
    <w:bookmarkEnd w:id="236"/>
    <w:bookmarkStart w:id="237" w:name="ref-Henrich_2004"/>
    <w:p>
      <w:pPr>
        <w:pStyle w:val="Bibliography"/>
      </w:pPr>
      <w:r>
        <w:t xml:space="preserve">[102]</w:t>
      </w:r>
      <w:r>
        <w:t xml:space="preserve"> </w:t>
      </w:r>
      <w:r>
        <w:t xml:space="preserve">	</w:t>
      </w:r>
      <w:r>
        <w:t xml:space="preserve">Henrich J. Demography and cultural evolution: How adaptive cultural processes can produce maladaptive losses—the tasmanian case. American Antiquity 2004;44:185–201.</w:t>
      </w:r>
    </w:p>
    <w:bookmarkEnd w:id="237"/>
    <w:bookmarkStart w:id="238" w:name="ref-Migliano_2020"/>
    <w:p>
      <w:pPr>
        <w:pStyle w:val="Bibliography"/>
      </w:pPr>
      <w:r>
        <w:t xml:space="preserve">[103]</w:t>
      </w:r>
      <w:r>
        <w:t xml:space="preserve"> </w:t>
      </w:r>
      <w:r>
        <w:t xml:space="preserve">	</w:t>
      </w:r>
      <w:r>
        <w:t xml:space="preserve">Migliano AB, Battiston F, Viguier S, Page AE, Dyble M, Schlaepfer R, et al. Hunter-gatherer multilevel sociality accelerates cumulative cultural evolution. Science Advances 2020;6:eaax5913.</w:t>
      </w:r>
    </w:p>
    <w:bookmarkEnd w:id="238"/>
    <w:bookmarkStart w:id="239" w:name="ref-Allen_2020"/>
    <w:p>
      <w:pPr>
        <w:pStyle w:val="Bibliography"/>
      </w:pPr>
      <w:r>
        <w:t xml:space="preserve">[104]</w:t>
      </w:r>
      <w:r>
        <w:t xml:space="preserve"> </w:t>
      </w:r>
      <w:r>
        <w:t xml:space="preserve">	</w:t>
      </w:r>
      <w:r>
        <w:t xml:space="preserve">Allen J. A multilevel analytical framework for studying cultural evolution in prehistoric hunter–gatherer societies. Biological Reviews 2020;59:2527–46.</w:t>
      </w:r>
    </w:p>
    <w:bookmarkEnd w:id="239"/>
    <w:bookmarkStart w:id="240" w:name="ref-Buchanan_Hamilton_2023"/>
    <w:p>
      <w:pPr>
        <w:pStyle w:val="Bibliography"/>
      </w:pPr>
      <w:r>
        <w:t xml:space="preserve">[105]</w:t>
      </w:r>
      <w:r>
        <w:t xml:space="preserve"> </w:t>
      </w:r>
      <w:r>
        <w:t xml:space="preserve">	</w:t>
      </w:r>
      <w:r>
        <w:t xml:space="preserve">Buchanan B, Hamilton MJ. Networks and cultural transmission in hunter-gatherer societies. The oxford handbook of archaeological network research, Oxford University Press; 2023, p. 1–25.</w:t>
      </w:r>
    </w:p>
    <w:bookmarkEnd w:id="240"/>
    <w:bookmarkStart w:id="241" w:name="ref-Eerkens_Lipo_2005"/>
    <w:p>
      <w:pPr>
        <w:pStyle w:val="Bibliography"/>
      </w:pPr>
      <w:r>
        <w:t xml:space="preserve">[106]</w:t>
      </w:r>
      <w:r>
        <w:t xml:space="preserve"> </w:t>
      </w:r>
      <w:r>
        <w:t xml:space="preserve">	</w:t>
      </w:r>
      <w:r>
        <w:t xml:space="preserve">Eerkens JW, Lipo CP. Cultural transmission and the evolution of material culture: Modeling the coefficient of variation. American Antiquity 2005;48:1–21.</w:t>
      </w:r>
    </w:p>
    <w:bookmarkEnd w:id="241"/>
    <w:bookmarkStart w:id="242" w:name="ref-Bentz_Dutkiewicz_2025"/>
    <w:p>
      <w:pPr>
        <w:pStyle w:val="Bibliography"/>
      </w:pPr>
      <w:r>
        <w:t xml:space="preserve">[107]</w:t>
      </w:r>
      <w:r>
        <w:t xml:space="preserve"> </w:t>
      </w:r>
      <w:r>
        <w:t xml:space="preserve">	</w:t>
      </w:r>
      <w:r>
        <w:t xml:space="preserve">Bentz C, Dutkiewicz E. Humans 40,000 y ago developed a system of conventional signs. Proceedings of the National Academy of Sciences 2025:1–8.</w:t>
      </w:r>
    </w:p>
    <w:bookmarkEnd w:id="242"/>
    <w:bookmarkStart w:id="243" w:name="ref-Bacon_2023"/>
    <w:p>
      <w:pPr>
        <w:pStyle w:val="Bibliography"/>
      </w:pPr>
      <w:r>
        <w:t xml:space="preserve">[108]</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2023;100:371–89.</w:t>
      </w:r>
    </w:p>
    <w:bookmarkEnd w:id="243"/>
    <w:bookmarkStart w:id="245" w:name="Xa4990169aeb885a690070ab4fd90972c31994f8"/>
    <w:p>
      <w:pPr>
        <w:pStyle w:val="Bibliography"/>
      </w:pPr>
      <w:r>
        <w:t xml:space="preserve">[109]</w:t>
      </w:r>
      <w:r>
        <w:t xml:space="preserve"> </w:t>
      </w:r>
      <w:r>
        <w:t xml:space="preserve">	</w:t>
      </w:r>
      <w:r>
        <w:t xml:space="preserve">d’Errico F, Courtenay LA, Núñez R, Santos da Rosa N, Sproat R, Blasi D.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44">
        <w:r>
          <w:rPr>
            <w:rStyle w:val="Hyperlink"/>
          </w:rPr>
          <w:t xml:space="preserve">https://doi.org/10.2139/ssrn.7053279</w:t>
        </w:r>
      </w:hyperlink>
      <w:r>
        <w:t xml:space="preserve">.</w:t>
      </w:r>
    </w:p>
    <w:bookmarkEnd w:id="245"/>
    <w:bookmarkStart w:id="247" w:name="X8ea620419c64d551554c48b7075c9934881930b"/>
    <w:p>
      <w:pPr>
        <w:pStyle w:val="Bibliography"/>
      </w:pPr>
      <w:r>
        <w:t xml:space="preserve">[110]</w:t>
      </w:r>
      <w:r>
        <w:t xml:space="preserve"> </w:t>
      </w:r>
      <w:r>
        <w:t xml:space="preserve">	</w:t>
      </w:r>
      <w:r>
        <w:t xml:space="preserve">Garcı́a-Bustos M, Rivero O, Sauvet G, Garcı́a-Bustos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46">
        <w:r>
          <w:rPr>
            <w:rStyle w:val="Hyperlink"/>
          </w:rPr>
          <w:t xml:space="preserve">https://doi.org/10.1007/s41982-023-00158-8</w:t>
        </w:r>
      </w:hyperlink>
      <w:r>
        <w:t xml:space="preserve">.</w:t>
      </w:r>
    </w:p>
    <w:bookmarkEnd w:id="247"/>
    <w:bookmarkStart w:id="249" w:name="ref-Magli_2024"/>
    <w:p>
      <w:pPr>
        <w:pStyle w:val="Bibliography"/>
      </w:pPr>
      <w:r>
        <w:t xml:space="preserve">[111]</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Mind 2024;133:1–15.</w:t>
      </w:r>
      <w:r>
        <w:t xml:space="preserve"> </w:t>
      </w:r>
      <w:hyperlink r:id="rId248">
        <w:r>
          <w:rPr>
            <w:rStyle w:val="Hyperlink"/>
          </w:rPr>
          <w:t xml:space="preserve">https://doi.org/10.1093/mind/fzae011</w:t>
        </w:r>
      </w:hyperlink>
      <w:r>
        <w:t xml:space="preserve">.</w:t>
      </w:r>
    </w:p>
    <w:bookmarkEnd w:id="249"/>
    <w:bookmarkStart w:id="251" w:name="ref-Nowell_2024_evidence"/>
    <w:p>
      <w:pPr>
        <w:pStyle w:val="Bibliography"/>
      </w:pPr>
      <w:r>
        <w:t xml:space="preserve">[112]</w:t>
      </w:r>
      <w:r>
        <w:t xml:space="preserve"> </w:t>
      </w:r>
      <w:r>
        <w:t xml:space="preserve">	</w:t>
      </w:r>
      <w:r>
        <w:t xml:space="preserve">Nowell A, Bahn P, Quellec J-L. Evaluating the evidence for lunar calendars in</w:t>
      </w:r>
      <w:r>
        <w:t xml:space="preserve"> </w:t>
      </w:r>
      <w:r>
        <w:t xml:space="preserve">Upper Palaeolithic</w:t>
      </w:r>
      <w:r>
        <w:t xml:space="preserve"> </w:t>
      </w:r>
      <w:r>
        <w:t xml:space="preserve">parietal art. Cambridge Archaeological Journal 2024:1–18.</w:t>
      </w:r>
      <w:r>
        <w:t xml:space="preserve"> </w:t>
      </w:r>
      <w:hyperlink r:id="rId250">
        <w:r>
          <w:rPr>
            <w:rStyle w:val="Hyperlink"/>
          </w:rPr>
          <w:t xml:space="preserve">https://doi.org/10.1017/S0959774324000155</w:t>
        </w:r>
      </w:hyperlink>
      <w:r>
        <w:t xml:space="preserve">.</w:t>
      </w:r>
    </w:p>
    <w:bookmarkEnd w:id="251"/>
    <w:bookmarkStart w:id="253" w:name="ref-Horiuchi_Takakura_2019"/>
    <w:p>
      <w:pPr>
        <w:pStyle w:val="Bibliography"/>
      </w:pPr>
      <w:r>
        <w:t xml:space="preserve">[113]</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52">
        <w:r>
          <w:rPr>
            <w:rStyle w:val="Hyperlink"/>
          </w:rPr>
          <w:t xml:space="preserve">https://doi.org/10.1007/978-981-13-8980-1_12</w:t>
        </w:r>
      </w:hyperlink>
      <w:r>
        <w:t xml:space="preserve">.</w:t>
      </w:r>
    </w:p>
    <w:bookmarkEnd w:id="253"/>
    <w:bookmarkStart w:id="254" w:name="ref-Rogers_2013"/>
    <w:p>
      <w:pPr>
        <w:pStyle w:val="Bibliography"/>
      </w:pPr>
      <w:r>
        <w:t xml:space="preserve">[114]</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 BP: An analysis of marine shell ornament distribution. PhD thesis. University of Victoria, 2013.</w:t>
      </w:r>
    </w:p>
    <w:bookmarkEnd w:id="254"/>
    <w:bookmarkStart w:id="256" w:name="X94f875be1b7e5d23641daff5d53857bec24e739"/>
    <w:p>
      <w:pPr>
        <w:pStyle w:val="Bibliography"/>
      </w:pPr>
      <w:r>
        <w:t xml:space="preserve">[115]</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 https://doi.org/</w:t>
      </w:r>
      <w:hyperlink r:id="rId255">
        <w:r>
          <w:rPr>
            <w:rStyle w:val="Hyperlink"/>
          </w:rPr>
          <w:t xml:space="preserve">https://doi.org/10.1016/j.jasrep.2021.103118</w:t>
        </w:r>
      </w:hyperlink>
      <w:r>
        <w:t xml:space="preserve">.</w:t>
      </w:r>
    </w:p>
    <w:bookmarkEnd w:id="256"/>
    <w:bookmarkStart w:id="258" w:name="ref-Gamble_1982"/>
    <w:p>
      <w:pPr>
        <w:pStyle w:val="Bibliography"/>
      </w:pPr>
      <w:r>
        <w:t xml:space="preserve">[116]</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57">
        <w:r>
          <w:rPr>
            <w:rStyle w:val="Hyperlink"/>
          </w:rPr>
          <w:t xml:space="preserve">https://doi.org/10.2307/2802103</w:t>
        </w:r>
      </w:hyperlink>
      <w:r>
        <w:t xml:space="preserve">.</w:t>
      </w:r>
    </w:p>
    <w:bookmarkEnd w:id="258"/>
    <w:bookmarkStart w:id="260" w:name="Xba346573845225b1b1d5ef358e2fea0d893a789"/>
    <w:p>
      <w:pPr>
        <w:pStyle w:val="Bibliography"/>
      </w:pPr>
      <w:r>
        <w:t xml:space="preserve">[117]</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 https://doi.org/</w:t>
      </w:r>
      <w:hyperlink r:id="rId259">
        <w:r>
          <w:rPr>
            <w:rStyle w:val="Hyperlink"/>
          </w:rPr>
          <w:t xml:space="preserve">https://doi.org/10.1016/j.quascirev.2018.12.011</w:t>
        </w:r>
      </w:hyperlink>
      <w:r>
        <w:t xml:space="preserve">.</w:t>
      </w:r>
    </w:p>
    <w:bookmarkEnd w:id="260"/>
    <w:bookmarkStart w:id="262" w:name="ref-Creanza_Kolodny_Feldman_2017"/>
    <w:p>
      <w:pPr>
        <w:pStyle w:val="Bibliography"/>
      </w:pPr>
      <w:r>
        <w:t xml:space="preserve">[118]</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61">
        <w:r>
          <w:rPr>
            <w:rStyle w:val="Hyperlink"/>
          </w:rPr>
          <w:t xml:space="preserve">https://doi.org/10.1098/rsif.2017.0171</w:t>
        </w:r>
      </w:hyperlink>
      <w:r>
        <w:t xml:space="preserve">.</w:t>
      </w:r>
    </w:p>
    <w:bookmarkEnd w:id="262"/>
    <w:bookmarkStart w:id="264" w:name="ref-Cullen_1996"/>
    <w:p>
      <w:pPr>
        <w:pStyle w:val="Bibliography"/>
      </w:pPr>
      <w:r>
        <w:t xml:space="preserve">[119]</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63">
        <w:r>
          <w:rPr>
            <w:rStyle w:val="Hyperlink"/>
          </w:rPr>
          <w:t xml:space="preserve">https://doi.org/10.1007/978-1-4757-9945-3_4</w:t>
        </w:r>
      </w:hyperlink>
      <w:r>
        <w:t xml:space="preserve">.</w:t>
      </w:r>
    </w:p>
    <w:bookmarkEnd w:id="264"/>
    <w:bookmarkStart w:id="266" w:name="ref-Hill_Wood_Baggio_Hurtado_Boyd_2014"/>
    <w:p>
      <w:pPr>
        <w:pStyle w:val="Bibliography"/>
      </w:pPr>
      <w:r>
        <w:t xml:space="preserve">[120]</w:t>
      </w:r>
      <w:r>
        <w:t xml:space="preserve"> </w:t>
      </w:r>
      <w:r>
        <w:t xml:space="preserve">	</w:t>
      </w:r>
      <w:r>
        <w:t xml:space="preserve">Hill KR, Wood BM, Baggio J, Hurtado AM, Boyd RT. Hunter-gatherer inter-band interaction rates: Implications for cumulative culture. PLOS ONE 2014;9:1–9.</w:t>
      </w:r>
      <w:r>
        <w:t xml:space="preserve"> </w:t>
      </w:r>
      <w:hyperlink r:id="rId265">
        <w:r>
          <w:rPr>
            <w:rStyle w:val="Hyperlink"/>
          </w:rPr>
          <w:t xml:space="preserve">https://doi.org/10.1371/journal.pone.0102806</w:t>
        </w:r>
      </w:hyperlink>
      <w:r>
        <w:t xml:space="preserve">.</w:t>
      </w:r>
    </w:p>
    <w:bookmarkEnd w:id="266"/>
    <w:bookmarkStart w:id="268" w:name="ref-Derex_Boyd_2016"/>
    <w:p>
      <w:pPr>
        <w:pStyle w:val="Bibliography"/>
      </w:pPr>
      <w:r>
        <w:t xml:space="preserve">[121]</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67">
        <w:r>
          <w:rPr>
            <w:rStyle w:val="Hyperlink"/>
          </w:rPr>
          <w:t xml:space="preserve">https://doi.org/10.1073/pnas.1518798113</w:t>
        </w:r>
      </w:hyperlink>
      <w:r>
        <w:t xml:space="preserve">.</w:t>
      </w:r>
    </w:p>
    <w:bookmarkEnd w:id="268"/>
    <w:bookmarkStart w:id="270" w:name="ref-Gravel-Miguel_Coward_2023"/>
    <w:p>
      <w:pPr>
        <w:pStyle w:val="Bibliography"/>
      </w:pPr>
      <w:r>
        <w:t xml:space="preserve">[122]</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w:t>
      </w:r>
      <w:r>
        <w:t xml:space="preserve"> </w:t>
      </w:r>
      <w:hyperlink r:id="rId269">
        <w:r>
          <w:rPr>
            <w:rStyle w:val="Hyperlink"/>
          </w:rPr>
          <w:t xml:space="preserve">https://doi.org/10.1093/oxfordhb/9780198854265.013.31</w:t>
        </w:r>
      </w:hyperlink>
      <w:r>
        <w:t xml:space="preserve">.</w:t>
      </w:r>
    </w:p>
    <w:bookmarkEnd w:id="270"/>
    <w:bookmarkStart w:id="271" w:name="ref-Von_Petzinger_2009"/>
    <w:p>
      <w:pPr>
        <w:pStyle w:val="Bibliography"/>
      </w:pPr>
      <w:r>
        <w:t xml:space="preserve">[123]</w:t>
      </w:r>
      <w:r>
        <w:t xml:space="preserve"> </w:t>
      </w:r>
      <w:r>
        <w:t xml:space="preserve">	</w:t>
      </w:r>
      <w:r>
        <w:t xml:space="preserve">Von Petzinger G. Making the abstract concrete: The place of geometric signs in french</w:t>
      </w:r>
      <w:r>
        <w:t xml:space="preserve"> </w:t>
      </w:r>
      <w:r>
        <w:t xml:space="preserve">Upper Paleolithic</w:t>
      </w:r>
      <w:r>
        <w:t xml:space="preserve"> </w:t>
      </w:r>
      <w:r>
        <w:t xml:space="preserve">parietal art. Master of Arts in Anthropology. University of Victoria, 2009.</w:t>
      </w:r>
    </w:p>
    <w:bookmarkEnd w:id="271"/>
    <w:bookmarkStart w:id="273" w:name="ref-Herskind2023"/>
    <w:p>
      <w:pPr>
        <w:pStyle w:val="Bibliography"/>
      </w:pPr>
      <w:r>
        <w:t xml:space="preserve">[124]</w:t>
      </w:r>
      <w:r>
        <w:t xml:space="preserve"> </w:t>
      </w:r>
      <w:r>
        <w:t xml:space="preserve">	</w:t>
      </w:r>
      <w:r>
        <w:t xml:space="preserve">Platz HLL. A case for idle graffiti. Hunter Gatherer Research 2023;9:59–93.</w:t>
      </w:r>
      <w:r>
        <w:t xml:space="preserve"> </w:t>
      </w:r>
      <w:hyperlink r:id="rId272">
        <w:r>
          <w:rPr>
            <w:rStyle w:val="Hyperlink"/>
          </w:rPr>
          <w:t xml:space="preserve">https://doi.org/10.3828/hgr.2023.12</w:t>
        </w:r>
      </w:hyperlink>
      <w:r>
        <w:t xml:space="preserve">.</w:t>
      </w:r>
    </w:p>
    <w:bookmarkEnd w:id="273"/>
    <w:bookmarkStart w:id="275" w:name="X42e36537dda68556aeacf852410efd6ac3bb1ca"/>
    <w:p>
      <w:pPr>
        <w:pStyle w:val="Bibliography"/>
      </w:pPr>
      <w:r>
        <w:t xml:space="preserve">[125]</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74">
        <w:r>
          <w:rPr>
            <w:rStyle w:val="Hyperlink"/>
          </w:rPr>
          <w:t xml:space="preserve">https://doi.org/10.1007/s10816-023-09608-7</w:t>
        </w:r>
      </w:hyperlink>
      <w:r>
        <w:t xml:space="preserve">.</w:t>
      </w:r>
    </w:p>
    <w:bookmarkEnd w:id="275"/>
    <w:bookmarkStart w:id="277" w:name="ref-Marwick2017"/>
    <w:p>
      <w:pPr>
        <w:pStyle w:val="Bibliography"/>
      </w:pPr>
      <w:r>
        <w:t xml:space="preserve">[126]</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276">
        <w:r>
          <w:rPr>
            <w:rStyle w:val="Hyperlink"/>
          </w:rPr>
          <w:t xml:space="preserve">https://doi.org/10.1007/s10816-015-9272-9</w:t>
        </w:r>
      </w:hyperlink>
      <w:r>
        <w:t xml:space="preserve">.</w:t>
      </w:r>
    </w:p>
    <w:bookmarkEnd w:id="277"/>
    <w:bookmarkStart w:id="279" w:name="ref-Marwick_2025"/>
    <w:p>
      <w:pPr>
        <w:pStyle w:val="Bibliography"/>
      </w:pPr>
      <w:r>
        <w:t xml:space="preserve">[127]</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278">
        <w:r>
          <w:rPr>
            <w:rStyle w:val="Hyperlink"/>
          </w:rPr>
          <w:t xml:space="preserve">https://doi.org/10.1016/j.jas.2025.106281</w:t>
        </w:r>
      </w:hyperlink>
      <w:r>
        <w:t xml:space="preserve">.</w:t>
      </w:r>
    </w:p>
    <w:bookmarkEnd w:id="279"/>
    <w:bookmarkEnd w:id="280"/>
    <w:bookmarkEnd w:id="281"/>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w="http://schemas.openxmlformats.org/wordprocessingml/2006/main"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Arial" w:cs="Arial" w:hAnsi="Arial"/>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 w:customStyle="1" w:styleId="Table" w:type="table">
    <w:tblPr/>
    <w:name w:val="Tabl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hyperlink" Id="rId151" Target="http://www.jstor.org.offcampus.lib.washington.edu/stable/j.ctt1pk86rr.16" TargetMode="External" /><Relationship Type="http://schemas.openxmlformats.org/officeDocument/2006/relationships/hyperlink" Id="rId145" Target="http://www.jstor.org.offcampus.lib.washington.edu/stable/j.ctt1pk86rr.5" TargetMode="External" /><Relationship Type="http://schemas.openxmlformats.org/officeDocument/2006/relationships/hyperlink" Id="rId225" Target="http://www.jstor.org/stable/124852" TargetMode="External" /><Relationship Type="http://schemas.openxmlformats.org/officeDocument/2006/relationships/hyperlink" Id="rId211" Target="http://www.jstor.org/stable/2156023" TargetMode="External" /><Relationship Type="http://schemas.openxmlformats.org/officeDocument/2006/relationships/hyperlink" Id="rId200" Target="http://www.jstor.org/stable/2741828" TargetMode="External" /><Relationship Type="http://schemas.openxmlformats.org/officeDocument/2006/relationships/hyperlink" Id="rId175" Target="http://www.jstor.org/stable/279544" TargetMode="External" /><Relationship Type="http://schemas.openxmlformats.org/officeDocument/2006/relationships/hyperlink" Id="rId177" Target="http://www.jstor.org/stable/2800797" TargetMode="External" /><Relationship Type="http://schemas.openxmlformats.org/officeDocument/2006/relationships/hyperlink" Id="rId230" Target="http://www.jstor.org/stable/40287092" TargetMode="External" /><Relationship Type="http://schemas.openxmlformats.org/officeDocument/2006/relationships/hyperlink" Id="rId219"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40" Target="https://doi.org/10.1002/9781118445112.stat07841" TargetMode="External" /><Relationship Type="http://schemas.openxmlformats.org/officeDocument/2006/relationships/hyperlink" Id="rId122" Target="https://doi.org/10.1002/ajpa.1330350608" TargetMode="External" /><Relationship Type="http://schemas.openxmlformats.org/officeDocument/2006/relationships/hyperlink" Id="rId167" Target="https://doi.org/10.1002/ajpa.22832" TargetMode="External" /><Relationship Type="http://schemas.openxmlformats.org/officeDocument/2006/relationships/hyperlink" Id="rId105" Target="https://doi.org/10.1002/jqs.3223" TargetMode="External" /><Relationship Type="http://schemas.openxmlformats.org/officeDocument/2006/relationships/hyperlink" Id="rId134" Target="https://doi.org/10.1002/spe.4380211102" TargetMode="External" /><Relationship Type="http://schemas.openxmlformats.org/officeDocument/2006/relationships/hyperlink" Id="rId107" Target="https://doi.org/10.1007/3-211-38327-6_3" TargetMode="External" /><Relationship Type="http://schemas.openxmlformats.org/officeDocument/2006/relationships/hyperlink" Id="rId263"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2" Target="https://doi.org/10.1007/978-4-431-55363-2_8" TargetMode="External" /><Relationship Type="http://schemas.openxmlformats.org/officeDocument/2006/relationships/hyperlink" Id="rId252" Target="https://doi.org/10.1007/978-981-13-8980-1_12" TargetMode="External" /><Relationship Type="http://schemas.openxmlformats.org/officeDocument/2006/relationships/hyperlink" Id="rId154" Target="https://doi.org/10.1007/s10814-013-9068-y" TargetMode="External" /><Relationship Type="http://schemas.openxmlformats.org/officeDocument/2006/relationships/hyperlink" Id="rId276" Target="https://doi.org/10.1007/s10816-015-9272-9" TargetMode="External" /><Relationship Type="http://schemas.openxmlformats.org/officeDocument/2006/relationships/hyperlink" Id="rId274" Target="https://doi.org/10.1007/s10816-023-09608-7" TargetMode="External" /><Relationship Type="http://schemas.openxmlformats.org/officeDocument/2006/relationships/hyperlink" Id="rId120" Target="https://doi.org/10.1007/s12520-018-0742-3" TargetMode="External" /><Relationship Type="http://schemas.openxmlformats.org/officeDocument/2006/relationships/hyperlink" Id="rId246" Target="https://doi.org/10.1007/s41982-023-00158-8" TargetMode="External" /><Relationship Type="http://schemas.openxmlformats.org/officeDocument/2006/relationships/hyperlink" Id="rId114" Target="https://doi.org/10.1007/s41982-025-00298-3" TargetMode="External" /><Relationship Type="http://schemas.openxmlformats.org/officeDocument/2006/relationships/hyperlink" Id="rId149" Target="https://doi.org/10.1016/B978-0-12-564750-2.50006-8" TargetMode="External" /><Relationship Type="http://schemas.openxmlformats.org/officeDocument/2006/relationships/hyperlink" Id="rId170" Target="https://doi.org/10.1016/B978-0-12-564750-2.50016-0" TargetMode="External" /><Relationship Type="http://schemas.openxmlformats.org/officeDocument/2006/relationships/hyperlink" Id="rId223" Target="https://doi.org/10.1016/B978-0-12-564750-2.50020-2" TargetMode="External" /><Relationship Type="http://schemas.openxmlformats.org/officeDocument/2006/relationships/hyperlink" Id="rId142" Target="https://doi.org/10.1016/j.evolhumbehav.2014.09.006" TargetMode="External" /><Relationship Type="http://schemas.openxmlformats.org/officeDocument/2006/relationships/hyperlink" Id="rId156" Target="https://doi.org/10.1016/j.evolhumbehav.2022.07.003" TargetMode="External" /><Relationship Type="http://schemas.openxmlformats.org/officeDocument/2006/relationships/hyperlink" Id="rId183" Target="https://doi.org/10.1016/j.jaa.2005.11.004" TargetMode="External" /><Relationship Type="http://schemas.openxmlformats.org/officeDocument/2006/relationships/hyperlink" Id="rId205"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8" Target="https://doi.org/10.1016/j.jas.2025.106281" TargetMode="External" /><Relationship Type="http://schemas.openxmlformats.org/officeDocument/2006/relationships/hyperlink" Id="rId255" Target="https://doi.org/10.1016/j.jasrep.2021.103118" TargetMode="External" /><Relationship Type="http://schemas.openxmlformats.org/officeDocument/2006/relationships/hyperlink" Id="rId181" Target="https://doi.org/10.1016/j.jasrep.2024.104798" TargetMode="External" /><Relationship Type="http://schemas.openxmlformats.org/officeDocument/2006/relationships/hyperlink" Id="rId103" Target="https://doi.org/10.1016/j.jhevol.2011.06.001" TargetMode="External" /><Relationship Type="http://schemas.openxmlformats.org/officeDocument/2006/relationships/hyperlink" Id="rId94" Target="https://doi.org/10.1016/j.jhevol.2012.10.001" TargetMode="External" /><Relationship Type="http://schemas.openxmlformats.org/officeDocument/2006/relationships/hyperlink" Id="rId158"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6" Target="https://doi.org/10.1016/j.quascirev.2009.11.015" TargetMode="External" /><Relationship Type="http://schemas.openxmlformats.org/officeDocument/2006/relationships/hyperlink" Id="rId259" Target="https://doi.org/10.1016/j.quascirev.2018.12.011" TargetMode="External" /><Relationship Type="http://schemas.openxmlformats.org/officeDocument/2006/relationships/hyperlink" Id="rId96" Target="https://doi.org/10.1016/j.quascirev.2021.106995" TargetMode="External" /><Relationship Type="http://schemas.openxmlformats.org/officeDocument/2006/relationships/hyperlink" Id="rId173" Target="https://doi.org/10.1017/CBO9780511558252.004" TargetMode="External" /><Relationship Type="http://schemas.openxmlformats.org/officeDocument/2006/relationships/hyperlink" Id="rId118" Target="https://doi.org/10.1017/RDC.2020.95" TargetMode="External" /><Relationship Type="http://schemas.openxmlformats.org/officeDocument/2006/relationships/hyperlink" Id="rId160" Target="https://doi.org/10.1017/S0079497X00006265" TargetMode="External" /><Relationship Type="http://schemas.openxmlformats.org/officeDocument/2006/relationships/hyperlink" Id="rId250" Target="https://doi.org/10.1017/S0959774324000155" TargetMode="External" /><Relationship Type="http://schemas.openxmlformats.org/officeDocument/2006/relationships/hyperlink" Id="rId85" Target="https://doi.org/10.1017/ppr.2019.5" TargetMode="External" /><Relationship Type="http://schemas.openxmlformats.org/officeDocument/2006/relationships/hyperlink" Id="rId217"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7" Target="https://doi.org/10.1073/pnas.1518798113" TargetMode="External" /><Relationship Type="http://schemas.openxmlformats.org/officeDocument/2006/relationships/hyperlink" Id="rId202" Target="https://doi.org/10.1086/701523" TargetMode="External" /><Relationship Type="http://schemas.openxmlformats.org/officeDocument/2006/relationships/hyperlink" Id="rId248" Target="https://doi.org/10.1093/mind/fzae011" TargetMode="External" /><Relationship Type="http://schemas.openxmlformats.org/officeDocument/2006/relationships/hyperlink" Id="rId269" Target="https://doi.org/10.1093/oxfordhb/9780198854265.013.31" TargetMode="External" /><Relationship Type="http://schemas.openxmlformats.org/officeDocument/2006/relationships/hyperlink" Id="rId261" Target="https://doi.org/10.1098/rsif.2017.0171" TargetMode="External" /><Relationship Type="http://schemas.openxmlformats.org/officeDocument/2006/relationships/hyperlink" Id="rId190" Target="https://doi.org/10.1098/rstb.2020.0318" TargetMode="External" /><Relationship Type="http://schemas.openxmlformats.org/officeDocument/2006/relationships/hyperlink" Id="rId130" Target="https://doi.org/10.1111/j.1502-3931.1988.tb01756.x" TargetMode="External" /><Relationship Type="http://schemas.openxmlformats.org/officeDocument/2006/relationships/hyperlink" Id="rId192" Target="https://doi.org/10.1111/tops.12762" TargetMode="External" /><Relationship Type="http://schemas.openxmlformats.org/officeDocument/2006/relationships/hyperlink" Id="rId132"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5" Target="https://doi.org/10.1179/sea.2010.29.1.013" TargetMode="External" /><Relationship Type="http://schemas.openxmlformats.org/officeDocument/2006/relationships/hyperlink" Id="rId265" Target="https://doi.org/10.1371/journal.pone.0102806" TargetMode="External" /><Relationship Type="http://schemas.openxmlformats.org/officeDocument/2006/relationships/hyperlink" Id="rId126" Target="https://doi.org/10.1371/journal.pone.0121166" TargetMode="External" /><Relationship Type="http://schemas.openxmlformats.org/officeDocument/2006/relationships/hyperlink" Id="rId98" Target="https://doi.org/10.1371/journal.pone.0189241" TargetMode="External" /><Relationship Type="http://schemas.openxmlformats.org/officeDocument/2006/relationships/hyperlink" Id="rId109" Target="https://doi.org/10.1371/journal.pone.0194097" TargetMode="External" /><Relationship Type="http://schemas.openxmlformats.org/officeDocument/2006/relationships/hyperlink" Id="rId92" Target="https://doi.org/10.1371/journal.pone.0211562" TargetMode="External" /><Relationship Type="http://schemas.openxmlformats.org/officeDocument/2006/relationships/hyperlink" Id="rId198"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8" Target="https://doi.org/10.18637/jss.v025.i03" TargetMode="External" /><Relationship Type="http://schemas.openxmlformats.org/officeDocument/2006/relationships/hyperlink" Id="rId244" Target="https://doi.org/10.2139/ssrn.7053279" TargetMode="External" /><Relationship Type="http://schemas.openxmlformats.org/officeDocument/2006/relationships/hyperlink" Id="rId257" Target="https://doi.org/10.2307/2802103" TargetMode="External" /><Relationship Type="http://schemas.openxmlformats.org/officeDocument/2006/relationships/hyperlink" Id="rId215" Target="https://doi.org/10.2307/280511" TargetMode="External" /><Relationship Type="http://schemas.openxmlformats.org/officeDocument/2006/relationships/hyperlink" Id="rId147" Target="https://doi.org/10.2307/3034956" TargetMode="External" /><Relationship Type="http://schemas.openxmlformats.org/officeDocument/2006/relationships/hyperlink" Id="rId162" Target="https://doi.org/10.2307/j.ctv24q4z2g.5" TargetMode="External" /><Relationship Type="http://schemas.openxmlformats.org/officeDocument/2006/relationships/hyperlink" Id="rId188" Target="https://doi.org/10.2307/j.ctvdmwwz4.10" TargetMode="External" /><Relationship Type="http://schemas.openxmlformats.org/officeDocument/2006/relationships/hyperlink" Id="rId186" Target="https://doi.org/10.2307/j.ctvdmwwz4.7" TargetMode="External" /><Relationship Type="http://schemas.openxmlformats.org/officeDocument/2006/relationships/hyperlink" Id="rId194" Target="https://doi.org/10.3213/2191-5784-10243" TargetMode="External" /><Relationship Type="http://schemas.openxmlformats.org/officeDocument/2006/relationships/hyperlink" Id="rId124" Target="https://doi.org/10.32614/CRAN.package.vegan" TargetMode="External" /><Relationship Type="http://schemas.openxmlformats.org/officeDocument/2006/relationships/hyperlink" Id="rId272" Target="https://doi.org/10.3828/hgr.2023.12" TargetMode="External" /><Relationship Type="http://schemas.openxmlformats.org/officeDocument/2006/relationships/hyperlink" Id="rId207" Target="https://doi.org/10.4000/palethnologie.4945" TargetMode="External" /><Relationship Type="http://schemas.openxmlformats.org/officeDocument/2006/relationships/hyperlink" Id="rId112" Target="https://doi.org/10.4000/palethnologie.736" TargetMode="External" /><Relationship Type="http://schemas.openxmlformats.org/officeDocument/2006/relationships/hyperlink" Id="rId213" Target="https://doi.org/10.5281/zenodo.15397990" TargetMode="External" /><Relationship Type="http://schemas.openxmlformats.org/officeDocument/2006/relationships/hyperlink" Id="rId100" Target="https://doi.org/10.7485/QU65_2" TargetMode="External" /><Relationship Type="http://schemas.openxmlformats.org/officeDocument/2006/relationships/hyperlink" Id="rId138" Target="https://igraph.org" TargetMode="External" /><Relationship Type="http://schemas.openxmlformats.org/officeDocument/2006/relationships/hyperlink" Id="rId136" Target="https://statnet.org" TargetMode="External" /><Relationship Type="http://schemas.openxmlformats.org/officeDocument/2006/relationships/hyperlink" Id="rId196"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1" Target="http://www.jstor.org.offcampus.lib.washington.edu/stable/j.ctt1pk86rr.16" TargetMode="External" /><Relationship Type="http://schemas.openxmlformats.org/officeDocument/2006/relationships/hyperlink" Id="rId145" Target="http://www.jstor.org.offcampus.lib.washington.edu/stable/j.ctt1pk86rr.5" TargetMode="External" /><Relationship Type="http://schemas.openxmlformats.org/officeDocument/2006/relationships/hyperlink" Id="rId225" Target="http://www.jstor.org/stable/124852" TargetMode="External" /><Relationship Type="http://schemas.openxmlformats.org/officeDocument/2006/relationships/hyperlink" Id="rId211" Target="http://www.jstor.org/stable/2156023" TargetMode="External" /><Relationship Type="http://schemas.openxmlformats.org/officeDocument/2006/relationships/hyperlink" Id="rId200" Target="http://www.jstor.org/stable/2741828" TargetMode="External" /><Relationship Type="http://schemas.openxmlformats.org/officeDocument/2006/relationships/hyperlink" Id="rId175" Target="http://www.jstor.org/stable/279544" TargetMode="External" /><Relationship Type="http://schemas.openxmlformats.org/officeDocument/2006/relationships/hyperlink" Id="rId177" Target="http://www.jstor.org/stable/2800797" TargetMode="External" /><Relationship Type="http://schemas.openxmlformats.org/officeDocument/2006/relationships/hyperlink" Id="rId230" Target="http://www.jstor.org/stable/40287092" TargetMode="External" /><Relationship Type="http://schemas.openxmlformats.org/officeDocument/2006/relationships/hyperlink" Id="rId219"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40" Target="https://doi.org/10.1002/9781118445112.stat07841" TargetMode="External" /><Relationship Type="http://schemas.openxmlformats.org/officeDocument/2006/relationships/hyperlink" Id="rId122" Target="https://doi.org/10.1002/ajpa.1330350608" TargetMode="External" /><Relationship Type="http://schemas.openxmlformats.org/officeDocument/2006/relationships/hyperlink" Id="rId167" Target="https://doi.org/10.1002/ajpa.22832" TargetMode="External" /><Relationship Type="http://schemas.openxmlformats.org/officeDocument/2006/relationships/hyperlink" Id="rId105" Target="https://doi.org/10.1002/jqs.3223" TargetMode="External" /><Relationship Type="http://schemas.openxmlformats.org/officeDocument/2006/relationships/hyperlink" Id="rId134" Target="https://doi.org/10.1002/spe.4380211102" TargetMode="External" /><Relationship Type="http://schemas.openxmlformats.org/officeDocument/2006/relationships/hyperlink" Id="rId107" Target="https://doi.org/10.1007/3-211-38327-6_3" TargetMode="External" /><Relationship Type="http://schemas.openxmlformats.org/officeDocument/2006/relationships/hyperlink" Id="rId263"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2" Target="https://doi.org/10.1007/978-4-431-55363-2_8" TargetMode="External" /><Relationship Type="http://schemas.openxmlformats.org/officeDocument/2006/relationships/hyperlink" Id="rId252" Target="https://doi.org/10.1007/978-981-13-8980-1_12" TargetMode="External" /><Relationship Type="http://schemas.openxmlformats.org/officeDocument/2006/relationships/hyperlink" Id="rId154" Target="https://doi.org/10.1007/s10814-013-9068-y" TargetMode="External" /><Relationship Type="http://schemas.openxmlformats.org/officeDocument/2006/relationships/hyperlink" Id="rId276" Target="https://doi.org/10.1007/s10816-015-9272-9" TargetMode="External" /><Relationship Type="http://schemas.openxmlformats.org/officeDocument/2006/relationships/hyperlink" Id="rId274" Target="https://doi.org/10.1007/s10816-023-09608-7" TargetMode="External" /><Relationship Type="http://schemas.openxmlformats.org/officeDocument/2006/relationships/hyperlink" Id="rId120" Target="https://doi.org/10.1007/s12520-018-0742-3" TargetMode="External" /><Relationship Type="http://schemas.openxmlformats.org/officeDocument/2006/relationships/hyperlink" Id="rId246" Target="https://doi.org/10.1007/s41982-023-00158-8" TargetMode="External" /><Relationship Type="http://schemas.openxmlformats.org/officeDocument/2006/relationships/hyperlink" Id="rId114" Target="https://doi.org/10.1007/s41982-025-00298-3" TargetMode="External" /><Relationship Type="http://schemas.openxmlformats.org/officeDocument/2006/relationships/hyperlink" Id="rId149" Target="https://doi.org/10.1016/B978-0-12-564750-2.50006-8" TargetMode="External" /><Relationship Type="http://schemas.openxmlformats.org/officeDocument/2006/relationships/hyperlink" Id="rId170" Target="https://doi.org/10.1016/B978-0-12-564750-2.50016-0" TargetMode="External" /><Relationship Type="http://schemas.openxmlformats.org/officeDocument/2006/relationships/hyperlink" Id="rId223" Target="https://doi.org/10.1016/B978-0-12-564750-2.50020-2" TargetMode="External" /><Relationship Type="http://schemas.openxmlformats.org/officeDocument/2006/relationships/hyperlink" Id="rId142" Target="https://doi.org/10.1016/j.evolhumbehav.2014.09.006" TargetMode="External" /><Relationship Type="http://schemas.openxmlformats.org/officeDocument/2006/relationships/hyperlink" Id="rId156" Target="https://doi.org/10.1016/j.evolhumbehav.2022.07.003" TargetMode="External" /><Relationship Type="http://schemas.openxmlformats.org/officeDocument/2006/relationships/hyperlink" Id="rId183" Target="https://doi.org/10.1016/j.jaa.2005.11.004" TargetMode="External" /><Relationship Type="http://schemas.openxmlformats.org/officeDocument/2006/relationships/hyperlink" Id="rId205"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8" Target="https://doi.org/10.1016/j.jas.2025.106281" TargetMode="External" /><Relationship Type="http://schemas.openxmlformats.org/officeDocument/2006/relationships/hyperlink" Id="rId255" Target="https://doi.org/10.1016/j.jasrep.2021.103118" TargetMode="External" /><Relationship Type="http://schemas.openxmlformats.org/officeDocument/2006/relationships/hyperlink" Id="rId181" Target="https://doi.org/10.1016/j.jasrep.2024.104798" TargetMode="External" /><Relationship Type="http://schemas.openxmlformats.org/officeDocument/2006/relationships/hyperlink" Id="rId103" Target="https://doi.org/10.1016/j.jhevol.2011.06.001" TargetMode="External" /><Relationship Type="http://schemas.openxmlformats.org/officeDocument/2006/relationships/hyperlink" Id="rId94" Target="https://doi.org/10.1016/j.jhevol.2012.10.001" TargetMode="External" /><Relationship Type="http://schemas.openxmlformats.org/officeDocument/2006/relationships/hyperlink" Id="rId158"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6" Target="https://doi.org/10.1016/j.quascirev.2009.11.015" TargetMode="External" /><Relationship Type="http://schemas.openxmlformats.org/officeDocument/2006/relationships/hyperlink" Id="rId259" Target="https://doi.org/10.1016/j.quascirev.2018.12.011" TargetMode="External" /><Relationship Type="http://schemas.openxmlformats.org/officeDocument/2006/relationships/hyperlink" Id="rId96" Target="https://doi.org/10.1016/j.quascirev.2021.106995" TargetMode="External" /><Relationship Type="http://schemas.openxmlformats.org/officeDocument/2006/relationships/hyperlink" Id="rId173" Target="https://doi.org/10.1017/CBO9780511558252.004" TargetMode="External" /><Relationship Type="http://schemas.openxmlformats.org/officeDocument/2006/relationships/hyperlink" Id="rId118" Target="https://doi.org/10.1017/RDC.2020.95" TargetMode="External" /><Relationship Type="http://schemas.openxmlformats.org/officeDocument/2006/relationships/hyperlink" Id="rId160" Target="https://doi.org/10.1017/S0079497X00006265" TargetMode="External" /><Relationship Type="http://schemas.openxmlformats.org/officeDocument/2006/relationships/hyperlink" Id="rId250" Target="https://doi.org/10.1017/S0959774324000155" TargetMode="External" /><Relationship Type="http://schemas.openxmlformats.org/officeDocument/2006/relationships/hyperlink" Id="rId85" Target="https://doi.org/10.1017/ppr.2019.5" TargetMode="External" /><Relationship Type="http://schemas.openxmlformats.org/officeDocument/2006/relationships/hyperlink" Id="rId217"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7" Target="https://doi.org/10.1073/pnas.1518798113" TargetMode="External" /><Relationship Type="http://schemas.openxmlformats.org/officeDocument/2006/relationships/hyperlink" Id="rId202" Target="https://doi.org/10.1086/701523" TargetMode="External" /><Relationship Type="http://schemas.openxmlformats.org/officeDocument/2006/relationships/hyperlink" Id="rId248" Target="https://doi.org/10.1093/mind/fzae011" TargetMode="External" /><Relationship Type="http://schemas.openxmlformats.org/officeDocument/2006/relationships/hyperlink" Id="rId269" Target="https://doi.org/10.1093/oxfordhb/9780198854265.013.31" TargetMode="External" /><Relationship Type="http://schemas.openxmlformats.org/officeDocument/2006/relationships/hyperlink" Id="rId261" Target="https://doi.org/10.1098/rsif.2017.0171" TargetMode="External" /><Relationship Type="http://schemas.openxmlformats.org/officeDocument/2006/relationships/hyperlink" Id="rId190" Target="https://doi.org/10.1098/rstb.2020.0318" TargetMode="External" /><Relationship Type="http://schemas.openxmlformats.org/officeDocument/2006/relationships/hyperlink" Id="rId130" Target="https://doi.org/10.1111/j.1502-3931.1988.tb01756.x" TargetMode="External" /><Relationship Type="http://schemas.openxmlformats.org/officeDocument/2006/relationships/hyperlink" Id="rId192" Target="https://doi.org/10.1111/tops.12762" TargetMode="External" /><Relationship Type="http://schemas.openxmlformats.org/officeDocument/2006/relationships/hyperlink" Id="rId132"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5" Target="https://doi.org/10.1179/sea.2010.29.1.013" TargetMode="External" /><Relationship Type="http://schemas.openxmlformats.org/officeDocument/2006/relationships/hyperlink" Id="rId265" Target="https://doi.org/10.1371/journal.pone.0102806" TargetMode="External" /><Relationship Type="http://schemas.openxmlformats.org/officeDocument/2006/relationships/hyperlink" Id="rId126" Target="https://doi.org/10.1371/journal.pone.0121166" TargetMode="External" /><Relationship Type="http://schemas.openxmlformats.org/officeDocument/2006/relationships/hyperlink" Id="rId98" Target="https://doi.org/10.1371/journal.pone.0189241" TargetMode="External" /><Relationship Type="http://schemas.openxmlformats.org/officeDocument/2006/relationships/hyperlink" Id="rId109" Target="https://doi.org/10.1371/journal.pone.0194097" TargetMode="External" /><Relationship Type="http://schemas.openxmlformats.org/officeDocument/2006/relationships/hyperlink" Id="rId92" Target="https://doi.org/10.1371/journal.pone.0211562" TargetMode="External" /><Relationship Type="http://schemas.openxmlformats.org/officeDocument/2006/relationships/hyperlink" Id="rId198"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8" Target="https://doi.org/10.18637/jss.v025.i03" TargetMode="External" /><Relationship Type="http://schemas.openxmlformats.org/officeDocument/2006/relationships/hyperlink" Id="rId244" Target="https://doi.org/10.2139/ssrn.7053279" TargetMode="External" /><Relationship Type="http://schemas.openxmlformats.org/officeDocument/2006/relationships/hyperlink" Id="rId257" Target="https://doi.org/10.2307/2802103" TargetMode="External" /><Relationship Type="http://schemas.openxmlformats.org/officeDocument/2006/relationships/hyperlink" Id="rId215" Target="https://doi.org/10.2307/280511" TargetMode="External" /><Relationship Type="http://schemas.openxmlformats.org/officeDocument/2006/relationships/hyperlink" Id="rId147" Target="https://doi.org/10.2307/3034956" TargetMode="External" /><Relationship Type="http://schemas.openxmlformats.org/officeDocument/2006/relationships/hyperlink" Id="rId162" Target="https://doi.org/10.2307/j.ctv24q4z2g.5" TargetMode="External" /><Relationship Type="http://schemas.openxmlformats.org/officeDocument/2006/relationships/hyperlink" Id="rId188" Target="https://doi.org/10.2307/j.ctvdmwwz4.10" TargetMode="External" /><Relationship Type="http://schemas.openxmlformats.org/officeDocument/2006/relationships/hyperlink" Id="rId186" Target="https://doi.org/10.2307/j.ctvdmwwz4.7" TargetMode="External" /><Relationship Type="http://schemas.openxmlformats.org/officeDocument/2006/relationships/hyperlink" Id="rId194" Target="https://doi.org/10.3213/2191-5784-10243" TargetMode="External" /><Relationship Type="http://schemas.openxmlformats.org/officeDocument/2006/relationships/hyperlink" Id="rId124" Target="https://doi.org/10.32614/CRAN.package.vegan" TargetMode="External" /><Relationship Type="http://schemas.openxmlformats.org/officeDocument/2006/relationships/hyperlink" Id="rId272" Target="https://doi.org/10.3828/hgr.2023.12" TargetMode="External" /><Relationship Type="http://schemas.openxmlformats.org/officeDocument/2006/relationships/hyperlink" Id="rId207" Target="https://doi.org/10.4000/palethnologie.4945" TargetMode="External" /><Relationship Type="http://schemas.openxmlformats.org/officeDocument/2006/relationships/hyperlink" Id="rId112" Target="https://doi.org/10.4000/palethnologie.736" TargetMode="External" /><Relationship Type="http://schemas.openxmlformats.org/officeDocument/2006/relationships/hyperlink" Id="rId213" Target="https://doi.org/10.5281/zenodo.15397990" TargetMode="External" /><Relationship Type="http://schemas.openxmlformats.org/officeDocument/2006/relationships/hyperlink" Id="rId100" Target="https://doi.org/10.7485/QU65_2" TargetMode="External" /><Relationship Type="http://schemas.openxmlformats.org/officeDocument/2006/relationships/hyperlink" Id="rId138" Target="https://igraph.org" TargetMode="External" /><Relationship Type="http://schemas.openxmlformats.org/officeDocument/2006/relationships/hyperlink" Id="rId136" Target="https://statnet.org" TargetMode="External" /><Relationship Type="http://schemas.openxmlformats.org/officeDocument/2006/relationships/hyperlink" Id="rId196"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2026-08-06T09:04:35Z</dcterms:created>
  <dcterms:modified xsi:type="dcterms:W3CDTF">2026-08-06T09:04:35Z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